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EF14A"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A Life Course Approach to Health and Wellbeing:</w:t>
      </w:r>
    </w:p>
    <w:p w14:paraId="09AB5CFB"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A Critical Analysis of Social, Economic and Environmental Influences</w:t>
      </w:r>
    </w:p>
    <w:p w14:paraId="0E1ACC66"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Module:</w:t>
      </w:r>
      <w:r w:rsidRPr="0022504D">
        <w:rPr>
          <w:rFonts w:ascii="Times New Roman" w:eastAsia="Times New Roman" w:hAnsi="Times New Roman" w:cs="Times New Roman"/>
          <w:kern w:val="0"/>
          <w:lang w:eastAsia="en-GB"/>
          <w14:ligatures w14:val="none"/>
        </w:rPr>
        <w:t xml:space="preserve"> Living Well: A Life Course Approach to Health &amp; Wellbeing (BMNS4014)</w:t>
      </w:r>
      <w:r w:rsidRPr="0022504D">
        <w:rPr>
          <w:rFonts w:ascii="Times New Roman" w:eastAsia="Times New Roman" w:hAnsi="Times New Roman" w:cs="Times New Roman"/>
          <w:kern w:val="0"/>
          <w:lang w:eastAsia="en-GB"/>
          <w14:ligatures w14:val="none"/>
        </w:rPr>
        <w:br/>
      </w:r>
      <w:r w:rsidRPr="0022504D">
        <w:rPr>
          <w:rFonts w:ascii="Times New Roman" w:eastAsia="Times New Roman" w:hAnsi="Times New Roman" w:cs="Times New Roman"/>
          <w:b/>
          <w:bCs/>
          <w:kern w:val="0"/>
          <w:lang w:eastAsia="en-GB"/>
          <w14:ligatures w14:val="none"/>
        </w:rPr>
        <w:t>Student Name:</w:t>
      </w:r>
      <w:r w:rsidRPr="0022504D">
        <w:rPr>
          <w:rFonts w:ascii="Times New Roman" w:eastAsia="Times New Roman" w:hAnsi="Times New Roman" w:cs="Times New Roman"/>
          <w:kern w:val="0"/>
          <w:lang w:eastAsia="en-GB"/>
          <w14:ligatures w14:val="none"/>
        </w:rPr>
        <w:t xml:space="preserve"> Ebrima Njie</w:t>
      </w:r>
      <w:r w:rsidRPr="0022504D">
        <w:rPr>
          <w:rFonts w:ascii="Times New Roman" w:eastAsia="Times New Roman" w:hAnsi="Times New Roman" w:cs="Times New Roman"/>
          <w:kern w:val="0"/>
          <w:lang w:eastAsia="en-GB"/>
          <w14:ligatures w14:val="none"/>
        </w:rPr>
        <w:br/>
      </w:r>
      <w:r w:rsidRPr="0022504D">
        <w:rPr>
          <w:rFonts w:ascii="Times New Roman" w:eastAsia="Times New Roman" w:hAnsi="Times New Roman" w:cs="Times New Roman"/>
          <w:b/>
          <w:bCs/>
          <w:kern w:val="0"/>
          <w:lang w:eastAsia="en-GB"/>
          <w14:ligatures w14:val="none"/>
        </w:rPr>
        <w:t>Student Number:</w:t>
      </w:r>
      <w:r w:rsidRPr="0022504D">
        <w:rPr>
          <w:rFonts w:ascii="Times New Roman" w:eastAsia="Times New Roman" w:hAnsi="Times New Roman" w:cs="Times New Roman"/>
          <w:kern w:val="0"/>
          <w:lang w:eastAsia="en-GB"/>
          <w14:ligatures w14:val="none"/>
        </w:rPr>
        <w:t xml:space="preserve"> 2514125</w:t>
      </w:r>
      <w:r w:rsidRPr="0022504D">
        <w:rPr>
          <w:rFonts w:ascii="Times New Roman" w:eastAsia="Times New Roman" w:hAnsi="Times New Roman" w:cs="Times New Roman"/>
          <w:kern w:val="0"/>
          <w:lang w:eastAsia="en-GB"/>
          <w14:ligatures w14:val="none"/>
        </w:rPr>
        <w:br/>
      </w:r>
      <w:r w:rsidRPr="0022504D">
        <w:rPr>
          <w:rFonts w:ascii="Times New Roman" w:eastAsia="Times New Roman" w:hAnsi="Times New Roman" w:cs="Times New Roman"/>
          <w:b/>
          <w:bCs/>
          <w:kern w:val="0"/>
          <w:lang w:eastAsia="en-GB"/>
          <w14:ligatures w14:val="none"/>
        </w:rPr>
        <w:t>Lecturer:</w:t>
      </w:r>
      <w:r w:rsidRPr="0022504D">
        <w:rPr>
          <w:rFonts w:ascii="Times New Roman" w:eastAsia="Times New Roman" w:hAnsi="Times New Roman" w:cs="Times New Roman"/>
          <w:kern w:val="0"/>
          <w:lang w:eastAsia="en-GB"/>
          <w14:ligatures w14:val="none"/>
        </w:rPr>
        <w:t xml:space="preserve"> Ben</w:t>
      </w:r>
      <w:r w:rsidRPr="0022504D">
        <w:rPr>
          <w:rFonts w:ascii="Times New Roman" w:eastAsia="Times New Roman" w:hAnsi="Times New Roman" w:cs="Times New Roman"/>
          <w:kern w:val="0"/>
          <w:lang w:eastAsia="en-GB"/>
          <w14:ligatures w14:val="none"/>
        </w:rPr>
        <w:br/>
      </w:r>
      <w:r w:rsidRPr="0022504D">
        <w:rPr>
          <w:rFonts w:ascii="Times New Roman" w:eastAsia="Times New Roman" w:hAnsi="Times New Roman" w:cs="Times New Roman"/>
          <w:b/>
          <w:bCs/>
          <w:kern w:val="0"/>
          <w:lang w:eastAsia="en-GB"/>
          <w14:ligatures w14:val="none"/>
        </w:rPr>
        <w:t>Date:</w:t>
      </w:r>
      <w:r w:rsidRPr="0022504D">
        <w:rPr>
          <w:rFonts w:ascii="Times New Roman" w:eastAsia="Times New Roman" w:hAnsi="Times New Roman" w:cs="Times New Roman"/>
          <w:kern w:val="0"/>
          <w:lang w:eastAsia="en-GB"/>
          <w14:ligatures w14:val="none"/>
        </w:rPr>
        <w:t xml:space="preserve"> 24 April 2</w:t>
      </w:r>
      <w:r>
        <w:rPr>
          <w:rFonts w:ascii="Times New Roman" w:eastAsia="Times New Roman" w:hAnsi="Times New Roman" w:cs="Times New Roman"/>
          <w:kern w:val="0"/>
          <w:lang w:eastAsia="en-GB"/>
          <w14:ligatures w14:val="none"/>
        </w:rPr>
        <w:t>026</w:t>
      </w:r>
    </w:p>
    <w:p w14:paraId="352015E9"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778554DF">
          <v:rect id="_x0000_i1025" style="width:0;height:1.5pt" o:hralign="center" o:hrstd="t" o:hr="t" fillcolor="#a0a0a0" stroked="f"/>
        </w:pict>
      </w:r>
    </w:p>
    <w:p w14:paraId="2AF54F9B" w14:textId="77777777" w:rsidR="002D376E" w:rsidRPr="0022504D" w:rsidRDefault="002D376E" w:rsidP="002D37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504D">
        <w:rPr>
          <w:rFonts w:ascii="Times New Roman" w:eastAsia="Times New Roman" w:hAnsi="Times New Roman" w:cs="Times New Roman"/>
          <w:b/>
          <w:bCs/>
          <w:kern w:val="0"/>
          <w:sz w:val="36"/>
          <w:szCs w:val="36"/>
          <w:lang w:eastAsia="en-GB"/>
          <w14:ligatures w14:val="none"/>
        </w:rPr>
        <w:t xml:space="preserve">Abstract </w:t>
      </w:r>
    </w:p>
    <w:p w14:paraId="1FFBBD7C"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This report examines the life course approach to health and wellbeing, focusing on how social, economic and environmental factors shape health outcomes over time. Drawing on recent research, theory and policy, it explores how inequalities emerge and accumulate across the lifespan. The report discusses key determinants such as education, income, employment and living conditions, while also evaluating the effectiveness of life course interventions. It argues that although these interventions have improved some outcomes, their overall impact is often limited by wider structural inequalities. The report concludes that a more coordinated and preventative approach is required to achieve long-term improvements in population health.</w:t>
      </w:r>
    </w:p>
    <w:p w14:paraId="17A0FF2A"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5115DAE8">
          <v:rect id="_x0000_i1026" style="width:0;height:1.5pt" o:hralign="center" o:hrstd="t" o:hr="t" fillcolor="#a0a0a0" stroked="f"/>
        </w:pict>
      </w:r>
    </w:p>
    <w:p w14:paraId="16699BD1" w14:textId="77777777" w:rsidR="002D376E" w:rsidRPr="0022504D" w:rsidRDefault="002D376E" w:rsidP="002D37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504D">
        <w:rPr>
          <w:rFonts w:ascii="Times New Roman" w:eastAsia="Times New Roman" w:hAnsi="Times New Roman" w:cs="Times New Roman"/>
          <w:b/>
          <w:bCs/>
          <w:kern w:val="0"/>
          <w:sz w:val="36"/>
          <w:szCs w:val="36"/>
          <w:lang w:eastAsia="en-GB"/>
          <w14:ligatures w14:val="none"/>
        </w:rPr>
        <w:t xml:space="preserve">Contents </w:t>
      </w:r>
      <w:r w:rsidRPr="0022504D">
        <w:rPr>
          <w:rFonts w:ascii="Times New Roman" w:eastAsia="Times New Roman" w:hAnsi="Times New Roman" w:cs="Times New Roman"/>
          <w:b/>
          <w:bCs/>
          <w:i/>
          <w:iCs/>
          <w:kern w:val="0"/>
          <w:sz w:val="36"/>
          <w:szCs w:val="36"/>
          <w:lang w:eastAsia="en-GB"/>
          <w14:ligatures w14:val="none"/>
        </w:rPr>
        <w:t>(not included in word count)</w:t>
      </w:r>
    </w:p>
    <w:p w14:paraId="6C8B652F"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Introduction </w:t>
      </w:r>
    </w:p>
    <w:p w14:paraId="3AB5A81F"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Social Factors </w:t>
      </w:r>
    </w:p>
    <w:p w14:paraId="65FF8467"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Economic Factors </w:t>
      </w:r>
    </w:p>
    <w:p w14:paraId="168746C7"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Environmental Factors </w:t>
      </w:r>
    </w:p>
    <w:p w14:paraId="5EB2EE39"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Conclusions and Recommendations </w:t>
      </w:r>
    </w:p>
    <w:p w14:paraId="1169E7D0"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Appendices </w:t>
      </w:r>
    </w:p>
    <w:p w14:paraId="26EEC7A4" w14:textId="77777777" w:rsidR="002D376E" w:rsidRPr="0022504D" w:rsidRDefault="002D376E" w:rsidP="002D376E">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References </w:t>
      </w:r>
    </w:p>
    <w:p w14:paraId="316DB772"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4E7BE5B3">
          <v:rect id="_x0000_i1027" style="width:0;height:1.5pt" o:hralign="center" o:hrstd="t" o:hr="t" fillcolor="#a0a0a0" stroked="f"/>
        </w:pict>
      </w:r>
    </w:p>
    <w:p w14:paraId="59235439"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1. Introduction</w:t>
      </w:r>
    </w:p>
    <w:p w14:paraId="3B62F74F"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The life course approach provides a useful way of understanding how health develops over time rather than being shaped at a single point. The World Health Organization defines this approach as one that considers how biological, social and environmental factors interact throughout an individual’s life to influence health outcomes (WHO, 2025). This perspective </w:t>
      </w:r>
      <w:r w:rsidRPr="0022504D">
        <w:rPr>
          <w:rFonts w:ascii="Times New Roman" w:eastAsia="Times New Roman" w:hAnsi="Times New Roman" w:cs="Times New Roman"/>
          <w:kern w:val="0"/>
          <w:lang w:eastAsia="en-GB"/>
          <w14:ligatures w14:val="none"/>
        </w:rPr>
        <w:lastRenderedPageBreak/>
        <w:t>highlights the importance of early life experiences, particularly during childhood, in shaping long-term wellbeing.</w:t>
      </w:r>
    </w:p>
    <w:p w14:paraId="5EB65B0D"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This understanding is supported by ecological theory, which suggests that individuals are influenced by multiple layers of their environment, ranging from immediate family relationships to wider social and economic systems (Bronfenbrenner, 1979). As a result, health cannot be explained purely by individual behaviour but must be understood within a broader social context.</w:t>
      </w:r>
    </w:p>
    <w:p w14:paraId="14CFFB42"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Research in life course epidemiology shows that early exposures can have lasting effects on health, with disadvantage often accumulating over time (Ben-Shlomo and Kuh, 2020). These patterns frequently continue across generations, reinforcing inequalities (Aagaard-Hansen et al., 2021). In addition, evidence suggests that health inequalities are closely linked to wider structural conditions rather than individual lifestyle choices alone (Marmot and Allen, 2020).</w:t>
      </w:r>
    </w:p>
    <w:p w14:paraId="09E6DE48"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This report draws on a range of academic and policy sources, including materials from the World Health Organization, OECD and World Bank. It examines how social, economic and environmental factors shape health across the life course and evaluates the effectiveness of related interventions. However, while the life course approach provides a strong theoretical framework, its practical application is often limited by policy fragmentation and unequal access to resources, raising questions about how effectively it can reduce health inequalities in practice.</w:t>
      </w:r>
    </w:p>
    <w:p w14:paraId="78EA38AF"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0227E1B1">
          <v:rect id="_x0000_i1028" style="width:0;height:1.5pt" o:hralign="center" o:hrstd="t" o:hr="t" fillcolor="#a0a0a0" stroked="f"/>
        </w:pict>
      </w:r>
    </w:p>
    <w:p w14:paraId="4C8D8B2F"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2. Social Factors</w:t>
      </w:r>
    </w:p>
    <w:p w14:paraId="6D215C6B"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Social factors are central to shaping health outcomes throughout the life course. These include family relationships, education, social networks and cultural influences, all of which affect wellbeing and life opportunities.</w:t>
      </w:r>
    </w:p>
    <w:p w14:paraId="33E3669D"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The complexity of these influences is often illustrated through models such as Dahlgren and Whitehead (2006), which demonstrate how different layers of determinants interact to shape health outcomes.</w:t>
      </w:r>
    </w:p>
    <w:p w14:paraId="35E464AF"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4F09F8B9">
          <v:rect id="_x0000_i1029" style="width:0;height:1.5pt" o:hralign="center" o:hrstd="t" o:hr="t" fillcolor="#a0a0a0" stroked="f"/>
        </w:pict>
      </w:r>
    </w:p>
    <w:p w14:paraId="15F76AA3" w14:textId="77777777" w:rsidR="002D376E" w:rsidRPr="0022504D" w:rsidRDefault="002D376E" w:rsidP="002D376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504D">
        <w:rPr>
          <w:rFonts w:ascii="Times New Roman" w:eastAsia="Times New Roman" w:hAnsi="Times New Roman" w:cs="Times New Roman"/>
          <w:b/>
          <w:bCs/>
          <w:kern w:val="0"/>
          <w:sz w:val="27"/>
          <w:szCs w:val="27"/>
          <w:lang w:eastAsia="en-GB"/>
          <w14:ligatures w14:val="none"/>
        </w:rPr>
        <w:t>Figure 1: The Main Determinants of Health (Dahlgren and Whitehead, 2006)</w:t>
      </w:r>
    </w:p>
    <w:p w14:paraId="4FC2B99E"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Layer 1 – Individual characteristics: Age, sex and genetic factors</w:t>
      </w:r>
      <w:r w:rsidRPr="0022504D">
        <w:rPr>
          <w:rFonts w:ascii="Times New Roman" w:eastAsia="Times New Roman" w:hAnsi="Times New Roman" w:cs="Times New Roman"/>
          <w:kern w:val="0"/>
          <w:lang w:eastAsia="en-GB"/>
          <w14:ligatures w14:val="none"/>
        </w:rPr>
        <w:br/>
        <w:t>Layer 2 – Lifestyle factors: Diet, physical activity and behaviours</w:t>
      </w:r>
      <w:r w:rsidRPr="0022504D">
        <w:rPr>
          <w:rFonts w:ascii="Times New Roman" w:eastAsia="Times New Roman" w:hAnsi="Times New Roman" w:cs="Times New Roman"/>
          <w:kern w:val="0"/>
          <w:lang w:eastAsia="en-GB"/>
          <w14:ligatures w14:val="none"/>
        </w:rPr>
        <w:br/>
        <w:t>Layer 3 – Social and community networks: Family and social support</w:t>
      </w:r>
      <w:r w:rsidRPr="0022504D">
        <w:rPr>
          <w:rFonts w:ascii="Times New Roman" w:eastAsia="Times New Roman" w:hAnsi="Times New Roman" w:cs="Times New Roman"/>
          <w:kern w:val="0"/>
          <w:lang w:eastAsia="en-GB"/>
          <w14:ligatures w14:val="none"/>
        </w:rPr>
        <w:br/>
        <w:t>Layer 4 – Living and working conditions: Housing, education, employment, healthcare</w:t>
      </w:r>
      <w:r w:rsidRPr="0022504D">
        <w:rPr>
          <w:rFonts w:ascii="Times New Roman" w:eastAsia="Times New Roman" w:hAnsi="Times New Roman" w:cs="Times New Roman"/>
          <w:kern w:val="0"/>
          <w:lang w:eastAsia="en-GB"/>
          <w14:ligatures w14:val="none"/>
        </w:rPr>
        <w:br/>
        <w:t>Layer 5 – Wider socioeconomic, cultural and environmental conditions</w:t>
      </w:r>
    </w:p>
    <w:p w14:paraId="7C57CA65"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4C97BE9B">
          <v:rect id="_x0000_i1030" style="width:0;height:1.5pt" o:hralign="center" o:hrstd="t" o:hr="t" fillcolor="#a0a0a0" stroked="f"/>
        </w:pict>
      </w:r>
    </w:p>
    <w:p w14:paraId="4EFC8964"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lastRenderedPageBreak/>
        <w:t>Figure 1 highlights that health is influenced by multiple interconnected layers, demonstrating that outcomes are shaped not only by individual behaviours but also by broader structural conditions (Dahlgren and Whitehead, 2006).</w:t>
      </w:r>
    </w:p>
    <w:p w14:paraId="492F8F2E"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Family environment is particularly important during early life. Supportive relationships can promote positive development, while adverse childhood experiences may increase the risk of long-term health problems (Baxter et al., 2022). These early experiences often influence behaviour, emotional wellbeing and coping strategies later in life.</w:t>
      </w:r>
    </w:p>
    <w:p w14:paraId="4094A6FC"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Education is another key determinant. Individuals with higher levels of education tend to experience better health outcomes due to improved opportunities and health literacy (Giddens and Sutton, 2021). In contrast, limited education is often linked to poorer health outcomes and reduced life chances.</w:t>
      </w:r>
    </w:p>
    <w:p w14:paraId="21D6F222"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Social relationships also play an important role. Strong support networks can reduce stress and improve mental health, while social isolation is associated with negative outcomes (Frawley, 2020). Research shows that inequalities in social conditions remain a major contributor to differences in health across populations (Scambler, 2020; Fancourt and Finn, 2021).</w:t>
      </w:r>
    </w:p>
    <w:p w14:paraId="4E13BAFF"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While social interventions such as education and community support can improve outcomes, some researchers argue that their impact remains limited without addressing deeper structural inequalities, suggesting that individual-level approaches alone are insufficient to reduce long-term health disparities.</w:t>
      </w:r>
    </w:p>
    <w:p w14:paraId="65F9AEC3"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74781247">
          <v:rect id="_x0000_i1031" style="width:0;height:1.5pt" o:hralign="center" o:hrstd="t" o:hr="t" fillcolor="#a0a0a0" stroked="f"/>
        </w:pict>
      </w:r>
    </w:p>
    <w:p w14:paraId="36B25EC9"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3. Economic Factors</w:t>
      </w:r>
    </w:p>
    <w:p w14:paraId="73EB06BB"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Economic conditions are closely linked to health and wellbeing and represent a major source of inequality. Income, employment and socioeconomic status influence access to essential resources such as housing, healthcare and nutrition.</w:t>
      </w:r>
    </w:p>
    <w:p w14:paraId="1A6E193D"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Income inequality is associated with poorer health outcomes, particularly in more unequal societies (Pickett and Wilkinson, 2021). Individuals in lower socioeconomic groups are more likely to experience chronic illness and reduced life expectancy (Public Health England, 2021).</w:t>
      </w:r>
    </w:p>
    <w:p w14:paraId="0CCB02D1"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Employment also plays a crucial role. Stable employment provides financial security and supports mental wellbeing, while unemployment or insecure work is linked to stress </w:t>
      </w:r>
      <w:r>
        <w:rPr>
          <w:rFonts w:ascii="Times New Roman" w:eastAsia="Times New Roman" w:hAnsi="Times New Roman" w:cs="Times New Roman"/>
          <w:kern w:val="0"/>
          <w:lang w:eastAsia="en-GB"/>
          <w14:ligatures w14:val="none"/>
        </w:rPr>
        <w:t xml:space="preserve">and </w:t>
      </w:r>
      <w:r w:rsidRPr="0022504D">
        <w:rPr>
          <w:rFonts w:ascii="Times New Roman" w:eastAsia="Times New Roman" w:hAnsi="Times New Roman" w:cs="Times New Roman"/>
          <w:kern w:val="0"/>
          <w:lang w:eastAsia="en-GB"/>
          <w14:ligatures w14:val="none"/>
        </w:rPr>
        <w:t>poorer health outcomes (OECD, 2023).</w:t>
      </w:r>
    </w:p>
    <w:p w14:paraId="6337D49B"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Economic disadvantage in early life can have long-term effects. Children growing up in poverty are more likely to experience poorer health and limited opportunities later in life (World Bank, 2024). These effects often persist across the life course, reinforcing inequality.</w:t>
      </w:r>
    </w:p>
    <w:p w14:paraId="6FE41F7D"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Although policies have been introduced to reduce economic inequality, their effectiveness has often been uneven. In some cases, economic growth has not led to improved health </w:t>
      </w:r>
      <w:r w:rsidRPr="0022504D">
        <w:rPr>
          <w:rFonts w:ascii="Times New Roman" w:eastAsia="Times New Roman" w:hAnsi="Times New Roman" w:cs="Times New Roman"/>
          <w:kern w:val="0"/>
          <w:lang w:eastAsia="en-GB"/>
          <w14:ligatures w14:val="none"/>
        </w:rPr>
        <w:lastRenderedPageBreak/>
        <w:t>outcomes for all groups, highlighting ongoing disparities. This raises concerns about the extent to which economic policies alone can address health inequalities.</w:t>
      </w:r>
    </w:p>
    <w:p w14:paraId="1D98EECE"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3D62230E">
          <v:rect id="_x0000_i1032" style="width:0;height:1.5pt" o:hralign="center" o:hrstd="t" o:hr="t" fillcolor="#a0a0a0" stroked="f"/>
        </w:pict>
      </w:r>
    </w:p>
    <w:p w14:paraId="0F0E1A00"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4. Environmental Factors</w:t>
      </w:r>
    </w:p>
    <w:p w14:paraId="2B08183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Environmental conditions play an important role in shaping health outcomes. These include housing quality, air pollution and access to green spaces.</w:t>
      </w:r>
    </w:p>
    <w:p w14:paraId="7095C1E1"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Poor housing conditions are associated with a range of health problems, including respiratory illness and mental health issues (Glasby, 2017). Overcrowding and inadequate housing can further increase risks, particularly for vulnerable groups.</w:t>
      </w:r>
    </w:p>
    <w:p w14:paraId="3C3BD504"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Air pollution is another significant concern. Exposure to polluted air is linked to respiratory and cardiovascular diseases, especially in urban areas (WHO, 2025).</w:t>
      </w:r>
    </w:p>
    <w:p w14:paraId="5E67D31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Access to green spaces has been shown to improve both physical and mental wellbeing by encouraging physical activity and reducing stress (Health Foundation, 2024). However, access remains unequal, with disadvantaged communities often having fewer opportunities to benefit.</w:t>
      </w:r>
    </w:p>
    <w:p w14:paraId="501A14FD"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Although environmental policies have gained increasing attention, their implementation often fails to prioritise disadvantaged communities, limiting their effectiveness in reducing health inequalities.</w:t>
      </w:r>
    </w:p>
    <w:p w14:paraId="13A3FC83"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78E7B443">
          <v:rect id="_x0000_i1033" style="width:0;height:1.5pt" o:hralign="center" o:hrstd="t" o:hr="t" fillcolor="#a0a0a0" stroked="f"/>
        </w:pict>
      </w:r>
    </w:p>
    <w:p w14:paraId="151AF5D3"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5. Conclusions and Recommendations</w:t>
      </w:r>
    </w:p>
    <w:p w14:paraId="46555706"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This report has demonstrated that health outcomes are shaped by a complex interaction of social, economic and environmental factors across the life course. While interventions have contributed to improvements in some areas, their overall effectiveness remains constrained by persistent structural inequalities. This highlights the need for a more integrated and preventative approach that addresses both individual behaviours and wider determinants of health.</w:t>
      </w:r>
    </w:p>
    <w:p w14:paraId="52F863EF" w14:textId="77777777" w:rsidR="002D376E" w:rsidRPr="0022504D" w:rsidRDefault="002D376E" w:rsidP="002D37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504D">
        <w:rPr>
          <w:rFonts w:ascii="Times New Roman" w:eastAsia="Times New Roman" w:hAnsi="Times New Roman" w:cs="Times New Roman"/>
          <w:b/>
          <w:bCs/>
          <w:kern w:val="0"/>
          <w:sz w:val="36"/>
          <w:szCs w:val="36"/>
          <w:lang w:eastAsia="en-GB"/>
          <w14:ligatures w14:val="none"/>
        </w:rPr>
        <w:t>Recommendations</w:t>
      </w:r>
    </w:p>
    <w:p w14:paraId="1E1EB11A"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Policy:</w:t>
      </w:r>
      <w:r w:rsidRPr="0022504D">
        <w:rPr>
          <w:rFonts w:ascii="Times New Roman" w:eastAsia="Times New Roman" w:hAnsi="Times New Roman" w:cs="Times New Roman"/>
          <w:kern w:val="0"/>
          <w:lang w:eastAsia="en-GB"/>
          <w14:ligatures w14:val="none"/>
        </w:rPr>
        <w:br/>
        <w:t>Increase investment in early intervention and reduce socioeconomic inequalities through improved access to education, housing and healthcare.</w:t>
      </w:r>
    </w:p>
    <w:p w14:paraId="1A7CEDCB"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Practice:</w:t>
      </w:r>
      <w:r w:rsidRPr="0022504D">
        <w:rPr>
          <w:rFonts w:ascii="Times New Roman" w:eastAsia="Times New Roman" w:hAnsi="Times New Roman" w:cs="Times New Roman"/>
          <w:kern w:val="0"/>
          <w:lang w:eastAsia="en-GB"/>
          <w14:ligatures w14:val="none"/>
        </w:rPr>
        <w:br/>
        <w:t>Strengthen preventative healthcare and expand community-based services, particularly in disadvantaged areas.</w:t>
      </w:r>
    </w:p>
    <w:p w14:paraId="45BB32D4"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lastRenderedPageBreak/>
        <w:t>Education:</w:t>
      </w:r>
      <w:r w:rsidRPr="0022504D">
        <w:rPr>
          <w:rFonts w:ascii="Times New Roman" w:eastAsia="Times New Roman" w:hAnsi="Times New Roman" w:cs="Times New Roman"/>
          <w:kern w:val="0"/>
          <w:lang w:eastAsia="en-GB"/>
          <w14:ligatures w14:val="none"/>
        </w:rPr>
        <w:br/>
        <w:t>Promote health literacy from an early age and improve access to education to support long-term wellbeing.</w:t>
      </w:r>
    </w:p>
    <w:p w14:paraId="3999BDB1"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Environment:</w:t>
      </w:r>
      <w:r w:rsidRPr="0022504D">
        <w:rPr>
          <w:rFonts w:ascii="Times New Roman" w:eastAsia="Times New Roman" w:hAnsi="Times New Roman" w:cs="Times New Roman"/>
          <w:kern w:val="0"/>
          <w:lang w:eastAsia="en-GB"/>
          <w14:ligatures w14:val="none"/>
        </w:rPr>
        <w:br/>
        <w:t>Improve housing conditions, reduce air pollution and increase access to green spaces.</w:t>
      </w:r>
    </w:p>
    <w:p w14:paraId="5A0EFE80"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Research:</w:t>
      </w:r>
      <w:r w:rsidRPr="0022504D">
        <w:rPr>
          <w:rFonts w:ascii="Times New Roman" w:eastAsia="Times New Roman" w:hAnsi="Times New Roman" w:cs="Times New Roman"/>
          <w:kern w:val="0"/>
          <w:lang w:eastAsia="en-GB"/>
          <w14:ligatures w14:val="none"/>
        </w:rPr>
        <w:br/>
        <w:t>Support longitudinal studies to better understand health patterns and evaluate interventions (Nilsen, 2023; Marmot et al., 2024).</w:t>
      </w:r>
    </w:p>
    <w:p w14:paraId="0C464E1E"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6BFB68EC">
          <v:rect id="_x0000_i1034" style="width:0;height:1.5pt" o:hralign="center" o:hrstd="t" o:hr="t" fillcolor="#a0a0a0" stroked="f"/>
        </w:pict>
      </w:r>
    </w:p>
    <w:p w14:paraId="002F91AB" w14:textId="77777777" w:rsidR="002D376E" w:rsidRPr="0022504D" w:rsidRDefault="002D376E" w:rsidP="002D376E">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504D">
        <w:rPr>
          <w:rFonts w:ascii="Times New Roman" w:eastAsia="Times New Roman" w:hAnsi="Times New Roman" w:cs="Times New Roman"/>
          <w:b/>
          <w:bCs/>
          <w:kern w:val="0"/>
          <w:sz w:val="36"/>
          <w:szCs w:val="36"/>
          <w:lang w:eastAsia="en-GB"/>
          <w14:ligatures w14:val="none"/>
        </w:rPr>
        <w:t>Appendices</w:t>
      </w:r>
    </w:p>
    <w:p w14:paraId="3BF40C83"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Appendix 1: Determinants of Health Summary</w:t>
      </w:r>
      <w:r w:rsidRPr="0022504D">
        <w:rPr>
          <w:rFonts w:ascii="Times New Roman" w:eastAsia="Times New Roman" w:hAnsi="Times New Roman" w:cs="Times New Roman"/>
          <w:kern w:val="0"/>
          <w:lang w:eastAsia="en-GB"/>
          <w14:ligatures w14:val="none"/>
        </w:rPr>
        <w:br/>
        <w:t>Health is shaped by multiple interacting layers including individual, social and structural factors.</w:t>
      </w:r>
    </w:p>
    <w:p w14:paraId="1C90CAB2"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b/>
          <w:bCs/>
          <w:kern w:val="0"/>
          <w:lang w:eastAsia="en-GB"/>
          <w14:ligatures w14:val="none"/>
        </w:rPr>
        <w:t>Appendix 2: Life Course Interventions Summary</w:t>
      </w:r>
      <w:r w:rsidRPr="0022504D">
        <w:rPr>
          <w:rFonts w:ascii="Times New Roman" w:eastAsia="Times New Roman" w:hAnsi="Times New Roman" w:cs="Times New Roman"/>
          <w:kern w:val="0"/>
          <w:lang w:eastAsia="en-GB"/>
          <w14:ligatures w14:val="none"/>
        </w:rPr>
        <w:br/>
        <w:t>Life course interventions aim to improve health outcomes at different stages of life, particularly through early intervention and prevention.</w:t>
      </w:r>
    </w:p>
    <w:p w14:paraId="79BCCD00" w14:textId="77777777" w:rsidR="002D376E" w:rsidRPr="0022504D" w:rsidRDefault="002D376E" w:rsidP="002D376E">
      <w:pPr>
        <w:spacing w:after="0"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pict w14:anchorId="26F505DF">
          <v:rect id="_x0000_i1035" style="width:0;height:1.5pt" o:hralign="center" o:hrstd="t" o:hr="t" fillcolor="#a0a0a0" stroked="f"/>
        </w:pict>
      </w:r>
    </w:p>
    <w:p w14:paraId="5B117DFF" w14:textId="77777777" w:rsidR="002D376E" w:rsidRPr="0022504D" w:rsidRDefault="002D376E" w:rsidP="002D376E">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504D">
        <w:rPr>
          <w:rFonts w:ascii="Times New Roman" w:eastAsia="Times New Roman" w:hAnsi="Times New Roman" w:cs="Times New Roman"/>
          <w:b/>
          <w:bCs/>
          <w:kern w:val="36"/>
          <w:sz w:val="48"/>
          <w:szCs w:val="48"/>
          <w:lang w:eastAsia="en-GB"/>
          <w14:ligatures w14:val="none"/>
        </w:rPr>
        <w:t>References</w:t>
      </w:r>
    </w:p>
    <w:p w14:paraId="491B895C"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Aagaard-Hansen, J., Norris, S.A., Maindal, H.T., Hanson, M. and Fall, C. (2021) ‘What are the public health implications of the life course perspective?’, </w:t>
      </w:r>
      <w:r w:rsidRPr="0022504D">
        <w:rPr>
          <w:rFonts w:ascii="Times New Roman" w:eastAsia="Times New Roman" w:hAnsi="Times New Roman" w:cs="Times New Roman"/>
          <w:i/>
          <w:iCs/>
          <w:kern w:val="0"/>
          <w:lang w:eastAsia="en-GB"/>
          <w14:ligatures w14:val="none"/>
        </w:rPr>
        <w:t>Global Health Action</w:t>
      </w:r>
      <w:r w:rsidRPr="0022504D">
        <w:rPr>
          <w:rFonts w:ascii="Times New Roman" w:eastAsia="Times New Roman" w:hAnsi="Times New Roman" w:cs="Times New Roman"/>
          <w:kern w:val="0"/>
          <w:lang w:eastAsia="en-GB"/>
          <w14:ligatures w14:val="none"/>
        </w:rPr>
        <w:t>, 14(1), pp. 1–11.</w:t>
      </w:r>
    </w:p>
    <w:p w14:paraId="40717393"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Baxter, J., Lam, J., Povey, J., Lee, R. and Zubrick, S.R. (2022) </w:t>
      </w:r>
      <w:r w:rsidRPr="0022504D">
        <w:rPr>
          <w:rFonts w:ascii="Times New Roman" w:eastAsia="Times New Roman" w:hAnsi="Times New Roman" w:cs="Times New Roman"/>
          <w:i/>
          <w:iCs/>
          <w:kern w:val="0"/>
          <w:lang w:eastAsia="en-GB"/>
          <w14:ligatures w14:val="none"/>
        </w:rPr>
        <w:t>Family Dynamics Over the Life Course: Foundations, Turning Points and Outcomes</w:t>
      </w:r>
      <w:r w:rsidRPr="0022504D">
        <w:rPr>
          <w:rFonts w:ascii="Times New Roman" w:eastAsia="Times New Roman" w:hAnsi="Times New Roman" w:cs="Times New Roman"/>
          <w:kern w:val="0"/>
          <w:lang w:eastAsia="en-GB"/>
          <w14:ligatures w14:val="none"/>
        </w:rPr>
        <w:t>. Cham: Springer.</w:t>
      </w:r>
    </w:p>
    <w:p w14:paraId="5B6BB07B"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Ben-Shlomo, Y. and Kuh, D. (2020) ‘A life course approach to chronic disease epidemiology’, </w:t>
      </w:r>
      <w:r w:rsidRPr="0022504D">
        <w:rPr>
          <w:rFonts w:ascii="Times New Roman" w:eastAsia="Times New Roman" w:hAnsi="Times New Roman" w:cs="Times New Roman"/>
          <w:i/>
          <w:iCs/>
          <w:kern w:val="0"/>
          <w:lang w:eastAsia="en-GB"/>
          <w14:ligatures w14:val="none"/>
        </w:rPr>
        <w:t>International Journal of Epidemiology</w:t>
      </w:r>
      <w:r w:rsidRPr="0022504D">
        <w:rPr>
          <w:rFonts w:ascii="Times New Roman" w:eastAsia="Times New Roman" w:hAnsi="Times New Roman" w:cs="Times New Roman"/>
          <w:kern w:val="0"/>
          <w:lang w:eastAsia="en-GB"/>
          <w14:ligatures w14:val="none"/>
        </w:rPr>
        <w:t>, 49(4), pp. 1223–1235.</w:t>
      </w:r>
    </w:p>
    <w:p w14:paraId="4D5E55F8"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Bronfenbrenner, U. (1979) </w:t>
      </w:r>
      <w:r w:rsidRPr="0022504D">
        <w:rPr>
          <w:rFonts w:ascii="Times New Roman" w:eastAsia="Times New Roman" w:hAnsi="Times New Roman" w:cs="Times New Roman"/>
          <w:i/>
          <w:iCs/>
          <w:kern w:val="0"/>
          <w:lang w:eastAsia="en-GB"/>
          <w14:ligatures w14:val="none"/>
        </w:rPr>
        <w:t>The Ecology of Human Development: Experiments by Nature and Design</w:t>
      </w:r>
      <w:r w:rsidRPr="0022504D">
        <w:rPr>
          <w:rFonts w:ascii="Times New Roman" w:eastAsia="Times New Roman" w:hAnsi="Times New Roman" w:cs="Times New Roman"/>
          <w:kern w:val="0"/>
          <w:lang w:eastAsia="en-GB"/>
          <w14:ligatures w14:val="none"/>
        </w:rPr>
        <w:t>. Cambridge, MA: Harvard University Press.</w:t>
      </w:r>
    </w:p>
    <w:p w14:paraId="3714EB8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Dahlgren, G. and Whitehead, M. (2006) </w:t>
      </w:r>
      <w:r w:rsidRPr="0022504D">
        <w:rPr>
          <w:rFonts w:ascii="Times New Roman" w:eastAsia="Times New Roman" w:hAnsi="Times New Roman" w:cs="Times New Roman"/>
          <w:i/>
          <w:iCs/>
          <w:kern w:val="0"/>
          <w:lang w:eastAsia="en-GB"/>
          <w14:ligatures w14:val="none"/>
        </w:rPr>
        <w:t>European strategies for tackling social inequities in health: Levelling up Part 2</w:t>
      </w:r>
      <w:r w:rsidRPr="0022504D">
        <w:rPr>
          <w:rFonts w:ascii="Times New Roman" w:eastAsia="Times New Roman" w:hAnsi="Times New Roman" w:cs="Times New Roman"/>
          <w:kern w:val="0"/>
          <w:lang w:eastAsia="en-GB"/>
          <w14:ligatures w14:val="none"/>
        </w:rPr>
        <w:t>. Copenhagen: World Health Organization Regional Office for Europe.</w:t>
      </w:r>
    </w:p>
    <w:p w14:paraId="389C6B1E"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Fancourt, D. and Finn, S. (2021) ‘Health inequalities and social determinants of health’, </w:t>
      </w:r>
      <w:r w:rsidRPr="0022504D">
        <w:rPr>
          <w:rFonts w:ascii="Times New Roman" w:eastAsia="Times New Roman" w:hAnsi="Times New Roman" w:cs="Times New Roman"/>
          <w:i/>
          <w:iCs/>
          <w:kern w:val="0"/>
          <w:lang w:eastAsia="en-GB"/>
          <w14:ligatures w14:val="none"/>
        </w:rPr>
        <w:t>The Lancet Public Health</w:t>
      </w:r>
      <w:r w:rsidRPr="0022504D">
        <w:rPr>
          <w:rFonts w:ascii="Times New Roman" w:eastAsia="Times New Roman" w:hAnsi="Times New Roman" w:cs="Times New Roman"/>
          <w:kern w:val="0"/>
          <w:lang w:eastAsia="en-GB"/>
          <w14:ligatures w14:val="none"/>
        </w:rPr>
        <w:t>, 6(6), pp. e385–e386.</w:t>
      </w:r>
    </w:p>
    <w:p w14:paraId="63C625E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lastRenderedPageBreak/>
        <w:t xml:space="preserve">Frawley, A. (2020) ‘Sociology of health and illness’, in Edwards, D.J. and Best, S. (eds.) </w:t>
      </w:r>
      <w:r w:rsidRPr="0022504D">
        <w:rPr>
          <w:rFonts w:ascii="Times New Roman" w:eastAsia="Times New Roman" w:hAnsi="Times New Roman" w:cs="Times New Roman"/>
          <w:i/>
          <w:iCs/>
          <w:kern w:val="0"/>
          <w:lang w:eastAsia="en-GB"/>
          <w14:ligatures w14:val="none"/>
        </w:rPr>
        <w:t>The Textbook of Health and Social Care</w:t>
      </w:r>
      <w:r w:rsidRPr="0022504D">
        <w:rPr>
          <w:rFonts w:ascii="Times New Roman" w:eastAsia="Times New Roman" w:hAnsi="Times New Roman" w:cs="Times New Roman"/>
          <w:kern w:val="0"/>
          <w:lang w:eastAsia="en-GB"/>
          <w14:ligatures w14:val="none"/>
        </w:rPr>
        <w:t>. London: Sage, pp. 3–19.</w:t>
      </w:r>
    </w:p>
    <w:p w14:paraId="43A8FE1D"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Giddens, A. and Sutton, P.W. (2021) </w:t>
      </w:r>
      <w:r w:rsidRPr="0022504D">
        <w:rPr>
          <w:rFonts w:ascii="Times New Roman" w:eastAsia="Times New Roman" w:hAnsi="Times New Roman" w:cs="Times New Roman"/>
          <w:i/>
          <w:iCs/>
          <w:kern w:val="0"/>
          <w:lang w:eastAsia="en-GB"/>
          <w14:ligatures w14:val="none"/>
        </w:rPr>
        <w:t>Sociology</w:t>
      </w:r>
      <w:r w:rsidRPr="0022504D">
        <w:rPr>
          <w:rFonts w:ascii="Times New Roman" w:eastAsia="Times New Roman" w:hAnsi="Times New Roman" w:cs="Times New Roman"/>
          <w:kern w:val="0"/>
          <w:lang w:eastAsia="en-GB"/>
          <w14:ligatures w14:val="none"/>
        </w:rPr>
        <w:t xml:space="preserve">. 9th </w:t>
      </w:r>
      <w:proofErr w:type="spellStart"/>
      <w:r w:rsidRPr="0022504D">
        <w:rPr>
          <w:rFonts w:ascii="Times New Roman" w:eastAsia="Times New Roman" w:hAnsi="Times New Roman" w:cs="Times New Roman"/>
          <w:kern w:val="0"/>
          <w:lang w:eastAsia="en-GB"/>
          <w14:ligatures w14:val="none"/>
        </w:rPr>
        <w:t>edn</w:t>
      </w:r>
      <w:proofErr w:type="spellEnd"/>
      <w:r w:rsidRPr="0022504D">
        <w:rPr>
          <w:rFonts w:ascii="Times New Roman" w:eastAsia="Times New Roman" w:hAnsi="Times New Roman" w:cs="Times New Roman"/>
          <w:kern w:val="0"/>
          <w:lang w:eastAsia="en-GB"/>
          <w14:ligatures w14:val="none"/>
        </w:rPr>
        <w:t>. Cambridge: Polity Press.</w:t>
      </w:r>
    </w:p>
    <w:p w14:paraId="4529674A"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Glasby, J. (2017) </w:t>
      </w:r>
      <w:r w:rsidRPr="0022504D">
        <w:rPr>
          <w:rFonts w:ascii="Times New Roman" w:eastAsia="Times New Roman" w:hAnsi="Times New Roman" w:cs="Times New Roman"/>
          <w:i/>
          <w:iCs/>
          <w:kern w:val="0"/>
          <w:lang w:eastAsia="en-GB"/>
          <w14:ligatures w14:val="none"/>
        </w:rPr>
        <w:t>Understanding Health and Social Care</w:t>
      </w:r>
      <w:r w:rsidRPr="0022504D">
        <w:rPr>
          <w:rFonts w:ascii="Times New Roman" w:eastAsia="Times New Roman" w:hAnsi="Times New Roman" w:cs="Times New Roman"/>
          <w:kern w:val="0"/>
          <w:lang w:eastAsia="en-GB"/>
          <w14:ligatures w14:val="none"/>
        </w:rPr>
        <w:t xml:space="preserve">. 3rd </w:t>
      </w:r>
      <w:proofErr w:type="spellStart"/>
      <w:r w:rsidRPr="0022504D">
        <w:rPr>
          <w:rFonts w:ascii="Times New Roman" w:eastAsia="Times New Roman" w:hAnsi="Times New Roman" w:cs="Times New Roman"/>
          <w:kern w:val="0"/>
          <w:lang w:eastAsia="en-GB"/>
          <w14:ligatures w14:val="none"/>
        </w:rPr>
        <w:t>edn</w:t>
      </w:r>
      <w:proofErr w:type="spellEnd"/>
      <w:r w:rsidRPr="0022504D">
        <w:rPr>
          <w:rFonts w:ascii="Times New Roman" w:eastAsia="Times New Roman" w:hAnsi="Times New Roman" w:cs="Times New Roman"/>
          <w:kern w:val="0"/>
          <w:lang w:eastAsia="en-GB"/>
          <w14:ligatures w14:val="none"/>
        </w:rPr>
        <w:t>. Bristol: Policy Press.</w:t>
      </w:r>
    </w:p>
    <w:p w14:paraId="606C6A08"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Health Foundation (2024) </w:t>
      </w:r>
      <w:r w:rsidRPr="0022504D">
        <w:rPr>
          <w:rFonts w:ascii="Times New Roman" w:eastAsia="Times New Roman" w:hAnsi="Times New Roman" w:cs="Times New Roman"/>
          <w:i/>
          <w:iCs/>
          <w:kern w:val="0"/>
          <w:lang w:eastAsia="en-GB"/>
          <w14:ligatures w14:val="none"/>
        </w:rPr>
        <w:t>What builds good health? An introduction to the building blocks of health</w:t>
      </w:r>
      <w:r w:rsidRPr="0022504D">
        <w:rPr>
          <w:rFonts w:ascii="Times New Roman" w:eastAsia="Times New Roman" w:hAnsi="Times New Roman" w:cs="Times New Roman"/>
          <w:kern w:val="0"/>
          <w:lang w:eastAsia="en-GB"/>
          <w14:ligatures w14:val="none"/>
        </w:rPr>
        <w:t>. London: Health Foundation.</w:t>
      </w:r>
    </w:p>
    <w:p w14:paraId="3A2CA12E"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Marmot, M. and Allen, J. (2020) ‘COVID-19: exposing and amplifying inequalities’, </w:t>
      </w:r>
      <w:r w:rsidRPr="0022504D">
        <w:rPr>
          <w:rFonts w:ascii="Times New Roman" w:eastAsia="Times New Roman" w:hAnsi="Times New Roman" w:cs="Times New Roman"/>
          <w:i/>
          <w:iCs/>
          <w:kern w:val="0"/>
          <w:lang w:eastAsia="en-GB"/>
          <w14:ligatures w14:val="none"/>
        </w:rPr>
        <w:t>Journal of Epidemiology and Community Health</w:t>
      </w:r>
      <w:r w:rsidRPr="0022504D">
        <w:rPr>
          <w:rFonts w:ascii="Times New Roman" w:eastAsia="Times New Roman" w:hAnsi="Times New Roman" w:cs="Times New Roman"/>
          <w:kern w:val="0"/>
          <w:lang w:eastAsia="en-GB"/>
          <w14:ligatures w14:val="none"/>
        </w:rPr>
        <w:t>, 74(9), pp. 681–682.</w:t>
      </w:r>
    </w:p>
    <w:p w14:paraId="5D30273E"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Marmot, M., Allen, J., Boyce, T., Goldblatt, P. and Morrison, J. (2024) </w:t>
      </w:r>
      <w:r w:rsidRPr="0022504D">
        <w:rPr>
          <w:rFonts w:ascii="Times New Roman" w:eastAsia="Times New Roman" w:hAnsi="Times New Roman" w:cs="Times New Roman"/>
          <w:i/>
          <w:iCs/>
          <w:kern w:val="0"/>
          <w:lang w:eastAsia="en-GB"/>
          <w14:ligatures w14:val="none"/>
        </w:rPr>
        <w:t>Health Equity in England: The Marmot Review 10 Years On</w:t>
      </w:r>
      <w:r w:rsidRPr="0022504D">
        <w:rPr>
          <w:rFonts w:ascii="Times New Roman" w:eastAsia="Times New Roman" w:hAnsi="Times New Roman" w:cs="Times New Roman"/>
          <w:kern w:val="0"/>
          <w:lang w:eastAsia="en-GB"/>
          <w14:ligatures w14:val="none"/>
        </w:rPr>
        <w:t>. London: Institute of Health Equity.</w:t>
      </w:r>
    </w:p>
    <w:p w14:paraId="1B5E64F2"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Nilsen, A. (2023) </w:t>
      </w:r>
      <w:r w:rsidRPr="0022504D">
        <w:rPr>
          <w:rFonts w:ascii="Times New Roman" w:eastAsia="Times New Roman" w:hAnsi="Times New Roman" w:cs="Times New Roman"/>
          <w:i/>
          <w:iCs/>
          <w:kern w:val="0"/>
          <w:lang w:eastAsia="en-GB"/>
          <w14:ligatures w14:val="none"/>
        </w:rPr>
        <w:t>Biographical Life Course Research: Studying the Biography-History Dynamic</w:t>
      </w:r>
      <w:r w:rsidRPr="0022504D">
        <w:rPr>
          <w:rFonts w:ascii="Times New Roman" w:eastAsia="Times New Roman" w:hAnsi="Times New Roman" w:cs="Times New Roman"/>
          <w:kern w:val="0"/>
          <w:lang w:eastAsia="en-GB"/>
          <w14:ligatures w14:val="none"/>
        </w:rPr>
        <w:t>. London: Palgrave Macmillan.</w:t>
      </w:r>
    </w:p>
    <w:p w14:paraId="0F534F3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Organisation for Economic Co-operation and Development (OECD) (2023) </w:t>
      </w:r>
      <w:r w:rsidRPr="0022504D">
        <w:rPr>
          <w:rFonts w:ascii="Times New Roman" w:eastAsia="Times New Roman" w:hAnsi="Times New Roman" w:cs="Times New Roman"/>
          <w:i/>
          <w:iCs/>
          <w:kern w:val="0"/>
          <w:lang w:eastAsia="en-GB"/>
          <w14:ligatures w14:val="none"/>
        </w:rPr>
        <w:t xml:space="preserve">Health </w:t>
      </w:r>
      <w:proofErr w:type="gramStart"/>
      <w:r w:rsidRPr="0022504D">
        <w:rPr>
          <w:rFonts w:ascii="Times New Roman" w:eastAsia="Times New Roman" w:hAnsi="Times New Roman" w:cs="Times New Roman"/>
          <w:i/>
          <w:iCs/>
          <w:kern w:val="0"/>
          <w:lang w:eastAsia="en-GB"/>
          <w14:ligatures w14:val="none"/>
        </w:rPr>
        <w:t>at a Glance</w:t>
      </w:r>
      <w:proofErr w:type="gramEnd"/>
      <w:r w:rsidRPr="0022504D">
        <w:rPr>
          <w:rFonts w:ascii="Times New Roman" w:eastAsia="Times New Roman" w:hAnsi="Times New Roman" w:cs="Times New Roman"/>
          <w:i/>
          <w:iCs/>
          <w:kern w:val="0"/>
          <w:lang w:eastAsia="en-GB"/>
          <w14:ligatures w14:val="none"/>
        </w:rPr>
        <w:t xml:space="preserve"> 2023: OECD Indicators</w:t>
      </w:r>
      <w:r w:rsidRPr="0022504D">
        <w:rPr>
          <w:rFonts w:ascii="Times New Roman" w:eastAsia="Times New Roman" w:hAnsi="Times New Roman" w:cs="Times New Roman"/>
          <w:kern w:val="0"/>
          <w:lang w:eastAsia="en-GB"/>
          <w14:ligatures w14:val="none"/>
        </w:rPr>
        <w:t>. Paris: OECD Publishing.</w:t>
      </w:r>
    </w:p>
    <w:p w14:paraId="0A12A668"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Pickett, K.E. and Wilkinson, R.G. (2021) ‘Income inequality and health’, </w:t>
      </w:r>
      <w:r w:rsidRPr="0022504D">
        <w:rPr>
          <w:rFonts w:ascii="Times New Roman" w:eastAsia="Times New Roman" w:hAnsi="Times New Roman" w:cs="Times New Roman"/>
          <w:i/>
          <w:iCs/>
          <w:kern w:val="0"/>
          <w:lang w:eastAsia="en-GB"/>
          <w14:ligatures w14:val="none"/>
        </w:rPr>
        <w:t>Social Science &amp; Medicine</w:t>
      </w:r>
      <w:r w:rsidRPr="0022504D">
        <w:rPr>
          <w:rFonts w:ascii="Times New Roman" w:eastAsia="Times New Roman" w:hAnsi="Times New Roman" w:cs="Times New Roman"/>
          <w:kern w:val="0"/>
          <w:lang w:eastAsia="en-GB"/>
          <w14:ligatures w14:val="none"/>
        </w:rPr>
        <w:t>, 128, pp. 316–326.</w:t>
      </w:r>
    </w:p>
    <w:p w14:paraId="0886AAD1"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Public Health England (2021) </w:t>
      </w:r>
      <w:r w:rsidRPr="0022504D">
        <w:rPr>
          <w:rFonts w:ascii="Times New Roman" w:eastAsia="Times New Roman" w:hAnsi="Times New Roman" w:cs="Times New Roman"/>
          <w:i/>
          <w:iCs/>
          <w:kern w:val="0"/>
          <w:lang w:eastAsia="en-GB"/>
          <w14:ligatures w14:val="none"/>
        </w:rPr>
        <w:t>Health Profile for England 2021</w:t>
      </w:r>
      <w:r w:rsidRPr="0022504D">
        <w:rPr>
          <w:rFonts w:ascii="Times New Roman" w:eastAsia="Times New Roman" w:hAnsi="Times New Roman" w:cs="Times New Roman"/>
          <w:kern w:val="0"/>
          <w:lang w:eastAsia="en-GB"/>
          <w14:ligatures w14:val="none"/>
        </w:rPr>
        <w:t>. London: Public Health England.</w:t>
      </w:r>
    </w:p>
    <w:p w14:paraId="3153CEE5"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Scambler, G. (2020) </w:t>
      </w:r>
      <w:r w:rsidRPr="0022504D">
        <w:rPr>
          <w:rFonts w:ascii="Times New Roman" w:eastAsia="Times New Roman" w:hAnsi="Times New Roman" w:cs="Times New Roman"/>
          <w:i/>
          <w:iCs/>
          <w:kern w:val="0"/>
          <w:lang w:eastAsia="en-GB"/>
          <w14:ligatures w14:val="none"/>
        </w:rPr>
        <w:t>Sociology as Applied to Health and Medicine</w:t>
      </w:r>
      <w:r w:rsidRPr="0022504D">
        <w:rPr>
          <w:rFonts w:ascii="Times New Roman" w:eastAsia="Times New Roman" w:hAnsi="Times New Roman" w:cs="Times New Roman"/>
          <w:kern w:val="0"/>
          <w:lang w:eastAsia="en-GB"/>
          <w14:ligatures w14:val="none"/>
        </w:rPr>
        <w:t xml:space="preserve">. 7th </w:t>
      </w:r>
      <w:proofErr w:type="spellStart"/>
      <w:r w:rsidRPr="0022504D">
        <w:rPr>
          <w:rFonts w:ascii="Times New Roman" w:eastAsia="Times New Roman" w:hAnsi="Times New Roman" w:cs="Times New Roman"/>
          <w:kern w:val="0"/>
          <w:lang w:eastAsia="en-GB"/>
          <w14:ligatures w14:val="none"/>
        </w:rPr>
        <w:t>edn</w:t>
      </w:r>
      <w:proofErr w:type="spellEnd"/>
      <w:r w:rsidRPr="0022504D">
        <w:rPr>
          <w:rFonts w:ascii="Times New Roman" w:eastAsia="Times New Roman" w:hAnsi="Times New Roman" w:cs="Times New Roman"/>
          <w:kern w:val="0"/>
          <w:lang w:eastAsia="en-GB"/>
          <w14:ligatures w14:val="none"/>
        </w:rPr>
        <w:t>. London: Palgrave Macmillan.</w:t>
      </w:r>
    </w:p>
    <w:p w14:paraId="7734FF2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Scriven, A., Goodall, J. and Morgan, G. (2023) </w:t>
      </w:r>
      <w:r w:rsidRPr="0022504D">
        <w:rPr>
          <w:rFonts w:ascii="Times New Roman" w:eastAsia="Times New Roman" w:hAnsi="Times New Roman" w:cs="Times New Roman"/>
          <w:i/>
          <w:iCs/>
          <w:kern w:val="0"/>
          <w:lang w:eastAsia="en-GB"/>
          <w14:ligatures w14:val="none"/>
        </w:rPr>
        <w:t>Promoting Health: A Practical Guide</w:t>
      </w:r>
      <w:r w:rsidRPr="0022504D">
        <w:rPr>
          <w:rFonts w:ascii="Times New Roman" w:eastAsia="Times New Roman" w:hAnsi="Times New Roman" w:cs="Times New Roman"/>
          <w:kern w:val="0"/>
          <w:lang w:eastAsia="en-GB"/>
          <w14:ligatures w14:val="none"/>
        </w:rPr>
        <w:t xml:space="preserve">. 8th </w:t>
      </w:r>
      <w:proofErr w:type="spellStart"/>
      <w:r w:rsidRPr="0022504D">
        <w:rPr>
          <w:rFonts w:ascii="Times New Roman" w:eastAsia="Times New Roman" w:hAnsi="Times New Roman" w:cs="Times New Roman"/>
          <w:kern w:val="0"/>
          <w:lang w:eastAsia="en-GB"/>
          <w14:ligatures w14:val="none"/>
        </w:rPr>
        <w:t>edn</w:t>
      </w:r>
      <w:proofErr w:type="spellEnd"/>
      <w:r w:rsidRPr="0022504D">
        <w:rPr>
          <w:rFonts w:ascii="Times New Roman" w:eastAsia="Times New Roman" w:hAnsi="Times New Roman" w:cs="Times New Roman"/>
          <w:kern w:val="0"/>
          <w:lang w:eastAsia="en-GB"/>
          <w14:ligatures w14:val="none"/>
        </w:rPr>
        <w:t>. London: Elsevier.</w:t>
      </w:r>
    </w:p>
    <w:p w14:paraId="472D84D0"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World Bank (2024) </w:t>
      </w:r>
      <w:r w:rsidRPr="0022504D">
        <w:rPr>
          <w:rFonts w:ascii="Times New Roman" w:eastAsia="Times New Roman" w:hAnsi="Times New Roman" w:cs="Times New Roman"/>
          <w:i/>
          <w:iCs/>
          <w:kern w:val="0"/>
          <w:lang w:eastAsia="en-GB"/>
          <w14:ligatures w14:val="none"/>
        </w:rPr>
        <w:t>The Changing Wealth of Nations 2024</w:t>
      </w:r>
      <w:r w:rsidRPr="0022504D">
        <w:rPr>
          <w:rFonts w:ascii="Times New Roman" w:eastAsia="Times New Roman" w:hAnsi="Times New Roman" w:cs="Times New Roman"/>
          <w:kern w:val="0"/>
          <w:lang w:eastAsia="en-GB"/>
          <w14:ligatures w14:val="none"/>
        </w:rPr>
        <w:t>. Washington, DC: World Bank.</w:t>
      </w:r>
    </w:p>
    <w:p w14:paraId="384CECF7" w14:textId="77777777" w:rsidR="002D376E" w:rsidRPr="0022504D" w:rsidRDefault="002D376E" w:rsidP="002D376E">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504D">
        <w:rPr>
          <w:rFonts w:ascii="Times New Roman" w:eastAsia="Times New Roman" w:hAnsi="Times New Roman" w:cs="Times New Roman"/>
          <w:kern w:val="0"/>
          <w:lang w:eastAsia="en-GB"/>
          <w14:ligatures w14:val="none"/>
        </w:rPr>
        <w:t xml:space="preserve">World Health Organization (WHO) (2025) </w:t>
      </w:r>
      <w:r w:rsidRPr="0022504D">
        <w:rPr>
          <w:rFonts w:ascii="Times New Roman" w:eastAsia="Times New Roman" w:hAnsi="Times New Roman" w:cs="Times New Roman"/>
          <w:i/>
          <w:iCs/>
          <w:kern w:val="0"/>
          <w:lang w:eastAsia="en-GB"/>
          <w14:ligatures w14:val="none"/>
        </w:rPr>
        <w:t>Framework to implement a life course approach in practice</w:t>
      </w:r>
      <w:r w:rsidRPr="0022504D">
        <w:rPr>
          <w:rFonts w:ascii="Times New Roman" w:eastAsia="Times New Roman" w:hAnsi="Times New Roman" w:cs="Times New Roman"/>
          <w:kern w:val="0"/>
          <w:lang w:eastAsia="en-GB"/>
          <w14:ligatures w14:val="none"/>
        </w:rPr>
        <w:t>. Geneva: World Health Organization.</w:t>
      </w:r>
    </w:p>
    <w:p w14:paraId="7A2B8B8E" w14:textId="77777777" w:rsidR="002D376E" w:rsidRDefault="002D376E" w:rsidP="002D376E"/>
    <w:p w14:paraId="758E730E" w14:textId="77777777" w:rsidR="002D376E" w:rsidRDefault="002D376E"/>
    <w:sectPr w:rsidR="002D376E" w:rsidSect="002D3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E32A71"/>
    <w:multiLevelType w:val="multilevel"/>
    <w:tmpl w:val="F008F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4416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6E"/>
    <w:rsid w:val="002D376E"/>
    <w:rsid w:val="00EF4A9C"/>
    <w:rsid w:val="00FB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C2BB9"/>
  <w15:chartTrackingRefBased/>
  <w15:docId w15:val="{046C182D-7961-4180-AA6F-B9C39E2D9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76E"/>
  </w:style>
  <w:style w:type="paragraph" w:styleId="Heading1">
    <w:name w:val="heading 1"/>
    <w:basedOn w:val="Normal"/>
    <w:next w:val="Normal"/>
    <w:link w:val="Heading1Char"/>
    <w:uiPriority w:val="9"/>
    <w:qFormat/>
    <w:rsid w:val="002D3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76E"/>
    <w:rPr>
      <w:rFonts w:eastAsiaTheme="majorEastAsia" w:cstheme="majorBidi"/>
      <w:color w:val="272727" w:themeColor="text1" w:themeTint="D8"/>
    </w:rPr>
  </w:style>
  <w:style w:type="paragraph" w:styleId="Title">
    <w:name w:val="Title"/>
    <w:basedOn w:val="Normal"/>
    <w:next w:val="Normal"/>
    <w:link w:val="TitleChar"/>
    <w:uiPriority w:val="10"/>
    <w:qFormat/>
    <w:rsid w:val="002D3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76E"/>
    <w:pPr>
      <w:spacing w:before="160"/>
      <w:jc w:val="center"/>
    </w:pPr>
    <w:rPr>
      <w:i/>
      <w:iCs/>
      <w:color w:val="404040" w:themeColor="text1" w:themeTint="BF"/>
    </w:rPr>
  </w:style>
  <w:style w:type="character" w:customStyle="1" w:styleId="QuoteChar">
    <w:name w:val="Quote Char"/>
    <w:basedOn w:val="DefaultParagraphFont"/>
    <w:link w:val="Quote"/>
    <w:uiPriority w:val="29"/>
    <w:rsid w:val="002D376E"/>
    <w:rPr>
      <w:i/>
      <w:iCs/>
      <w:color w:val="404040" w:themeColor="text1" w:themeTint="BF"/>
    </w:rPr>
  </w:style>
  <w:style w:type="paragraph" w:styleId="ListParagraph">
    <w:name w:val="List Paragraph"/>
    <w:basedOn w:val="Normal"/>
    <w:uiPriority w:val="34"/>
    <w:qFormat/>
    <w:rsid w:val="002D376E"/>
    <w:pPr>
      <w:ind w:left="720"/>
      <w:contextualSpacing/>
    </w:pPr>
  </w:style>
  <w:style w:type="character" w:styleId="IntenseEmphasis">
    <w:name w:val="Intense Emphasis"/>
    <w:basedOn w:val="DefaultParagraphFont"/>
    <w:uiPriority w:val="21"/>
    <w:qFormat/>
    <w:rsid w:val="002D376E"/>
    <w:rPr>
      <w:i/>
      <w:iCs/>
      <w:color w:val="0F4761" w:themeColor="accent1" w:themeShade="BF"/>
    </w:rPr>
  </w:style>
  <w:style w:type="paragraph" w:styleId="IntenseQuote">
    <w:name w:val="Intense Quote"/>
    <w:basedOn w:val="Normal"/>
    <w:next w:val="Normal"/>
    <w:link w:val="IntenseQuoteChar"/>
    <w:uiPriority w:val="30"/>
    <w:qFormat/>
    <w:rsid w:val="002D3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76E"/>
    <w:rPr>
      <w:i/>
      <w:iCs/>
      <w:color w:val="0F4761" w:themeColor="accent1" w:themeShade="BF"/>
    </w:rPr>
  </w:style>
  <w:style w:type="character" w:styleId="IntenseReference">
    <w:name w:val="Intense Reference"/>
    <w:basedOn w:val="DefaultParagraphFont"/>
    <w:uiPriority w:val="32"/>
    <w:qFormat/>
    <w:rsid w:val="002D37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494253ead0e9d555274507181a85169">
  <xsd:schema xmlns:xsd="http://www.w3.org/2001/XMLSchema" xmlns:xs="http://www.w3.org/2001/XMLSchema" xmlns:p="http://schemas.microsoft.com/office/2006/metadata/properties" xmlns:ns3="b4f9f7ee-5770-4a14-8925-17f3d16e50b7" targetNamespace="http://schemas.microsoft.com/office/2006/metadata/properties" ma:root="true" ma:fieldsID="e60b12282a3c783e20aeb3cd5cc3c40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F4847FC-510F-46F6-90D0-89E859EA24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D3A81E-A5B7-49D3-993B-8AEDDB7FEC15}">
  <ds:schemaRefs>
    <ds:schemaRef ds:uri="http://schemas.microsoft.com/sharepoint/v3/contenttype/forms"/>
  </ds:schemaRefs>
</ds:datastoreItem>
</file>

<file path=customXml/itemProps3.xml><?xml version="1.0" encoding="utf-8"?>
<ds:datastoreItem xmlns:ds="http://schemas.openxmlformats.org/officeDocument/2006/customXml" ds:itemID="{F13472EF-636D-4A0C-B7C7-9B930FEB77FA}">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1797</Words>
  <Characters>10245</Characters>
  <Application>Microsoft Office Word</Application>
  <DocSecurity>0</DocSecurity>
  <Lines>85</Lines>
  <Paragraphs>24</Paragraphs>
  <ScaleCrop>false</ScaleCrop>
  <Company/>
  <LinksUpToDate>false</LinksUpToDate>
  <CharactersWithSpaces>12018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Ebrima Njie (2514125)</dc:creator>
  <cp:keywords/>
  <dc:description/>
  <cp:lastModifiedBy>Ebrima Njie (2514125)</cp:lastModifiedBy>
  <cp:revision>2</cp:revision>
  <dcterms:created xsi:type="dcterms:W3CDTF">2026-05-01T12:31:00Z</dcterms:created>
  <dcterms:modified xsi:type="dcterms:W3CDTF">2026-05-01T12:31:00Z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