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35245" w14:textId="77777777" w:rsidR="00703FA3" w:rsidRPr="00703FA3" w:rsidRDefault="00703FA3" w:rsidP="00703FA3">
      <w:pPr>
        <w:rPr>
          <w:rFonts w:ascii="Arial" w:hAnsi="Arial" w:cs="Arial"/>
        </w:rPr>
      </w:pPr>
      <w:r w:rsidRPr="00703FA3">
        <w:rPr>
          <w:rFonts w:ascii="Arial" w:hAnsi="Arial" w:cs="Arial"/>
        </w:rPr>
        <w:t>Youth work in the UK has undergone significant transformation since the 1990s. Social, political and cultural shifts — ranging from Conservative and New Labour education reforms to changes in youth culture and the emergence of the digital age — have shaped both how young people live and how practitioners support them. Comparing the 1990s with today reveals how inequalities, policy changes, technology and global events continue to influence youth work practice.</w:t>
      </w:r>
    </w:p>
    <w:p w14:paraId="20F7E866" w14:textId="77777777" w:rsidR="00703FA3" w:rsidRPr="00703FA3" w:rsidRDefault="00FF0000" w:rsidP="00703FA3">
      <w:pPr>
        <w:rPr>
          <w:rFonts w:ascii="Arial" w:hAnsi="Arial" w:cs="Arial"/>
        </w:rPr>
      </w:pPr>
      <w:r>
        <w:rPr>
          <w:rFonts w:ascii="Arial" w:hAnsi="Arial" w:cs="Arial"/>
        </w:rPr>
        <w:pict w14:anchorId="27BA6848">
          <v:rect id="_x0000_i1025" style="width:0;height:1.5pt" o:hralign="center" o:hrstd="t" o:hr="t" fillcolor="#a0a0a0" stroked="f"/>
        </w:pict>
      </w:r>
    </w:p>
    <w:p w14:paraId="619B67E5" w14:textId="77777777" w:rsidR="00703FA3" w:rsidRPr="0072461A" w:rsidRDefault="00703FA3" w:rsidP="00703FA3">
      <w:pPr>
        <w:rPr>
          <w:rFonts w:ascii="Arial" w:hAnsi="Arial" w:cs="Arial"/>
        </w:rPr>
      </w:pPr>
      <w:r w:rsidRPr="0072461A">
        <w:rPr>
          <w:rFonts w:ascii="Arial" w:hAnsi="Arial" w:cs="Arial"/>
        </w:rPr>
        <w:t>1. Society and Policy Context</w:t>
      </w:r>
    </w:p>
    <w:p w14:paraId="10E0658A" w14:textId="77777777" w:rsidR="001E3006" w:rsidRPr="001E3006" w:rsidRDefault="001E3006" w:rsidP="001E3006">
      <w:pPr>
        <w:rPr>
          <w:rFonts w:ascii="Arial" w:hAnsi="Arial" w:cs="Arial"/>
        </w:rPr>
      </w:pPr>
      <w:r w:rsidRPr="001E3006">
        <w:rPr>
          <w:rFonts w:ascii="Arial" w:hAnsi="Arial" w:cs="Arial"/>
        </w:rPr>
        <w:t xml:space="preserve">During the early 1990s, the UK was emerging from Margaret Thatcher’s era, which had strongly emphasised individual responsibility, parental involvement and the development of young people’s talents. In her 1987 </w:t>
      </w:r>
      <w:r w:rsidRPr="001E3006">
        <w:rPr>
          <w:rFonts w:ascii="Arial" w:hAnsi="Arial" w:cs="Arial"/>
          <w:i/>
          <w:iCs/>
        </w:rPr>
        <w:t>Woman’s Own</w:t>
      </w:r>
      <w:r w:rsidRPr="001E3006">
        <w:rPr>
          <w:rFonts w:ascii="Arial" w:hAnsi="Arial" w:cs="Arial"/>
        </w:rPr>
        <w:t xml:space="preserve"> interview, Thatcher argued that every child possesses innate abilities and that both government and parents must work together to nurture these (Thatcher, 1987).</w:t>
      </w:r>
    </w:p>
    <w:p w14:paraId="0BA41EC0" w14:textId="77777777" w:rsidR="001E3006" w:rsidRPr="001E3006" w:rsidRDefault="001E3006" w:rsidP="001E3006">
      <w:pPr>
        <w:rPr>
          <w:rFonts w:ascii="Arial" w:hAnsi="Arial" w:cs="Arial"/>
        </w:rPr>
      </w:pPr>
      <w:r w:rsidRPr="001E3006">
        <w:rPr>
          <w:rFonts w:ascii="Arial" w:hAnsi="Arial" w:cs="Arial"/>
        </w:rPr>
        <w:t>Between 1990 and 1997, Prime Minister John Major placed greater focus on vocational pathways, asserting that too many young people reached school-leaving age without clear direction or purpose in their education (Major, 1991). This led to increased investment in vocational qualifications across sectors such as retail, engineering and construction, widening opportunities for practical, hands</w:t>
      </w:r>
      <w:r w:rsidRPr="001E3006">
        <w:rPr>
          <w:rFonts w:ascii="Arial" w:hAnsi="Arial" w:cs="Arial"/>
        </w:rPr>
        <w:noBreakHyphen/>
        <w:t>on learning.</w:t>
      </w:r>
    </w:p>
    <w:p w14:paraId="323C6765" w14:textId="77777777" w:rsidR="001E3006" w:rsidRPr="001E3006" w:rsidRDefault="001E3006" w:rsidP="001E3006">
      <w:pPr>
        <w:rPr>
          <w:rFonts w:ascii="Arial" w:hAnsi="Arial" w:cs="Arial"/>
        </w:rPr>
      </w:pPr>
      <w:r w:rsidRPr="001E3006">
        <w:rPr>
          <w:rFonts w:ascii="Arial" w:hAnsi="Arial" w:cs="Arial"/>
        </w:rPr>
        <w:t xml:space="preserve">A significant policy shift occurred in 1997 with the election of New Labour. Their </w:t>
      </w:r>
      <w:r w:rsidRPr="001E3006">
        <w:rPr>
          <w:rFonts w:ascii="Arial" w:hAnsi="Arial" w:cs="Arial"/>
          <w:i/>
          <w:iCs/>
        </w:rPr>
        <w:t>New Deal for Young People</w:t>
      </w:r>
      <w:r w:rsidRPr="001E3006">
        <w:rPr>
          <w:rFonts w:ascii="Arial" w:hAnsi="Arial" w:cs="Arial"/>
        </w:rPr>
        <w:t xml:space="preserve"> aimed to reduce youth unemployment by directing young people into structured routes of training or employment, with increased accountability placed on services to achieve measurable outcomes (Warwick Institute for Employment Research, 1999). As a result, youth services became increasingly target</w:t>
      </w:r>
      <w:r w:rsidRPr="001E3006">
        <w:rPr>
          <w:rFonts w:ascii="Arial" w:hAnsi="Arial" w:cs="Arial"/>
        </w:rPr>
        <w:noBreakHyphen/>
        <w:t>driven and outcomes</w:t>
      </w:r>
      <w:r w:rsidRPr="001E3006">
        <w:rPr>
          <w:rFonts w:ascii="Arial" w:hAnsi="Arial" w:cs="Arial"/>
        </w:rPr>
        <w:noBreakHyphen/>
        <w:t>focused.</w:t>
      </w:r>
    </w:p>
    <w:p w14:paraId="525757A5" w14:textId="77777777" w:rsidR="001E3006" w:rsidRPr="001E3006" w:rsidRDefault="001E3006" w:rsidP="001E3006">
      <w:pPr>
        <w:rPr>
          <w:rFonts w:ascii="Arial" w:hAnsi="Arial" w:cs="Arial"/>
        </w:rPr>
      </w:pPr>
      <w:r w:rsidRPr="001E3006">
        <w:rPr>
          <w:rFonts w:ascii="Arial" w:hAnsi="Arial" w:cs="Arial"/>
        </w:rPr>
        <w:t>The Crime and Disorder Act 1998 introduced Anti</w:t>
      </w:r>
      <w:r w:rsidRPr="001E3006">
        <w:rPr>
          <w:rFonts w:ascii="Arial" w:hAnsi="Arial" w:cs="Arial"/>
        </w:rPr>
        <w:noBreakHyphen/>
        <w:t>Social Behaviour Orders (ASBOs), reframing youth behaviour as a matter of public risk and community safety (Home Office, 1998). This contributed to an expansion of detached and targeted youth work approaches, with an emphasis on behaviour management and risk reduction.</w:t>
      </w:r>
    </w:p>
    <w:p w14:paraId="7BCA397E" w14:textId="77777777" w:rsidR="001E3006" w:rsidRPr="001E3006" w:rsidRDefault="001E3006" w:rsidP="001E3006">
      <w:pPr>
        <w:rPr>
          <w:rFonts w:ascii="Arial" w:hAnsi="Arial" w:cs="Arial"/>
        </w:rPr>
      </w:pPr>
      <w:r w:rsidRPr="001E3006">
        <w:rPr>
          <w:rFonts w:ascii="Arial" w:hAnsi="Arial" w:cs="Arial"/>
        </w:rPr>
        <w:t>However, youth work academics such as Jeffs and Smith criticised these developments, arguing that youth work was becoming overly bureaucratic and losing its roots in relational, informal education (Jeffs &amp; Smith, 2001).</w:t>
      </w:r>
    </w:p>
    <w:p w14:paraId="25000229" w14:textId="77777777" w:rsidR="00703FA3" w:rsidRPr="0072461A" w:rsidRDefault="00703FA3" w:rsidP="00703FA3">
      <w:pPr>
        <w:rPr>
          <w:rFonts w:ascii="Arial" w:hAnsi="Arial" w:cs="Arial"/>
        </w:rPr>
      </w:pPr>
      <w:r w:rsidRPr="0072461A">
        <w:rPr>
          <w:rFonts w:ascii="Arial" w:hAnsi="Arial" w:cs="Arial"/>
        </w:rPr>
        <w:t>Devolution and Youth Work in Wales</w:t>
      </w:r>
    </w:p>
    <w:p w14:paraId="147C1F28" w14:textId="77777777" w:rsidR="003F023F" w:rsidRPr="003F023F" w:rsidRDefault="003F023F" w:rsidP="003F023F">
      <w:pPr>
        <w:rPr>
          <w:rFonts w:ascii="Arial" w:hAnsi="Arial" w:cs="Arial"/>
        </w:rPr>
      </w:pPr>
      <w:r w:rsidRPr="003F023F">
        <w:rPr>
          <w:rFonts w:ascii="Arial" w:hAnsi="Arial" w:cs="Arial"/>
        </w:rPr>
        <w:t>The 1997 Welsh Devolution Referendum marked a pivotal turning point in the governance of Wales, ultimately leading to the establishment of the National Assembly for Wales in 1999. This shift granted Wales the authority to design and implement its own education and youth work policies, enabling approaches that reflected Welsh values, culture and community needs. Welsh education reforms in the post-devolution period were notably influenced by Scandinavian models of play</w:t>
      </w:r>
      <w:r w:rsidRPr="003F023F">
        <w:rPr>
          <w:rFonts w:ascii="Arial" w:hAnsi="Arial" w:cs="Arial"/>
        </w:rPr>
        <w:noBreakHyphen/>
        <w:t>based and child</w:t>
      </w:r>
      <w:r w:rsidRPr="003F023F">
        <w:rPr>
          <w:rFonts w:ascii="Arial" w:hAnsi="Arial" w:cs="Arial"/>
        </w:rPr>
        <w:noBreakHyphen/>
        <w:t>centred learning, which placed an emphasis on holistic development, experiential learning and nurturing wellbeing as part of the education process. These influences represented a deliberate move away from more rigid, outcomes</w:t>
      </w:r>
      <w:r w:rsidRPr="003F023F">
        <w:rPr>
          <w:rFonts w:ascii="Arial" w:hAnsi="Arial" w:cs="Arial"/>
        </w:rPr>
        <w:noBreakHyphen/>
        <w:t xml:space="preserve">driven systems found elsewhere in the UK, positioning Wales as a nation committed to progressive and inclusive educational practice. </w:t>
      </w:r>
      <w:hyperlink r:id="rId5" w:history="1">
        <w:r w:rsidRPr="003F023F">
          <w:rPr>
            <w:rStyle w:val="Hyperlink"/>
            <w:rFonts w:ascii="Arial" w:hAnsi="Arial" w:cs="Arial"/>
          </w:rPr>
          <w:t>[Youth Work...in the 90s | Word]</w:t>
        </w:r>
      </w:hyperlink>
    </w:p>
    <w:p w14:paraId="78C40F9A" w14:textId="77777777" w:rsidR="003F023F" w:rsidRPr="003F023F" w:rsidRDefault="003F023F" w:rsidP="003F023F">
      <w:pPr>
        <w:rPr>
          <w:rFonts w:ascii="Arial" w:hAnsi="Arial" w:cs="Arial"/>
        </w:rPr>
      </w:pPr>
      <w:r w:rsidRPr="003F023F">
        <w:rPr>
          <w:rFonts w:ascii="Arial" w:hAnsi="Arial" w:cs="Arial"/>
        </w:rPr>
        <w:t xml:space="preserve">Alongside these structural changes, 1999 also saw the creation of ETS Wales, an important milestone for the youth work sector. ETS Wales was established to ensure professional recognition and clear qualification standards for youth workers, strengthening workforce development on a national scale. This professionalisation helped raise the status of youth </w:t>
      </w:r>
      <w:r w:rsidRPr="003F023F">
        <w:rPr>
          <w:rFonts w:ascii="Arial" w:hAnsi="Arial" w:cs="Arial"/>
        </w:rPr>
        <w:lastRenderedPageBreak/>
        <w:t>work as a skilled and regulated practice, supporting consistent training pathways and improving the quality of youth provision across Wales. During this period, former youth worker Alun Michael played an influential role in shaping youth work policy and securing increased investment for services. His contributions were particularly significant given the contrasting context in England, where youth services faced substantial reductions in funding and support throughout the same era. As a result, Wales was able to build a more stable and well</w:t>
      </w:r>
      <w:r w:rsidRPr="003F023F">
        <w:rPr>
          <w:rFonts w:ascii="Arial" w:hAnsi="Arial" w:cs="Arial"/>
        </w:rPr>
        <w:noBreakHyphen/>
        <w:t>resourced youth work infrastructure, fostering a professional identity rooted in community engagement, rights</w:t>
      </w:r>
      <w:r w:rsidRPr="003F023F">
        <w:rPr>
          <w:rFonts w:ascii="Arial" w:hAnsi="Arial" w:cs="Arial"/>
        </w:rPr>
        <w:noBreakHyphen/>
        <w:t>based practice and accessible support for young people.</w:t>
      </w:r>
    </w:p>
    <w:p w14:paraId="3F31DC6C" w14:textId="77777777" w:rsidR="00703FA3" w:rsidRPr="0072461A" w:rsidRDefault="00FF0000" w:rsidP="00703FA3">
      <w:pPr>
        <w:rPr>
          <w:rFonts w:ascii="Arial" w:hAnsi="Arial" w:cs="Arial"/>
        </w:rPr>
      </w:pPr>
      <w:r>
        <w:rPr>
          <w:rFonts w:ascii="Arial" w:hAnsi="Arial" w:cs="Arial"/>
        </w:rPr>
        <w:pict w14:anchorId="353F4F13">
          <v:rect id="_x0000_i1026" style="width:0;height:1.5pt" o:hralign="center" o:hrstd="t" o:hr="t" fillcolor="#a0a0a0" stroked="f"/>
        </w:pict>
      </w:r>
    </w:p>
    <w:p w14:paraId="76E200E9" w14:textId="77777777" w:rsidR="00703FA3" w:rsidRPr="0072461A" w:rsidRDefault="00703FA3" w:rsidP="00703FA3">
      <w:pPr>
        <w:rPr>
          <w:rFonts w:ascii="Arial" w:hAnsi="Arial" w:cs="Arial"/>
        </w:rPr>
      </w:pPr>
      <w:r w:rsidRPr="0072461A">
        <w:rPr>
          <w:rFonts w:ascii="Arial" w:hAnsi="Arial" w:cs="Arial"/>
        </w:rPr>
        <w:t>2. Youth Culture and Identity</w:t>
      </w:r>
    </w:p>
    <w:p w14:paraId="5749D724" w14:textId="77777777" w:rsidR="00703FA3" w:rsidRPr="0072461A" w:rsidRDefault="00703FA3" w:rsidP="00703FA3">
      <w:pPr>
        <w:rPr>
          <w:rFonts w:ascii="Arial" w:hAnsi="Arial" w:cs="Arial"/>
        </w:rPr>
      </w:pPr>
      <w:r w:rsidRPr="0072461A">
        <w:rPr>
          <w:rFonts w:ascii="Arial" w:hAnsi="Arial" w:cs="Arial"/>
        </w:rPr>
        <w:t>1990s Youth Culture</w:t>
      </w:r>
    </w:p>
    <w:p w14:paraId="2346A487" w14:textId="77777777" w:rsidR="00C25E45" w:rsidRPr="00C25E45" w:rsidRDefault="00C25E45" w:rsidP="00C25E45">
      <w:pPr>
        <w:rPr>
          <w:rFonts w:ascii="Arial" w:hAnsi="Arial" w:cs="Arial"/>
        </w:rPr>
      </w:pPr>
      <w:r w:rsidRPr="00C25E45">
        <w:rPr>
          <w:rFonts w:ascii="Arial" w:hAnsi="Arial" w:cs="Arial"/>
        </w:rPr>
        <w:t>The 1990s saw the growth of a range of influential youth subcultures, including grunge, Britpop, jungle, rave culture and early hip hop. These movements shaped not only music and fashion but also young people’s attitudes, values and social identities. The influence of satellite television channels such as MTV played a significant role in globalising these identities, allowing young people across the UK to connect with international trends and subcultures in ways that had not been possible before. As a result, youth culture in this period became increasingly diverse and interconnected, with young people drawing inspiration from a wide range of global influences rather than solely from local communities or national trends.</w:t>
      </w:r>
    </w:p>
    <w:p w14:paraId="6822909A" w14:textId="77777777" w:rsidR="00C25E45" w:rsidRPr="00C25E45" w:rsidRDefault="00C25E45" w:rsidP="00C25E45">
      <w:pPr>
        <w:rPr>
          <w:rFonts w:ascii="Arial" w:hAnsi="Arial" w:cs="Arial"/>
        </w:rPr>
      </w:pPr>
      <w:r w:rsidRPr="00C25E45">
        <w:rPr>
          <w:rFonts w:ascii="Arial" w:hAnsi="Arial" w:cs="Arial"/>
        </w:rPr>
        <w:t>Rave culture emerged as one of the most defining youth movements of the decade. Its focus on large-scale dance events, a strong sense of community and escapism appealed to many young people. However, it also brought increased MDMA/ecstasy use, generating widespread moral panic. High-profile incidents, such as the death of Leah Betts in 1996, intensified public concern and shaped political and media narratives around drug use (Clark, 2023). These narratives often portrayed young people as vulnerable or at risk, prompting discussions about safety, policing and public responsibility. In youth work settings, practitioners responded by developing targeted interventions including drug education programmes, arts-based sessions and community projects. These approaches aimed to equip young people with accurate information, encourage safer decision-making and provide supportive environments for discussions about substance use.</w:t>
      </w:r>
    </w:p>
    <w:p w14:paraId="3CB8906B" w14:textId="77777777" w:rsidR="00A33C27" w:rsidRPr="00A33C27" w:rsidRDefault="00A33C27" w:rsidP="00A33C27">
      <w:pPr>
        <w:rPr>
          <w:rFonts w:ascii="Arial" w:hAnsi="Arial" w:cs="Arial"/>
        </w:rPr>
      </w:pPr>
      <w:r w:rsidRPr="00A33C27">
        <w:rPr>
          <w:rFonts w:ascii="Arial" w:hAnsi="Arial" w:cs="Arial"/>
        </w:rPr>
        <w:t>Subcultural theory, developed in the 1970s by the Birmingham Centre for Contemporary Cultural Studies (CCCS),</w:t>
      </w:r>
      <w:r>
        <w:rPr>
          <w:rFonts w:ascii="Arial" w:hAnsi="Arial" w:cs="Arial"/>
        </w:rPr>
        <w:t xml:space="preserve"> stated </w:t>
      </w:r>
      <w:r w:rsidRPr="00A33C27">
        <w:rPr>
          <w:rFonts w:ascii="Arial" w:hAnsi="Arial" w:cs="Arial"/>
        </w:rPr>
        <w:t xml:space="preserve">  Rave culture, for example, offered a sense of belonging and escapism, creating temporary spaces where social class, gender and background appeared less significant. </w:t>
      </w:r>
    </w:p>
    <w:p w14:paraId="0F892A19" w14:textId="77777777" w:rsidR="00A33C27" w:rsidRPr="00A33C27" w:rsidRDefault="00A33C27" w:rsidP="00A33C27">
      <w:pPr>
        <w:rPr>
          <w:rFonts w:ascii="Arial" w:hAnsi="Arial" w:cs="Arial"/>
        </w:rPr>
      </w:pPr>
      <w:r w:rsidRPr="00A33C27">
        <w:rPr>
          <w:rFonts w:ascii="Arial" w:hAnsi="Arial" w:cs="Arial"/>
        </w:rPr>
        <w:t>  Britpop expressed national pride and working</w:t>
      </w:r>
      <w:r w:rsidRPr="00A33C27">
        <w:rPr>
          <w:rFonts w:ascii="Arial" w:hAnsi="Arial" w:cs="Arial"/>
        </w:rPr>
        <w:noBreakHyphen/>
        <w:t>class identity during a time of political and economic change.</w:t>
      </w:r>
    </w:p>
    <w:p w14:paraId="04FF4C67" w14:textId="1C20B0AA" w:rsidR="00A33C27" w:rsidRPr="00A33C27" w:rsidRDefault="00A33C27" w:rsidP="00A33C27">
      <w:pPr>
        <w:rPr>
          <w:rFonts w:ascii="Arial" w:hAnsi="Arial" w:cs="Arial"/>
        </w:rPr>
      </w:pPr>
    </w:p>
    <w:p w14:paraId="705E18DB" w14:textId="77777777" w:rsidR="00A33C27" w:rsidRPr="00C25E45" w:rsidRDefault="00A33C27" w:rsidP="00C25E45">
      <w:pPr>
        <w:rPr>
          <w:rFonts w:ascii="Arial" w:hAnsi="Arial" w:cs="Arial"/>
        </w:rPr>
      </w:pPr>
    </w:p>
    <w:p w14:paraId="0939FBBF" w14:textId="2CB92406" w:rsidR="00C25E45" w:rsidRPr="00C25E45" w:rsidRDefault="00C25E45" w:rsidP="00C25E45">
      <w:pPr>
        <w:rPr>
          <w:rFonts w:ascii="Arial" w:hAnsi="Arial" w:cs="Arial"/>
        </w:rPr>
      </w:pPr>
    </w:p>
    <w:p w14:paraId="1B407168" w14:textId="23107057" w:rsidR="00FF0000" w:rsidRDefault="00FF0000" w:rsidP="00C10040">
      <w:pPr>
        <w:rPr>
          <w:rFonts w:ascii="Arial" w:hAnsi="Arial" w:cs="Arial"/>
        </w:rPr>
      </w:pPr>
      <w:r>
        <w:rPr>
          <w:rFonts w:ascii="Arial" w:hAnsi="Arial" w:cs="Arial"/>
        </w:rPr>
        <w:t>Digital</w:t>
      </w:r>
    </w:p>
    <w:p w14:paraId="4C495EDE" w14:textId="2FF669AA" w:rsidR="00C10040" w:rsidRPr="00C10040" w:rsidRDefault="00C10040" w:rsidP="00C10040">
      <w:pPr>
        <w:rPr>
          <w:rFonts w:ascii="Arial" w:hAnsi="Arial" w:cs="Arial"/>
        </w:rPr>
      </w:pPr>
      <w:r w:rsidRPr="00C10040">
        <w:rPr>
          <w:rFonts w:ascii="Arial" w:hAnsi="Arial" w:cs="Arial"/>
        </w:rPr>
        <w:t xml:space="preserve">The decade also marked the early stages of widespread internet accessibility. Platforms such as MSN chatrooms and emerging email services like Hotmail introduced entirely new ways for young people to communicate, explore identity and build relationships. These </w:t>
      </w:r>
      <w:r w:rsidRPr="00C10040">
        <w:rPr>
          <w:rFonts w:ascii="Arial" w:hAnsi="Arial" w:cs="Arial"/>
        </w:rPr>
        <w:lastRenderedPageBreak/>
        <w:t>technologies opened exciting opportunities for connection and self</w:t>
      </w:r>
      <w:r w:rsidRPr="00C10040">
        <w:rPr>
          <w:rFonts w:ascii="Arial" w:hAnsi="Arial" w:cs="Arial"/>
        </w:rPr>
        <w:noBreakHyphen/>
        <w:t>expression, but they also brought unfamiliar risks. Youth workers were among the first to recognise the need for digital awareness, beginning early conversations about online safety, responsible communication and the importance of boundaries in virtual spaces.</w:t>
      </w:r>
    </w:p>
    <w:p w14:paraId="0646B639" w14:textId="77777777" w:rsidR="00C10040" w:rsidRPr="00C10040" w:rsidRDefault="00C10040" w:rsidP="00C10040">
      <w:pPr>
        <w:rPr>
          <w:rFonts w:ascii="Arial" w:hAnsi="Arial" w:cs="Arial"/>
        </w:rPr>
      </w:pPr>
      <w:r w:rsidRPr="00C10040">
        <w:rPr>
          <w:rFonts w:ascii="Arial" w:hAnsi="Arial" w:cs="Arial"/>
        </w:rPr>
        <w:t>Young people now grow up in a world where digital technology is fully embedded into everyday life. Social media platforms such as TikTok, Instagram and Snapchat play a central role in shaping identity, friendships and self</w:t>
      </w:r>
      <w:r w:rsidRPr="00C10040">
        <w:rPr>
          <w:rFonts w:ascii="Arial" w:hAnsi="Arial" w:cs="Arial"/>
        </w:rPr>
        <w:noBreakHyphen/>
        <w:t>perception. While these platforms offer creativity, community and visibility, they also introduce complex challenges. Cyberbullying, grooming, online comparison, image</w:t>
      </w:r>
      <w:r w:rsidRPr="00C10040">
        <w:rPr>
          <w:rFonts w:ascii="Arial" w:hAnsi="Arial" w:cs="Arial"/>
        </w:rPr>
        <w:noBreakHyphen/>
        <w:t>related pressures and patterns of digital overuse have become common concerns for both young people and the professionals who support them.</w:t>
      </w:r>
    </w:p>
    <w:p w14:paraId="79877CC7" w14:textId="723D9FBA" w:rsidR="000C5655" w:rsidRDefault="00C10040" w:rsidP="000C5655">
      <w:pPr>
        <w:rPr>
          <w:rFonts w:ascii="Arial" w:hAnsi="Arial" w:cs="Arial"/>
        </w:rPr>
      </w:pPr>
      <w:r w:rsidRPr="00C10040">
        <w:rPr>
          <w:rFonts w:ascii="Arial" w:hAnsi="Arial" w:cs="Arial"/>
        </w:rPr>
        <w:t xml:space="preserve">In Wales, national guidance emphasises the importance of equipping young people with the skills to navigate these online environments safely. The Welsh Government’s </w:t>
      </w:r>
      <w:r w:rsidRPr="00C10040">
        <w:rPr>
          <w:rFonts w:ascii="Arial" w:hAnsi="Arial" w:cs="Arial"/>
          <w:i/>
          <w:iCs/>
        </w:rPr>
        <w:t xml:space="preserve">Digital </w:t>
      </w:r>
      <w:r w:rsidR="000C5655" w:rsidRPr="000C5655">
        <w:rPr>
          <w:rFonts w:ascii="Arial" w:hAnsi="Arial" w:cs="Arial"/>
          <w:i/>
          <w:iCs/>
        </w:rPr>
        <w:t>Resilience in Education</w:t>
      </w:r>
      <w:r w:rsidR="000C5655" w:rsidRPr="000C5655">
        <w:rPr>
          <w:rFonts w:ascii="Arial" w:hAnsi="Arial" w:cs="Arial"/>
        </w:rPr>
        <w:t xml:space="preserve"> framework highlights the need for practitioners to promote critical thinking, online safety and healthy digital habits as part of their everyday practice (Welsh Government, 2020). As a result, youth workers must remain adaptable and informed. Ongoing professional development is essential to keep pace with rapidly changing online trends, emerging apps and new forms of digital behaviour. Many youth services now deliver targeted digital literacy programmes that help young people navigate online spaces safely, critically and confidently.</w:t>
      </w:r>
    </w:p>
    <w:p w14:paraId="5DCADF9E" w14:textId="77777777" w:rsidR="000C5655" w:rsidRPr="000C5655" w:rsidRDefault="000C5655" w:rsidP="000C5655">
      <w:pPr>
        <w:rPr>
          <w:rFonts w:ascii="Arial" w:hAnsi="Arial" w:cs="Arial"/>
        </w:rPr>
      </w:pPr>
      <w:r w:rsidRPr="000C5655">
        <w:rPr>
          <w:rFonts w:ascii="Arial" w:hAnsi="Arial" w:cs="Arial"/>
        </w:rPr>
        <w:t>Growing research highlights the mental</w:t>
      </w:r>
      <w:r w:rsidRPr="000C5655">
        <w:rPr>
          <w:rFonts w:ascii="Arial" w:hAnsi="Arial" w:cs="Arial"/>
        </w:rPr>
        <w:noBreakHyphen/>
        <w:t>health impact of social media, with studies indicating links to increased anxiety, depression and emotional distress among young people (Chhabra et al., 2025). This reinforces the need for youth workers to combine digital education with emotional support, helping young people build resilience in an online world that is constantly evolving.</w:t>
      </w:r>
    </w:p>
    <w:p w14:paraId="62E1A14D" w14:textId="73F74769" w:rsidR="00703FA3" w:rsidRPr="0072461A" w:rsidRDefault="00703FA3" w:rsidP="00703FA3">
      <w:pPr>
        <w:rPr>
          <w:rFonts w:ascii="Arial" w:hAnsi="Arial" w:cs="Arial"/>
        </w:rPr>
      </w:pPr>
    </w:p>
    <w:p w14:paraId="04F5E3F6" w14:textId="77777777" w:rsidR="00703FA3" w:rsidRPr="0072461A" w:rsidRDefault="00703FA3" w:rsidP="00703FA3">
      <w:pPr>
        <w:rPr>
          <w:rFonts w:ascii="Arial" w:hAnsi="Arial" w:cs="Arial"/>
        </w:rPr>
      </w:pPr>
      <w:r w:rsidRPr="0072461A">
        <w:rPr>
          <w:rFonts w:ascii="Arial" w:hAnsi="Arial" w:cs="Arial"/>
        </w:rPr>
        <w:t>3. Equalities, Racism and Social Justice</w:t>
      </w:r>
    </w:p>
    <w:p w14:paraId="683717CD" w14:textId="77777777" w:rsidR="00703FA3" w:rsidRPr="0072461A" w:rsidRDefault="00703FA3" w:rsidP="00703FA3">
      <w:pPr>
        <w:rPr>
          <w:rFonts w:ascii="Arial" w:hAnsi="Arial" w:cs="Arial"/>
        </w:rPr>
      </w:pPr>
      <w:r w:rsidRPr="0072461A">
        <w:rPr>
          <w:rFonts w:ascii="Arial" w:hAnsi="Arial" w:cs="Arial"/>
        </w:rPr>
        <w:t>The Macpherson Report (1999), following the murder of Stephen Lawrence, concluded that institutional racism existed within UK policing and public services (Macpherson, 1999). This reshaped equality work across the youth sector and reinforced the importance of anti</w:t>
      </w:r>
      <w:r w:rsidRPr="0072461A">
        <w:rPr>
          <w:rFonts w:ascii="Arial" w:hAnsi="Arial" w:cs="Arial"/>
        </w:rPr>
        <w:noBreakHyphen/>
        <w:t>racist practice.</w:t>
      </w:r>
    </w:p>
    <w:p w14:paraId="2498FF99" w14:textId="77777777" w:rsidR="00703FA3" w:rsidRPr="0072461A" w:rsidRDefault="00703FA3" w:rsidP="00703FA3">
      <w:pPr>
        <w:rPr>
          <w:rFonts w:ascii="Arial" w:hAnsi="Arial" w:cs="Arial"/>
        </w:rPr>
      </w:pPr>
      <w:r w:rsidRPr="0072461A">
        <w:rPr>
          <w:rFonts w:ascii="Arial" w:hAnsi="Arial" w:cs="Arial"/>
        </w:rPr>
        <w:t>In 1996, the charity Show Racism the Red Card was founded after an incident in which footballer Shaka Hislop was subjected to racist abuse by young people. After realising his identity, the group became apologetic, inspiring Hislop to support the creation of an educational anti</w:t>
      </w:r>
      <w:r w:rsidRPr="0072461A">
        <w:rPr>
          <w:rFonts w:ascii="Arial" w:hAnsi="Arial" w:cs="Arial"/>
        </w:rPr>
        <w:noBreakHyphen/>
        <w:t>racism campaign (Show Racism the Red Card, 2023). This remains a key national resource for schools and youth settings.</w:t>
      </w:r>
    </w:p>
    <w:p w14:paraId="1C92482E" w14:textId="77777777" w:rsidR="00703FA3" w:rsidRPr="0072461A" w:rsidRDefault="00FF0000" w:rsidP="00703FA3">
      <w:pPr>
        <w:rPr>
          <w:rFonts w:ascii="Arial" w:hAnsi="Arial" w:cs="Arial"/>
        </w:rPr>
      </w:pPr>
      <w:r>
        <w:rPr>
          <w:rFonts w:ascii="Arial" w:hAnsi="Arial" w:cs="Arial"/>
        </w:rPr>
        <w:pict w14:anchorId="3F70F14B">
          <v:rect id="_x0000_i1028" style="width:0;height:1.5pt" o:hralign="center" o:hrstd="t" o:hr="t" fillcolor="#a0a0a0" stroked="f"/>
        </w:pict>
      </w:r>
    </w:p>
    <w:p w14:paraId="32E7DE02" w14:textId="77777777" w:rsidR="00703FA3" w:rsidRPr="0072461A" w:rsidRDefault="00703FA3" w:rsidP="00703FA3">
      <w:pPr>
        <w:rPr>
          <w:rFonts w:ascii="Arial" w:hAnsi="Arial" w:cs="Arial"/>
        </w:rPr>
      </w:pPr>
      <w:r w:rsidRPr="0072461A">
        <w:rPr>
          <w:rFonts w:ascii="Arial" w:hAnsi="Arial" w:cs="Arial"/>
        </w:rPr>
        <w:t>4. Health, Risk and Wellbeing</w:t>
      </w:r>
    </w:p>
    <w:p w14:paraId="043CCFA4" w14:textId="77777777" w:rsidR="00703FA3" w:rsidRPr="0072461A" w:rsidRDefault="00703FA3" w:rsidP="00703FA3">
      <w:pPr>
        <w:rPr>
          <w:rFonts w:ascii="Arial" w:hAnsi="Arial" w:cs="Arial"/>
        </w:rPr>
      </w:pPr>
      <w:r w:rsidRPr="0072461A">
        <w:rPr>
          <w:rFonts w:ascii="Arial" w:hAnsi="Arial" w:cs="Arial"/>
        </w:rPr>
        <w:t>Sexual Health and HIV/AIDS</w:t>
      </w:r>
    </w:p>
    <w:p w14:paraId="2BF6830C" w14:textId="77777777" w:rsidR="00703FA3" w:rsidRPr="0072461A" w:rsidRDefault="00703FA3" w:rsidP="00703FA3">
      <w:pPr>
        <w:rPr>
          <w:rFonts w:ascii="Arial" w:hAnsi="Arial" w:cs="Arial"/>
        </w:rPr>
      </w:pPr>
      <w:r w:rsidRPr="0072461A">
        <w:rPr>
          <w:rFonts w:ascii="Arial" w:hAnsi="Arial" w:cs="Arial"/>
        </w:rPr>
        <w:t>Following the HIV/AIDS epidemic of the 1980s, UK government campaigns continued into the 1990s, promoting safe sex and awareness. The 1993 Education Act stated that sex education must promote moral considerations and family values (Brook, 2020). Youth workers delivered RSE in communities and schools, helping reduce stigma.</w:t>
      </w:r>
    </w:p>
    <w:p w14:paraId="2B0E2D3E" w14:textId="77777777" w:rsidR="00703FA3" w:rsidRPr="0072461A" w:rsidRDefault="00703FA3" w:rsidP="00703FA3">
      <w:pPr>
        <w:rPr>
          <w:rFonts w:ascii="Arial" w:hAnsi="Arial" w:cs="Arial"/>
        </w:rPr>
      </w:pPr>
      <w:r w:rsidRPr="0072461A">
        <w:rPr>
          <w:rFonts w:ascii="Arial" w:hAnsi="Arial" w:cs="Arial"/>
        </w:rPr>
        <w:t>The C</w:t>
      </w:r>
      <w:r w:rsidRPr="0072461A">
        <w:rPr>
          <w:rFonts w:ascii="Arial" w:hAnsi="Arial" w:cs="Arial"/>
        </w:rPr>
        <w:noBreakHyphen/>
        <w:t>Card scheme, introduced later in the 2000s, remains widely used across Wales today for confidential sexual health support.</w:t>
      </w:r>
    </w:p>
    <w:p w14:paraId="59EA5ABF" w14:textId="77777777" w:rsidR="00703FA3" w:rsidRPr="0072461A" w:rsidRDefault="00703FA3" w:rsidP="00703FA3">
      <w:pPr>
        <w:rPr>
          <w:rFonts w:ascii="Arial" w:hAnsi="Arial" w:cs="Arial"/>
        </w:rPr>
      </w:pPr>
      <w:r w:rsidRPr="0072461A">
        <w:rPr>
          <w:rFonts w:ascii="Arial" w:hAnsi="Arial" w:cs="Arial"/>
        </w:rPr>
        <w:lastRenderedPageBreak/>
        <w:t>Mental Health</w:t>
      </w:r>
    </w:p>
    <w:p w14:paraId="0EA82635" w14:textId="77777777" w:rsidR="00703FA3" w:rsidRPr="0072461A" w:rsidRDefault="00703FA3" w:rsidP="00703FA3">
      <w:pPr>
        <w:rPr>
          <w:rFonts w:ascii="Arial" w:hAnsi="Arial" w:cs="Arial"/>
        </w:rPr>
      </w:pPr>
      <w:r w:rsidRPr="0072461A">
        <w:rPr>
          <w:rFonts w:ascii="Arial" w:hAnsi="Arial" w:cs="Arial"/>
        </w:rPr>
        <w:t>Recent long-term studies highlight that people born in the 1990s experience worse mental health outcomes than earlier generations, partly because they grew up with emerging social media pressures and online comparison (University of Sydney, in Daily Mail, 2024).</w:t>
      </w:r>
    </w:p>
    <w:p w14:paraId="63CE8A68" w14:textId="77777777" w:rsidR="00703FA3" w:rsidRPr="0072461A" w:rsidRDefault="00703FA3" w:rsidP="00703FA3">
      <w:pPr>
        <w:rPr>
          <w:rFonts w:ascii="Arial" w:hAnsi="Arial" w:cs="Arial"/>
        </w:rPr>
      </w:pPr>
      <w:r w:rsidRPr="0072461A">
        <w:rPr>
          <w:rFonts w:ascii="Arial" w:hAnsi="Arial" w:cs="Arial"/>
        </w:rPr>
        <w:t>A global study also shows rising levels of eating disorders among 10–24-year-olds from 1990 to 2021, influenced by unrealistic beauty standards and increasing visual media exposure (Ikeda et al., 2023).</w:t>
      </w:r>
    </w:p>
    <w:p w14:paraId="05A098BE" w14:textId="77777777" w:rsidR="00703FA3" w:rsidRPr="0072461A" w:rsidRDefault="00703FA3" w:rsidP="00703FA3">
      <w:pPr>
        <w:rPr>
          <w:rFonts w:ascii="Arial" w:hAnsi="Arial" w:cs="Arial"/>
        </w:rPr>
      </w:pPr>
      <w:r w:rsidRPr="0072461A">
        <w:rPr>
          <w:rFonts w:ascii="Arial" w:hAnsi="Arial" w:cs="Arial"/>
        </w:rPr>
        <w:t>In the 1990s, youth workers responded by delivering healthy lifestyle sessions, cooking workshops and confidence-building activities. Today, the focus continues through education on energy drinks, vaping, body image, steroid misuse and online health misinformation.</w:t>
      </w:r>
    </w:p>
    <w:p w14:paraId="7D106625" w14:textId="77777777" w:rsidR="00703FA3" w:rsidRPr="00703FA3" w:rsidRDefault="00FF0000" w:rsidP="00703FA3">
      <w:pPr>
        <w:rPr>
          <w:rFonts w:ascii="Arial" w:hAnsi="Arial" w:cs="Arial"/>
        </w:rPr>
      </w:pPr>
      <w:r>
        <w:rPr>
          <w:rFonts w:ascii="Arial" w:hAnsi="Arial" w:cs="Arial"/>
        </w:rPr>
        <w:pict w14:anchorId="6AE5A14F">
          <v:rect id="_x0000_i1029" style="width:0;height:1.5pt" o:hralign="center" o:hrstd="t" o:hr="t" fillcolor="#a0a0a0" stroked="f"/>
        </w:pict>
      </w:r>
    </w:p>
    <w:p w14:paraId="792B9153" w14:textId="77777777" w:rsidR="00703FA3" w:rsidRPr="00703FA3" w:rsidRDefault="00703FA3" w:rsidP="00703FA3">
      <w:pPr>
        <w:rPr>
          <w:rFonts w:ascii="Arial" w:hAnsi="Arial" w:cs="Arial"/>
          <w:b/>
          <w:bCs/>
        </w:rPr>
      </w:pPr>
      <w:r w:rsidRPr="00703FA3">
        <w:rPr>
          <w:rFonts w:ascii="Arial" w:hAnsi="Arial" w:cs="Arial"/>
          <w:b/>
          <w:bCs/>
        </w:rPr>
        <w:t>Harvard Reference List</w:t>
      </w:r>
    </w:p>
    <w:p w14:paraId="7991F05D" w14:textId="77777777" w:rsidR="00EF1200" w:rsidRPr="00EF1200" w:rsidRDefault="00EF1200" w:rsidP="00EF1200">
      <w:pPr>
        <w:rPr>
          <w:rFonts w:ascii="Arial" w:hAnsi="Arial" w:cs="Arial"/>
        </w:rPr>
      </w:pPr>
      <w:r w:rsidRPr="00EF1200">
        <w:rPr>
          <w:rFonts w:ascii="Arial" w:hAnsi="Arial" w:cs="Arial"/>
        </w:rPr>
        <w:t xml:space="preserve">BBC News (2023) </w:t>
      </w:r>
      <w:r w:rsidRPr="00EF1200">
        <w:rPr>
          <w:rFonts w:ascii="Arial" w:hAnsi="Arial" w:cs="Arial"/>
          <w:i/>
          <w:iCs/>
        </w:rPr>
        <w:t>How Wales Works: Changes to Welsh schools post devolution</w:t>
      </w:r>
      <w:r w:rsidRPr="00EF1200">
        <w:rPr>
          <w:rFonts w:ascii="Arial" w:hAnsi="Arial" w:cs="Arial"/>
        </w:rPr>
        <w:t>. BBC.</w:t>
      </w:r>
    </w:p>
    <w:p w14:paraId="6EBF236F" w14:textId="77777777" w:rsidR="00EF1200" w:rsidRPr="00EF1200" w:rsidRDefault="00EF1200" w:rsidP="00EF1200">
      <w:pPr>
        <w:rPr>
          <w:rFonts w:ascii="Arial" w:hAnsi="Arial" w:cs="Arial"/>
        </w:rPr>
      </w:pPr>
      <w:r w:rsidRPr="00EF1200">
        <w:rPr>
          <w:rFonts w:ascii="Arial" w:hAnsi="Arial" w:cs="Arial"/>
        </w:rPr>
        <w:t xml:space="preserve">Brook (2020) </w:t>
      </w:r>
      <w:r w:rsidRPr="00EF1200">
        <w:rPr>
          <w:rFonts w:ascii="Arial" w:hAnsi="Arial" w:cs="Arial"/>
          <w:i/>
          <w:iCs/>
        </w:rPr>
        <w:t>The Fight for Inclusive Sex Education in the UK</w:t>
      </w:r>
      <w:r w:rsidRPr="00EF1200">
        <w:rPr>
          <w:rFonts w:ascii="Arial" w:hAnsi="Arial" w:cs="Arial"/>
        </w:rPr>
        <w:t>. Brook.</w:t>
      </w:r>
    </w:p>
    <w:p w14:paraId="787E7EA7" w14:textId="368908F5" w:rsidR="0069212E" w:rsidRPr="0069212E" w:rsidRDefault="0069212E" w:rsidP="0069212E">
      <w:pPr>
        <w:rPr>
          <w:rFonts w:ascii="Arial" w:hAnsi="Arial" w:cs="Arial"/>
        </w:rPr>
      </w:pPr>
      <w:r w:rsidRPr="0069212E">
        <w:rPr>
          <w:rFonts w:ascii="Arial" w:hAnsi="Arial" w:cs="Arial"/>
        </w:rPr>
        <w:t xml:space="preserve">Chhabra, J., Pilkington, V., Benakovic, R., Wilson, M. and La Sala, L. (2025) ‘Social Media and Youth Mental Health: A Scoping Review’, </w:t>
      </w:r>
      <w:r w:rsidRPr="0069212E">
        <w:rPr>
          <w:rFonts w:ascii="Arial" w:hAnsi="Arial" w:cs="Arial"/>
          <w:i/>
          <w:iCs/>
        </w:rPr>
        <w:t>Journal of Medical Internet Research</w:t>
      </w:r>
      <w:r w:rsidRPr="0069212E">
        <w:rPr>
          <w:rFonts w:ascii="Arial" w:hAnsi="Arial" w:cs="Arial"/>
        </w:rPr>
        <w:t>.</w:t>
      </w:r>
    </w:p>
    <w:p w14:paraId="27CDC993" w14:textId="77777777" w:rsidR="0069212E" w:rsidRPr="0069212E" w:rsidRDefault="0069212E" w:rsidP="0069212E">
      <w:pPr>
        <w:rPr>
          <w:rFonts w:ascii="Arial" w:hAnsi="Arial" w:cs="Arial"/>
        </w:rPr>
      </w:pPr>
      <w:r w:rsidRPr="0069212E">
        <w:rPr>
          <w:rFonts w:ascii="Arial" w:hAnsi="Arial" w:cs="Arial"/>
        </w:rPr>
        <w:t xml:space="preserve">Clark, P. (2023) ‘Ecstasy, Raving and Women's Pleasure in 1990s Britain’, </w:t>
      </w:r>
      <w:r w:rsidRPr="0069212E">
        <w:rPr>
          <w:rFonts w:ascii="Arial" w:hAnsi="Arial" w:cs="Arial"/>
          <w:i/>
          <w:iCs/>
        </w:rPr>
        <w:t>Cultural and Social History</w:t>
      </w:r>
      <w:r w:rsidRPr="0069212E">
        <w:rPr>
          <w:rFonts w:ascii="Arial" w:hAnsi="Arial" w:cs="Arial"/>
        </w:rPr>
        <w:t>, 20(1), pp. 117–132.</w:t>
      </w:r>
    </w:p>
    <w:p w14:paraId="1CBADE74" w14:textId="77777777" w:rsidR="0069212E" w:rsidRPr="0069212E" w:rsidRDefault="0069212E" w:rsidP="0069212E">
      <w:pPr>
        <w:rPr>
          <w:rFonts w:ascii="Arial" w:hAnsi="Arial" w:cs="Arial"/>
        </w:rPr>
      </w:pPr>
      <w:r w:rsidRPr="0069212E">
        <w:rPr>
          <w:rFonts w:ascii="Arial" w:hAnsi="Arial" w:cs="Arial"/>
        </w:rPr>
        <w:t xml:space="preserve">Davies, B. (2015) </w:t>
      </w:r>
      <w:r w:rsidRPr="0069212E">
        <w:rPr>
          <w:rFonts w:ascii="Arial" w:hAnsi="Arial" w:cs="Arial"/>
          <w:i/>
          <w:iCs/>
        </w:rPr>
        <w:t>The New Labour Years: A History of the Youth Service in England 1997–2007</w:t>
      </w:r>
      <w:r w:rsidRPr="0069212E">
        <w:rPr>
          <w:rFonts w:ascii="Arial" w:hAnsi="Arial" w:cs="Arial"/>
        </w:rPr>
        <w:t>. Leicester: NYA.</w:t>
      </w:r>
    </w:p>
    <w:p w14:paraId="47F4B7A5" w14:textId="77777777" w:rsidR="0069212E" w:rsidRPr="0069212E" w:rsidRDefault="0069212E" w:rsidP="0069212E">
      <w:pPr>
        <w:rPr>
          <w:rFonts w:ascii="Arial" w:hAnsi="Arial" w:cs="Arial"/>
        </w:rPr>
      </w:pPr>
      <w:r w:rsidRPr="0069212E">
        <w:rPr>
          <w:rFonts w:ascii="Arial" w:hAnsi="Arial" w:cs="Arial"/>
        </w:rPr>
        <w:t xml:space="preserve">Home Office (1998) </w:t>
      </w:r>
      <w:r w:rsidRPr="0069212E">
        <w:rPr>
          <w:rFonts w:ascii="Arial" w:hAnsi="Arial" w:cs="Arial"/>
          <w:i/>
          <w:iCs/>
        </w:rPr>
        <w:t>Crime and Disorder Act 1998</w:t>
      </w:r>
      <w:r w:rsidRPr="0069212E">
        <w:rPr>
          <w:rFonts w:ascii="Arial" w:hAnsi="Arial" w:cs="Arial"/>
        </w:rPr>
        <w:t>. London: HMSO.</w:t>
      </w:r>
    </w:p>
    <w:p w14:paraId="123614ED" w14:textId="77777777" w:rsidR="0069212E" w:rsidRPr="0069212E" w:rsidRDefault="0069212E" w:rsidP="0069212E">
      <w:pPr>
        <w:rPr>
          <w:rFonts w:ascii="Arial" w:hAnsi="Arial" w:cs="Arial"/>
        </w:rPr>
      </w:pPr>
      <w:r w:rsidRPr="0069212E">
        <w:rPr>
          <w:rFonts w:ascii="Arial" w:hAnsi="Arial" w:cs="Arial"/>
        </w:rPr>
        <w:t xml:space="preserve">Jeffs, T. and Smith, M.K. (2001) </w:t>
      </w:r>
      <w:r w:rsidRPr="0069212E">
        <w:rPr>
          <w:rFonts w:ascii="Arial" w:hAnsi="Arial" w:cs="Arial"/>
          <w:i/>
          <w:iCs/>
        </w:rPr>
        <w:t>Informal Education: Conversation, Democracy and Learning</w:t>
      </w:r>
      <w:r w:rsidRPr="0069212E">
        <w:rPr>
          <w:rFonts w:ascii="Arial" w:hAnsi="Arial" w:cs="Arial"/>
        </w:rPr>
        <w:t>. Nottingham: Educational Heretics Press.</w:t>
      </w:r>
    </w:p>
    <w:p w14:paraId="3FCD95B9" w14:textId="77777777" w:rsidR="0069212E" w:rsidRPr="0069212E" w:rsidRDefault="0069212E" w:rsidP="0069212E">
      <w:pPr>
        <w:rPr>
          <w:rFonts w:ascii="Arial" w:hAnsi="Arial" w:cs="Arial"/>
        </w:rPr>
      </w:pPr>
      <w:r w:rsidRPr="0069212E">
        <w:rPr>
          <w:rFonts w:ascii="Arial" w:hAnsi="Arial" w:cs="Arial"/>
        </w:rPr>
        <w:t xml:space="preserve">Ikeda, N. et al. (2023) ‘Global and regional patterns of eating disorders in adolescents’, </w:t>
      </w:r>
      <w:r w:rsidRPr="0069212E">
        <w:rPr>
          <w:rFonts w:ascii="Arial" w:hAnsi="Arial" w:cs="Arial"/>
          <w:i/>
          <w:iCs/>
        </w:rPr>
        <w:t>The Lancet</w:t>
      </w:r>
      <w:r w:rsidRPr="0069212E">
        <w:rPr>
          <w:rFonts w:ascii="Arial" w:hAnsi="Arial" w:cs="Arial"/>
        </w:rPr>
        <w:t>, 401(10375), pp. 1234–1249.</w:t>
      </w:r>
    </w:p>
    <w:p w14:paraId="4CF5BAF0" w14:textId="77777777" w:rsidR="0069212E" w:rsidRPr="0069212E" w:rsidRDefault="0069212E" w:rsidP="0069212E">
      <w:pPr>
        <w:rPr>
          <w:rFonts w:ascii="Arial" w:hAnsi="Arial" w:cs="Arial"/>
        </w:rPr>
      </w:pPr>
      <w:r w:rsidRPr="0069212E">
        <w:rPr>
          <w:rFonts w:ascii="Arial" w:hAnsi="Arial" w:cs="Arial"/>
        </w:rPr>
        <w:t xml:space="preserve">Macpherson, W. (1999) </w:t>
      </w:r>
      <w:r w:rsidRPr="0069212E">
        <w:rPr>
          <w:rFonts w:ascii="Arial" w:hAnsi="Arial" w:cs="Arial"/>
          <w:i/>
          <w:iCs/>
        </w:rPr>
        <w:t>The Stephen Lawrence Inquiry</w:t>
      </w:r>
      <w:r w:rsidRPr="0069212E">
        <w:rPr>
          <w:rFonts w:ascii="Arial" w:hAnsi="Arial" w:cs="Arial"/>
        </w:rPr>
        <w:t>. London: HMSO.</w:t>
      </w:r>
    </w:p>
    <w:p w14:paraId="0A117623" w14:textId="77777777" w:rsidR="0069212E" w:rsidRPr="0069212E" w:rsidRDefault="0069212E" w:rsidP="0069212E">
      <w:pPr>
        <w:rPr>
          <w:rFonts w:ascii="Arial" w:hAnsi="Arial" w:cs="Arial"/>
        </w:rPr>
      </w:pPr>
      <w:r w:rsidRPr="0069212E">
        <w:rPr>
          <w:rFonts w:ascii="Arial" w:hAnsi="Arial" w:cs="Arial"/>
        </w:rPr>
        <w:t xml:space="preserve">Major, J. (1991) </w:t>
      </w:r>
      <w:r w:rsidRPr="0069212E">
        <w:rPr>
          <w:rFonts w:ascii="Arial" w:hAnsi="Arial" w:cs="Arial"/>
          <w:i/>
          <w:iCs/>
        </w:rPr>
        <w:t>Speech on Education to the Centre for Policy Studies</w:t>
      </w:r>
      <w:r w:rsidRPr="0069212E">
        <w:rPr>
          <w:rFonts w:ascii="Arial" w:hAnsi="Arial" w:cs="Arial"/>
        </w:rPr>
        <w:t>, 3 July.</w:t>
      </w:r>
    </w:p>
    <w:p w14:paraId="5AEDD43C" w14:textId="77777777" w:rsidR="0069212E" w:rsidRPr="0069212E" w:rsidRDefault="0069212E" w:rsidP="0069212E">
      <w:pPr>
        <w:rPr>
          <w:rFonts w:ascii="Arial" w:hAnsi="Arial" w:cs="Arial"/>
        </w:rPr>
      </w:pPr>
      <w:r w:rsidRPr="0069212E">
        <w:rPr>
          <w:rFonts w:ascii="Arial" w:hAnsi="Arial" w:cs="Arial"/>
        </w:rPr>
        <w:t xml:space="preserve">Welsh Government (2020) </w:t>
      </w:r>
      <w:r w:rsidRPr="0069212E">
        <w:rPr>
          <w:rFonts w:ascii="Arial" w:hAnsi="Arial" w:cs="Arial"/>
          <w:i/>
          <w:iCs/>
        </w:rPr>
        <w:t>Digital Resilience in Education</w:t>
      </w:r>
      <w:r w:rsidRPr="0069212E">
        <w:rPr>
          <w:rFonts w:ascii="Arial" w:hAnsi="Arial" w:cs="Arial"/>
        </w:rPr>
        <w:t>. Cardiff: Welsh Government</w:t>
      </w:r>
    </w:p>
    <w:p w14:paraId="70B4B07A" w14:textId="77777777" w:rsidR="00703FA3" w:rsidRPr="00703FA3" w:rsidRDefault="00703FA3" w:rsidP="00703FA3">
      <w:pPr>
        <w:rPr>
          <w:rFonts w:ascii="Arial" w:hAnsi="Arial" w:cs="Arial"/>
        </w:rPr>
      </w:pPr>
      <w:r w:rsidRPr="00703FA3">
        <w:rPr>
          <w:rFonts w:ascii="Arial" w:hAnsi="Arial" w:cs="Arial"/>
        </w:rPr>
        <w:t xml:space="preserve">Show Racism the Red Card (2023) </w:t>
      </w:r>
      <w:r w:rsidRPr="00703FA3">
        <w:rPr>
          <w:rFonts w:ascii="Arial" w:hAnsi="Arial" w:cs="Arial"/>
          <w:i/>
          <w:iCs/>
        </w:rPr>
        <w:t>Our Story</w:t>
      </w:r>
      <w:r w:rsidRPr="00703FA3">
        <w:rPr>
          <w:rFonts w:ascii="Arial" w:hAnsi="Arial" w:cs="Arial"/>
        </w:rPr>
        <w:t>. SRTRC.</w:t>
      </w:r>
    </w:p>
    <w:p w14:paraId="5EE3360C" w14:textId="77777777" w:rsidR="00703FA3" w:rsidRPr="00703FA3" w:rsidRDefault="00703FA3" w:rsidP="00703FA3">
      <w:pPr>
        <w:rPr>
          <w:rFonts w:ascii="Arial" w:hAnsi="Arial" w:cs="Arial"/>
        </w:rPr>
      </w:pPr>
      <w:r w:rsidRPr="00703FA3">
        <w:rPr>
          <w:rFonts w:ascii="Arial" w:hAnsi="Arial" w:cs="Arial"/>
        </w:rPr>
        <w:t xml:space="preserve">Thatcher, M. (1987) ‘Interview for Woman’s Own’, </w:t>
      </w:r>
      <w:r w:rsidRPr="00703FA3">
        <w:rPr>
          <w:rFonts w:ascii="Arial" w:hAnsi="Arial" w:cs="Arial"/>
          <w:i/>
          <w:iCs/>
        </w:rPr>
        <w:t>Margaret Thatcher Foundation</w:t>
      </w:r>
      <w:r w:rsidRPr="00703FA3">
        <w:rPr>
          <w:rFonts w:ascii="Arial" w:hAnsi="Arial" w:cs="Arial"/>
        </w:rPr>
        <w:t>.</w:t>
      </w:r>
    </w:p>
    <w:p w14:paraId="4D9D62C5" w14:textId="77777777" w:rsidR="00703FA3" w:rsidRPr="00703FA3" w:rsidRDefault="00703FA3" w:rsidP="00703FA3">
      <w:pPr>
        <w:rPr>
          <w:rFonts w:ascii="Arial" w:hAnsi="Arial" w:cs="Arial"/>
        </w:rPr>
      </w:pPr>
      <w:r w:rsidRPr="00703FA3">
        <w:rPr>
          <w:rFonts w:ascii="Arial" w:hAnsi="Arial" w:cs="Arial"/>
        </w:rPr>
        <w:t xml:space="preserve">Warwick Institute for Employment Research (1999) </w:t>
      </w:r>
      <w:r w:rsidRPr="00703FA3">
        <w:rPr>
          <w:rFonts w:ascii="Arial" w:hAnsi="Arial" w:cs="Arial"/>
          <w:i/>
          <w:iCs/>
        </w:rPr>
        <w:t>New Deal for Young People Bulletin 49</w:t>
      </w:r>
      <w:r w:rsidRPr="00703FA3">
        <w:rPr>
          <w:rFonts w:ascii="Arial" w:hAnsi="Arial" w:cs="Arial"/>
        </w:rPr>
        <w:t>. Warwick University.</w:t>
      </w:r>
    </w:p>
    <w:p w14:paraId="29E2F570" w14:textId="69292614" w:rsidR="00703FA3" w:rsidRPr="00703FA3" w:rsidRDefault="00703FA3" w:rsidP="00703FA3">
      <w:pPr>
        <w:rPr>
          <w:rFonts w:ascii="Arial" w:hAnsi="Arial" w:cs="Arial"/>
        </w:rPr>
      </w:pPr>
    </w:p>
    <w:p w14:paraId="3B2EB0FD" w14:textId="3C2A6D4A" w:rsidR="00E83C79" w:rsidRPr="00703FA3" w:rsidRDefault="00E83C79" w:rsidP="00703FA3"/>
    <w:sectPr w:rsidR="00E83C79" w:rsidRPr="00703F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23906"/>
    <w:multiLevelType w:val="multilevel"/>
    <w:tmpl w:val="9ED4B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12ECA"/>
    <w:multiLevelType w:val="multilevel"/>
    <w:tmpl w:val="8DC2C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B920EB"/>
    <w:multiLevelType w:val="multilevel"/>
    <w:tmpl w:val="287A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D53FFE"/>
    <w:multiLevelType w:val="multilevel"/>
    <w:tmpl w:val="88FE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0928F3"/>
    <w:multiLevelType w:val="multilevel"/>
    <w:tmpl w:val="50F42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1A3ECA"/>
    <w:multiLevelType w:val="multilevel"/>
    <w:tmpl w:val="001C7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6E728C"/>
    <w:multiLevelType w:val="multilevel"/>
    <w:tmpl w:val="88188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F234A3"/>
    <w:multiLevelType w:val="multilevel"/>
    <w:tmpl w:val="18DAC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981055"/>
    <w:multiLevelType w:val="multilevel"/>
    <w:tmpl w:val="902441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C15CD9"/>
    <w:multiLevelType w:val="multilevel"/>
    <w:tmpl w:val="545E1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650592"/>
    <w:multiLevelType w:val="multilevel"/>
    <w:tmpl w:val="B0B2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AD57C7"/>
    <w:multiLevelType w:val="multilevel"/>
    <w:tmpl w:val="46408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994CBC"/>
    <w:multiLevelType w:val="multilevel"/>
    <w:tmpl w:val="1AB03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56EB9"/>
    <w:multiLevelType w:val="multilevel"/>
    <w:tmpl w:val="ED382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A856F7"/>
    <w:multiLevelType w:val="multilevel"/>
    <w:tmpl w:val="207A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861B31"/>
    <w:multiLevelType w:val="multilevel"/>
    <w:tmpl w:val="D1AE9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6623A1"/>
    <w:multiLevelType w:val="multilevel"/>
    <w:tmpl w:val="38EE7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0E79DE"/>
    <w:multiLevelType w:val="multilevel"/>
    <w:tmpl w:val="2C2CE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8146A5"/>
    <w:multiLevelType w:val="multilevel"/>
    <w:tmpl w:val="D450B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460770"/>
    <w:multiLevelType w:val="multilevel"/>
    <w:tmpl w:val="2C96D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3031867">
    <w:abstractNumId w:val="5"/>
  </w:num>
  <w:num w:numId="2" w16cid:durableId="1194928923">
    <w:abstractNumId w:val="1"/>
  </w:num>
  <w:num w:numId="3" w16cid:durableId="1067997642">
    <w:abstractNumId w:val="14"/>
  </w:num>
  <w:num w:numId="4" w16cid:durableId="298078445">
    <w:abstractNumId w:val="12"/>
  </w:num>
  <w:num w:numId="5" w16cid:durableId="1347097723">
    <w:abstractNumId w:val="11"/>
  </w:num>
  <w:num w:numId="6" w16cid:durableId="203563161">
    <w:abstractNumId w:val="15"/>
  </w:num>
  <w:num w:numId="7" w16cid:durableId="1403216980">
    <w:abstractNumId w:val="6"/>
  </w:num>
  <w:num w:numId="8" w16cid:durableId="367265297">
    <w:abstractNumId w:val="2"/>
  </w:num>
  <w:num w:numId="9" w16cid:durableId="481777565">
    <w:abstractNumId w:val="10"/>
  </w:num>
  <w:num w:numId="10" w16cid:durableId="1988895074">
    <w:abstractNumId w:val="18"/>
  </w:num>
  <w:num w:numId="11" w16cid:durableId="94400515">
    <w:abstractNumId w:val="13"/>
  </w:num>
  <w:num w:numId="12" w16cid:durableId="800656871">
    <w:abstractNumId w:val="8"/>
  </w:num>
  <w:num w:numId="13" w16cid:durableId="1032459828">
    <w:abstractNumId w:val="17"/>
  </w:num>
  <w:num w:numId="14" w16cid:durableId="2121488743">
    <w:abstractNumId w:val="19"/>
  </w:num>
  <w:num w:numId="15" w16cid:durableId="1953973433">
    <w:abstractNumId w:val="9"/>
  </w:num>
  <w:num w:numId="16" w16cid:durableId="961502351">
    <w:abstractNumId w:val="4"/>
  </w:num>
  <w:num w:numId="17" w16cid:durableId="1130974011">
    <w:abstractNumId w:val="3"/>
  </w:num>
  <w:num w:numId="18" w16cid:durableId="1127897872">
    <w:abstractNumId w:val="16"/>
  </w:num>
  <w:num w:numId="19" w16cid:durableId="609513693">
    <w:abstractNumId w:val="7"/>
  </w:num>
  <w:num w:numId="20" w16cid:durableId="111990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5DA"/>
    <w:rsid w:val="000C5655"/>
    <w:rsid w:val="00116FFE"/>
    <w:rsid w:val="00134162"/>
    <w:rsid w:val="001E181D"/>
    <w:rsid w:val="001E3006"/>
    <w:rsid w:val="002B3CE6"/>
    <w:rsid w:val="003A3DAA"/>
    <w:rsid w:val="003E6CE2"/>
    <w:rsid w:val="003F023F"/>
    <w:rsid w:val="0045731C"/>
    <w:rsid w:val="005F4239"/>
    <w:rsid w:val="00600D92"/>
    <w:rsid w:val="00633B4C"/>
    <w:rsid w:val="0069212E"/>
    <w:rsid w:val="00703FA3"/>
    <w:rsid w:val="0072461A"/>
    <w:rsid w:val="008452E4"/>
    <w:rsid w:val="008A2479"/>
    <w:rsid w:val="00993E95"/>
    <w:rsid w:val="00A33C27"/>
    <w:rsid w:val="00AF6014"/>
    <w:rsid w:val="00B6046B"/>
    <w:rsid w:val="00B905DA"/>
    <w:rsid w:val="00C10040"/>
    <w:rsid w:val="00C25E45"/>
    <w:rsid w:val="00C7312A"/>
    <w:rsid w:val="00DB7860"/>
    <w:rsid w:val="00E5092C"/>
    <w:rsid w:val="00E542C8"/>
    <w:rsid w:val="00E83C79"/>
    <w:rsid w:val="00EA4CA7"/>
    <w:rsid w:val="00EE7DBC"/>
    <w:rsid w:val="00EF1200"/>
    <w:rsid w:val="00FF0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489E7B3"/>
  <w15:chartTrackingRefBased/>
  <w15:docId w15:val="{793E1FF7-5063-42D8-B78B-0C140B0D1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5DA"/>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905D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905DA"/>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905D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905D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90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5D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905D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905D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905D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905D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905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5DA"/>
    <w:rPr>
      <w:rFonts w:eastAsiaTheme="majorEastAsia" w:cstheme="majorBidi"/>
      <w:color w:val="272727" w:themeColor="text1" w:themeTint="D8"/>
    </w:rPr>
  </w:style>
  <w:style w:type="paragraph" w:styleId="Title">
    <w:name w:val="Title"/>
    <w:basedOn w:val="Normal"/>
    <w:next w:val="Normal"/>
    <w:link w:val="TitleChar"/>
    <w:uiPriority w:val="10"/>
    <w:qFormat/>
    <w:rsid w:val="00B90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5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5DA"/>
    <w:pPr>
      <w:spacing w:before="160"/>
      <w:jc w:val="center"/>
    </w:pPr>
    <w:rPr>
      <w:i/>
      <w:iCs/>
      <w:color w:val="404040" w:themeColor="text1" w:themeTint="BF"/>
    </w:rPr>
  </w:style>
  <w:style w:type="character" w:customStyle="1" w:styleId="QuoteChar">
    <w:name w:val="Quote Char"/>
    <w:basedOn w:val="DefaultParagraphFont"/>
    <w:link w:val="Quote"/>
    <w:uiPriority w:val="29"/>
    <w:rsid w:val="00B905DA"/>
    <w:rPr>
      <w:i/>
      <w:iCs/>
      <w:color w:val="404040" w:themeColor="text1" w:themeTint="BF"/>
    </w:rPr>
  </w:style>
  <w:style w:type="paragraph" w:styleId="ListParagraph">
    <w:name w:val="List Paragraph"/>
    <w:basedOn w:val="Normal"/>
    <w:uiPriority w:val="34"/>
    <w:qFormat/>
    <w:rsid w:val="00B905DA"/>
    <w:pPr>
      <w:ind w:left="720"/>
      <w:contextualSpacing/>
    </w:pPr>
  </w:style>
  <w:style w:type="character" w:styleId="IntenseEmphasis">
    <w:name w:val="Intense Emphasis"/>
    <w:basedOn w:val="DefaultParagraphFont"/>
    <w:uiPriority w:val="21"/>
    <w:qFormat/>
    <w:rsid w:val="00B905DA"/>
    <w:rPr>
      <w:i/>
      <w:iCs/>
      <w:color w:val="2E74B5" w:themeColor="accent1" w:themeShade="BF"/>
    </w:rPr>
  </w:style>
  <w:style w:type="paragraph" w:styleId="IntenseQuote">
    <w:name w:val="Intense Quote"/>
    <w:basedOn w:val="Normal"/>
    <w:next w:val="Normal"/>
    <w:link w:val="IntenseQuoteChar"/>
    <w:uiPriority w:val="30"/>
    <w:qFormat/>
    <w:rsid w:val="00B905D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905DA"/>
    <w:rPr>
      <w:i/>
      <w:iCs/>
      <w:color w:val="2E74B5" w:themeColor="accent1" w:themeShade="BF"/>
    </w:rPr>
  </w:style>
  <w:style w:type="character" w:styleId="IntenseReference">
    <w:name w:val="Intense Reference"/>
    <w:basedOn w:val="DefaultParagraphFont"/>
    <w:uiPriority w:val="32"/>
    <w:qFormat/>
    <w:rsid w:val="00B905DA"/>
    <w:rPr>
      <w:b/>
      <w:bCs/>
      <w:smallCaps/>
      <w:color w:val="2E74B5" w:themeColor="accent1" w:themeShade="BF"/>
      <w:spacing w:val="5"/>
    </w:rPr>
  </w:style>
  <w:style w:type="character" w:styleId="Hyperlink">
    <w:name w:val="Hyperlink"/>
    <w:basedOn w:val="DefaultParagraphFont"/>
    <w:uiPriority w:val="99"/>
    <w:unhideWhenUsed/>
    <w:rsid w:val="00B905DA"/>
    <w:rPr>
      <w:color w:val="0563C1" w:themeColor="hyperlink"/>
      <w:u w:val="single"/>
    </w:rPr>
  </w:style>
  <w:style w:type="character" w:styleId="UnresolvedMention">
    <w:name w:val="Unresolved Mention"/>
    <w:basedOn w:val="DefaultParagraphFont"/>
    <w:uiPriority w:val="99"/>
    <w:semiHidden/>
    <w:unhideWhenUsed/>
    <w:rsid w:val="00B905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onwygovuk-my.sharepoint.com/personal/tanya_roberts1_conwy_gov_uk/_layouts/15/Doc.aspx?sourcedoc=%7b622E257D-8B5F-4C3D-83AE-AC4EDF82EBE4%7d&amp;file=Youth+Work+in+the+90s.docx&amp;action=default&amp;mobileredirect=true&amp;nav=eyJoIjoiNjIwNzU3NTQ1In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298</TotalTime>
  <Pages>4</Pages>
  <Words>1752</Words>
  <Characters>10463</Characters>
  <Application>Microsoft Office Word</Application>
  <DocSecurity>0</DocSecurity>
  <Lines>171</Lines>
  <Paragraphs>58</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Roberts</dc:creator>
  <cp:keywords/>
  <dc:description/>
  <cp:lastModifiedBy>Tanya Roberts</cp:lastModifiedBy>
  <cp:revision>16</cp:revision>
  <dcterms:created xsi:type="dcterms:W3CDTF">2026-03-15T14:18:00Z</dcterms:created>
  <dcterms:modified xsi:type="dcterms:W3CDTF">2026-03-19T18:11:00Z</dcterms:modified>
</cp:coreProperties>
</file>