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8CC9F9" w14:textId="77777777" w:rsidR="002F4292" w:rsidRDefault="002F4292" w:rsidP="00BF25EB">
      <w:pPr>
        <w:rPr>
          <w:b/>
          <w:bCs/>
          <w:sz w:val="32"/>
          <w:szCs w:val="28"/>
        </w:rPr>
      </w:pPr>
    </w:p>
    <w:p w14:paraId="04D4BEA3" w14:textId="70A2232B" w:rsidR="00BC5BD9" w:rsidRDefault="00783A29" w:rsidP="00BC5BD9">
      <w:pPr>
        <w:jc w:val="center"/>
        <w:rPr>
          <w:rFonts w:cs="Times New Roman"/>
          <w:b/>
          <w:bCs/>
          <w:color w:val="000000" w:themeColor="text1"/>
          <w:sz w:val="44"/>
          <w:szCs w:val="36"/>
        </w:rPr>
      </w:pPr>
      <w:r>
        <w:rPr>
          <w:rFonts w:cs="Times New Roman"/>
          <w:b/>
          <w:bCs/>
          <w:color w:val="000000" w:themeColor="text1"/>
          <w:sz w:val="44"/>
          <w:szCs w:val="36"/>
        </w:rPr>
        <w:t>Criminal Law</w:t>
      </w:r>
      <w:r w:rsidR="00BC5BD9" w:rsidRPr="00BC5BD9">
        <w:rPr>
          <w:rFonts w:cs="Times New Roman"/>
          <w:b/>
          <w:bCs/>
          <w:color w:val="000000" w:themeColor="text1"/>
          <w:sz w:val="44"/>
          <w:szCs w:val="36"/>
        </w:rPr>
        <w:t xml:space="preserve"> </w:t>
      </w:r>
      <w:r w:rsidR="00BC5BD9">
        <w:rPr>
          <w:rFonts w:cs="Times New Roman"/>
          <w:b/>
          <w:bCs/>
          <w:color w:val="000000" w:themeColor="text1"/>
          <w:sz w:val="44"/>
          <w:szCs w:val="36"/>
        </w:rPr>
        <w:t>BMPL 4009</w:t>
      </w:r>
    </w:p>
    <w:p w14:paraId="05A010A9" w14:textId="6D169843" w:rsidR="00783A29" w:rsidRPr="00BC5BD9" w:rsidRDefault="00783A29" w:rsidP="00BC5BD9">
      <w:pPr>
        <w:jc w:val="center"/>
        <w:rPr>
          <w:rFonts w:cs="Times New Roman"/>
          <w:b/>
          <w:bCs/>
          <w:color w:val="000000" w:themeColor="text1"/>
          <w:sz w:val="44"/>
          <w:szCs w:val="36"/>
        </w:rPr>
      </w:pPr>
      <w:r w:rsidRPr="00BC5BD9">
        <w:rPr>
          <w:rFonts w:cs="Times New Roman"/>
          <w:b/>
          <w:bCs/>
          <w:color w:val="000000" w:themeColor="text1"/>
          <w:sz w:val="44"/>
          <w:szCs w:val="36"/>
        </w:rPr>
        <w:t xml:space="preserve">Case Scenario </w:t>
      </w:r>
    </w:p>
    <w:p w14:paraId="68ABC915" w14:textId="77777777" w:rsidR="00783A29" w:rsidRPr="00BC5BD9" w:rsidRDefault="00783A29" w:rsidP="00BC5BD9">
      <w:pPr>
        <w:jc w:val="center"/>
        <w:rPr>
          <w:rFonts w:cs="Times New Roman"/>
          <w:b/>
          <w:bCs/>
          <w:color w:val="000000" w:themeColor="text1"/>
          <w:sz w:val="44"/>
          <w:szCs w:val="36"/>
        </w:rPr>
      </w:pPr>
      <w:proofErr w:type="spellStart"/>
      <w:r w:rsidRPr="00BC5BD9">
        <w:rPr>
          <w:rFonts w:cs="Times New Roman"/>
          <w:b/>
          <w:bCs/>
          <w:color w:val="000000" w:themeColor="text1"/>
          <w:sz w:val="44"/>
          <w:szCs w:val="36"/>
        </w:rPr>
        <w:t>Dareema</w:t>
      </w:r>
      <w:proofErr w:type="spellEnd"/>
      <w:r w:rsidRPr="00BC5BD9">
        <w:rPr>
          <w:rFonts w:cs="Times New Roman"/>
          <w:b/>
          <w:bCs/>
          <w:color w:val="000000" w:themeColor="text1"/>
          <w:sz w:val="44"/>
          <w:szCs w:val="36"/>
        </w:rPr>
        <w:t xml:space="preserve"> </w:t>
      </w:r>
      <w:proofErr w:type="spellStart"/>
      <w:r w:rsidRPr="00BC5BD9">
        <w:rPr>
          <w:rFonts w:cs="Times New Roman"/>
          <w:b/>
          <w:bCs/>
          <w:color w:val="000000" w:themeColor="text1"/>
          <w:sz w:val="44"/>
          <w:szCs w:val="36"/>
        </w:rPr>
        <w:t>Rehman</w:t>
      </w:r>
      <w:proofErr w:type="spellEnd"/>
    </w:p>
    <w:p w14:paraId="214E127B" w14:textId="77777777" w:rsidR="00783A29" w:rsidRDefault="00783A29" w:rsidP="00BC5BD9">
      <w:pPr>
        <w:jc w:val="center"/>
        <w:rPr>
          <w:rFonts w:eastAsiaTheme="majorEastAsia" w:cstheme="majorBidi"/>
          <w:b/>
          <w:color w:val="2F5496" w:themeColor="accent1" w:themeShade="BF"/>
          <w:sz w:val="32"/>
          <w:szCs w:val="32"/>
        </w:rPr>
      </w:pPr>
      <w:r w:rsidRPr="00BC5BD9">
        <w:rPr>
          <w:rFonts w:cs="Times New Roman"/>
          <w:b/>
          <w:bCs/>
          <w:color w:val="000000" w:themeColor="text1"/>
          <w:sz w:val="44"/>
          <w:szCs w:val="36"/>
        </w:rPr>
        <w:t>2213395</w:t>
      </w:r>
      <w:r>
        <w:br w:type="page"/>
      </w:r>
      <w:bookmarkStart w:id="0" w:name="_GoBack"/>
    </w:p>
    <w:bookmarkEnd w:id="0"/>
    <w:p w14:paraId="08CE812E" w14:textId="77777777" w:rsidR="00BF25EB" w:rsidRDefault="00BF25EB" w:rsidP="00BF25EB">
      <w:pPr>
        <w:jc w:val="left"/>
        <w:rPr>
          <w:bCs/>
          <w:sz w:val="32"/>
          <w:szCs w:val="28"/>
        </w:rPr>
      </w:pPr>
    </w:p>
    <w:sdt>
      <w:sdtPr>
        <w:rPr>
          <w:rFonts w:ascii="Times New Roman" w:eastAsiaTheme="minorHAnsi" w:hAnsi="Times New Roman" w:cs="Times New Roman"/>
          <w:b/>
          <w:bCs/>
          <w:color w:val="auto"/>
          <w:sz w:val="24"/>
          <w:szCs w:val="22"/>
          <w:lang w:eastAsia="en-US"/>
        </w:rPr>
        <w:id w:val="-1155757394"/>
        <w:docPartObj>
          <w:docPartGallery w:val="Table of Contents"/>
          <w:docPartUnique/>
        </w:docPartObj>
      </w:sdtPr>
      <w:sdtEndPr>
        <w:rPr>
          <w:rFonts w:cstheme="minorBidi"/>
        </w:rPr>
      </w:sdtEndPr>
      <w:sdtContent>
        <w:p w14:paraId="2F9B88C3" w14:textId="7A42539D" w:rsidR="001B293D" w:rsidRPr="001B293D" w:rsidRDefault="001B293D" w:rsidP="001B293D">
          <w:pPr>
            <w:pStyle w:val="TOCHeading"/>
            <w:jc w:val="center"/>
            <w:rPr>
              <w:rFonts w:ascii="Times New Roman" w:hAnsi="Times New Roman" w:cs="Times New Roman"/>
              <w:b/>
              <w:bCs/>
            </w:rPr>
          </w:pPr>
          <w:r w:rsidRPr="001B293D">
            <w:rPr>
              <w:rFonts w:ascii="Times New Roman" w:hAnsi="Times New Roman" w:cs="Times New Roman"/>
              <w:b/>
              <w:bCs/>
            </w:rPr>
            <w:t>Table of Contents</w:t>
          </w:r>
        </w:p>
        <w:p w14:paraId="0228E804" w14:textId="500BBC09" w:rsidR="001B293D" w:rsidRDefault="001B293D">
          <w:pPr>
            <w:pStyle w:val="TOC1"/>
            <w:tabs>
              <w:tab w:val="right" w:leader="dot" w:pos="9350"/>
            </w:tabs>
            <w:rPr>
              <w:noProof/>
            </w:rPr>
          </w:pPr>
          <w:r>
            <w:fldChar w:fldCharType="begin"/>
          </w:r>
          <w:r>
            <w:instrText xml:space="preserve"> TOC \o "1-3" \h \z \u </w:instrText>
          </w:r>
          <w:r>
            <w:fldChar w:fldCharType="separate"/>
          </w:r>
          <w:hyperlink w:anchor="_Toc132917006" w:history="1">
            <w:r w:rsidRPr="006923B4">
              <w:rPr>
                <w:rStyle w:val="Hyperlink"/>
                <w:noProof/>
              </w:rPr>
              <w:t>Introduction</w:t>
            </w:r>
            <w:r>
              <w:rPr>
                <w:noProof/>
                <w:webHidden/>
              </w:rPr>
              <w:tab/>
            </w:r>
            <w:r>
              <w:rPr>
                <w:noProof/>
                <w:webHidden/>
              </w:rPr>
              <w:fldChar w:fldCharType="begin"/>
            </w:r>
            <w:r>
              <w:rPr>
                <w:noProof/>
                <w:webHidden/>
              </w:rPr>
              <w:instrText xml:space="preserve"> PAGEREF _Toc132917006 \h </w:instrText>
            </w:r>
            <w:r>
              <w:rPr>
                <w:noProof/>
                <w:webHidden/>
              </w:rPr>
            </w:r>
            <w:r>
              <w:rPr>
                <w:noProof/>
                <w:webHidden/>
              </w:rPr>
              <w:fldChar w:fldCharType="separate"/>
            </w:r>
            <w:r>
              <w:rPr>
                <w:noProof/>
                <w:webHidden/>
              </w:rPr>
              <w:t>3</w:t>
            </w:r>
            <w:r>
              <w:rPr>
                <w:noProof/>
                <w:webHidden/>
              </w:rPr>
              <w:fldChar w:fldCharType="end"/>
            </w:r>
          </w:hyperlink>
        </w:p>
        <w:p w14:paraId="7659A350" w14:textId="602568EA" w:rsidR="001B293D" w:rsidRDefault="00B77EDE">
          <w:pPr>
            <w:pStyle w:val="TOC1"/>
            <w:tabs>
              <w:tab w:val="right" w:leader="dot" w:pos="9350"/>
            </w:tabs>
            <w:rPr>
              <w:noProof/>
            </w:rPr>
          </w:pPr>
          <w:hyperlink w:anchor="_Toc132917007" w:history="1">
            <w:r w:rsidR="001B293D" w:rsidRPr="006923B4">
              <w:rPr>
                <w:rStyle w:val="Hyperlink"/>
                <w:noProof/>
              </w:rPr>
              <w:t>Offences Committed</w:t>
            </w:r>
            <w:r w:rsidR="001B293D">
              <w:rPr>
                <w:noProof/>
                <w:webHidden/>
              </w:rPr>
              <w:tab/>
            </w:r>
            <w:r w:rsidR="001B293D">
              <w:rPr>
                <w:noProof/>
                <w:webHidden/>
              </w:rPr>
              <w:fldChar w:fldCharType="begin"/>
            </w:r>
            <w:r w:rsidR="001B293D">
              <w:rPr>
                <w:noProof/>
                <w:webHidden/>
              </w:rPr>
              <w:instrText xml:space="preserve"> PAGEREF _Toc132917007 \h </w:instrText>
            </w:r>
            <w:r w:rsidR="001B293D">
              <w:rPr>
                <w:noProof/>
                <w:webHidden/>
              </w:rPr>
            </w:r>
            <w:r w:rsidR="001B293D">
              <w:rPr>
                <w:noProof/>
                <w:webHidden/>
              </w:rPr>
              <w:fldChar w:fldCharType="separate"/>
            </w:r>
            <w:r w:rsidR="001B293D">
              <w:rPr>
                <w:noProof/>
                <w:webHidden/>
              </w:rPr>
              <w:t>3</w:t>
            </w:r>
            <w:r w:rsidR="001B293D">
              <w:rPr>
                <w:noProof/>
                <w:webHidden/>
              </w:rPr>
              <w:fldChar w:fldCharType="end"/>
            </w:r>
          </w:hyperlink>
        </w:p>
        <w:p w14:paraId="67DB274D" w14:textId="5190B18E" w:rsidR="001B293D" w:rsidRDefault="00B77EDE">
          <w:pPr>
            <w:pStyle w:val="TOC2"/>
            <w:tabs>
              <w:tab w:val="right" w:leader="dot" w:pos="9350"/>
            </w:tabs>
            <w:rPr>
              <w:noProof/>
            </w:rPr>
          </w:pPr>
          <w:hyperlink w:anchor="_Toc132917008" w:history="1">
            <w:r w:rsidR="001B293D" w:rsidRPr="006923B4">
              <w:rPr>
                <w:rStyle w:val="Hyperlink"/>
                <w:rFonts w:eastAsia="Times New Roman"/>
                <w:noProof/>
                <w:lang w:eastAsia="en-GB"/>
              </w:rPr>
              <w:t>Criminal Damage</w:t>
            </w:r>
            <w:r w:rsidR="001B293D">
              <w:rPr>
                <w:noProof/>
                <w:webHidden/>
              </w:rPr>
              <w:tab/>
            </w:r>
            <w:r w:rsidR="001B293D">
              <w:rPr>
                <w:noProof/>
                <w:webHidden/>
              </w:rPr>
              <w:fldChar w:fldCharType="begin"/>
            </w:r>
            <w:r w:rsidR="001B293D">
              <w:rPr>
                <w:noProof/>
                <w:webHidden/>
              </w:rPr>
              <w:instrText xml:space="preserve"> PAGEREF _Toc132917008 \h </w:instrText>
            </w:r>
            <w:r w:rsidR="001B293D">
              <w:rPr>
                <w:noProof/>
                <w:webHidden/>
              </w:rPr>
            </w:r>
            <w:r w:rsidR="001B293D">
              <w:rPr>
                <w:noProof/>
                <w:webHidden/>
              </w:rPr>
              <w:fldChar w:fldCharType="separate"/>
            </w:r>
            <w:r w:rsidR="001B293D">
              <w:rPr>
                <w:noProof/>
                <w:webHidden/>
              </w:rPr>
              <w:t>3</w:t>
            </w:r>
            <w:r w:rsidR="001B293D">
              <w:rPr>
                <w:noProof/>
                <w:webHidden/>
              </w:rPr>
              <w:fldChar w:fldCharType="end"/>
            </w:r>
          </w:hyperlink>
        </w:p>
        <w:p w14:paraId="5D7FB3D3" w14:textId="18EE4FA4" w:rsidR="001B293D" w:rsidRDefault="00B77EDE">
          <w:pPr>
            <w:pStyle w:val="TOC2"/>
            <w:tabs>
              <w:tab w:val="right" w:leader="dot" w:pos="9350"/>
            </w:tabs>
            <w:rPr>
              <w:noProof/>
            </w:rPr>
          </w:pPr>
          <w:hyperlink w:anchor="_Toc132917009" w:history="1">
            <w:r w:rsidR="001B293D" w:rsidRPr="006923B4">
              <w:rPr>
                <w:rStyle w:val="Hyperlink"/>
                <w:noProof/>
                <w:lang w:eastAsia="en-GB"/>
              </w:rPr>
              <w:t>Assault</w:t>
            </w:r>
            <w:r w:rsidR="001B293D">
              <w:rPr>
                <w:noProof/>
                <w:webHidden/>
              </w:rPr>
              <w:tab/>
            </w:r>
            <w:r w:rsidR="001B293D">
              <w:rPr>
                <w:noProof/>
                <w:webHidden/>
              </w:rPr>
              <w:fldChar w:fldCharType="begin"/>
            </w:r>
            <w:r w:rsidR="001B293D">
              <w:rPr>
                <w:noProof/>
                <w:webHidden/>
              </w:rPr>
              <w:instrText xml:space="preserve"> PAGEREF _Toc132917009 \h </w:instrText>
            </w:r>
            <w:r w:rsidR="001B293D">
              <w:rPr>
                <w:noProof/>
                <w:webHidden/>
              </w:rPr>
            </w:r>
            <w:r w:rsidR="001B293D">
              <w:rPr>
                <w:noProof/>
                <w:webHidden/>
              </w:rPr>
              <w:fldChar w:fldCharType="separate"/>
            </w:r>
            <w:r w:rsidR="001B293D">
              <w:rPr>
                <w:noProof/>
                <w:webHidden/>
              </w:rPr>
              <w:t>4</w:t>
            </w:r>
            <w:r w:rsidR="001B293D">
              <w:rPr>
                <w:noProof/>
                <w:webHidden/>
              </w:rPr>
              <w:fldChar w:fldCharType="end"/>
            </w:r>
          </w:hyperlink>
        </w:p>
        <w:p w14:paraId="0722935A" w14:textId="135C60AE" w:rsidR="001B293D" w:rsidRDefault="00B77EDE">
          <w:pPr>
            <w:pStyle w:val="TOC2"/>
            <w:tabs>
              <w:tab w:val="right" w:leader="dot" w:pos="9350"/>
            </w:tabs>
            <w:rPr>
              <w:noProof/>
            </w:rPr>
          </w:pPr>
          <w:hyperlink w:anchor="_Toc132917010" w:history="1">
            <w:r w:rsidR="001B293D" w:rsidRPr="006923B4">
              <w:rPr>
                <w:rStyle w:val="Hyperlink"/>
                <w:noProof/>
                <w:lang w:eastAsia="en-GB"/>
              </w:rPr>
              <w:t>Murder</w:t>
            </w:r>
            <w:r w:rsidR="001B293D">
              <w:rPr>
                <w:noProof/>
                <w:webHidden/>
              </w:rPr>
              <w:tab/>
            </w:r>
            <w:r w:rsidR="001B293D">
              <w:rPr>
                <w:noProof/>
                <w:webHidden/>
              </w:rPr>
              <w:fldChar w:fldCharType="begin"/>
            </w:r>
            <w:r w:rsidR="001B293D">
              <w:rPr>
                <w:noProof/>
                <w:webHidden/>
              </w:rPr>
              <w:instrText xml:space="preserve"> PAGEREF _Toc132917010 \h </w:instrText>
            </w:r>
            <w:r w:rsidR="001B293D">
              <w:rPr>
                <w:noProof/>
                <w:webHidden/>
              </w:rPr>
            </w:r>
            <w:r w:rsidR="001B293D">
              <w:rPr>
                <w:noProof/>
                <w:webHidden/>
              </w:rPr>
              <w:fldChar w:fldCharType="separate"/>
            </w:r>
            <w:r w:rsidR="001B293D">
              <w:rPr>
                <w:noProof/>
                <w:webHidden/>
              </w:rPr>
              <w:t>4</w:t>
            </w:r>
            <w:r w:rsidR="001B293D">
              <w:rPr>
                <w:noProof/>
                <w:webHidden/>
              </w:rPr>
              <w:fldChar w:fldCharType="end"/>
            </w:r>
          </w:hyperlink>
        </w:p>
        <w:p w14:paraId="547B942C" w14:textId="0C5FC23A" w:rsidR="001B293D" w:rsidRDefault="00B77EDE">
          <w:pPr>
            <w:pStyle w:val="TOC1"/>
            <w:tabs>
              <w:tab w:val="right" w:leader="dot" w:pos="9350"/>
            </w:tabs>
            <w:rPr>
              <w:noProof/>
            </w:rPr>
          </w:pPr>
          <w:hyperlink w:anchor="_Toc132917011" w:history="1">
            <w:r w:rsidR="001B293D" w:rsidRPr="006923B4">
              <w:rPr>
                <w:rStyle w:val="Hyperlink"/>
                <w:noProof/>
                <w:lang w:eastAsia="en-GB"/>
              </w:rPr>
              <w:t>Defences</w:t>
            </w:r>
            <w:r w:rsidR="001B293D">
              <w:rPr>
                <w:noProof/>
                <w:webHidden/>
              </w:rPr>
              <w:tab/>
            </w:r>
            <w:r w:rsidR="001B293D">
              <w:rPr>
                <w:noProof/>
                <w:webHidden/>
              </w:rPr>
              <w:fldChar w:fldCharType="begin"/>
            </w:r>
            <w:r w:rsidR="001B293D">
              <w:rPr>
                <w:noProof/>
                <w:webHidden/>
              </w:rPr>
              <w:instrText xml:space="preserve"> PAGEREF _Toc132917011 \h </w:instrText>
            </w:r>
            <w:r w:rsidR="001B293D">
              <w:rPr>
                <w:noProof/>
                <w:webHidden/>
              </w:rPr>
            </w:r>
            <w:r w:rsidR="001B293D">
              <w:rPr>
                <w:noProof/>
                <w:webHidden/>
              </w:rPr>
              <w:fldChar w:fldCharType="separate"/>
            </w:r>
            <w:r w:rsidR="001B293D">
              <w:rPr>
                <w:noProof/>
                <w:webHidden/>
              </w:rPr>
              <w:t>5</w:t>
            </w:r>
            <w:r w:rsidR="001B293D">
              <w:rPr>
                <w:noProof/>
                <w:webHidden/>
              </w:rPr>
              <w:fldChar w:fldCharType="end"/>
            </w:r>
          </w:hyperlink>
        </w:p>
        <w:p w14:paraId="23F049D5" w14:textId="1974F207" w:rsidR="001B293D" w:rsidRDefault="00B77EDE">
          <w:pPr>
            <w:pStyle w:val="TOC2"/>
            <w:tabs>
              <w:tab w:val="right" w:leader="dot" w:pos="9350"/>
            </w:tabs>
            <w:rPr>
              <w:noProof/>
            </w:rPr>
          </w:pPr>
          <w:hyperlink w:anchor="_Toc132917012" w:history="1">
            <w:r w:rsidR="001B293D" w:rsidRPr="006923B4">
              <w:rPr>
                <w:rStyle w:val="Hyperlink"/>
                <w:noProof/>
                <w:lang w:eastAsia="en-GB"/>
              </w:rPr>
              <w:t>Diminished Responsibility</w:t>
            </w:r>
            <w:r w:rsidR="001B293D">
              <w:rPr>
                <w:noProof/>
                <w:webHidden/>
              </w:rPr>
              <w:tab/>
            </w:r>
            <w:r w:rsidR="001B293D">
              <w:rPr>
                <w:noProof/>
                <w:webHidden/>
              </w:rPr>
              <w:fldChar w:fldCharType="begin"/>
            </w:r>
            <w:r w:rsidR="001B293D">
              <w:rPr>
                <w:noProof/>
                <w:webHidden/>
              </w:rPr>
              <w:instrText xml:space="preserve"> PAGEREF _Toc132917012 \h </w:instrText>
            </w:r>
            <w:r w:rsidR="001B293D">
              <w:rPr>
                <w:noProof/>
                <w:webHidden/>
              </w:rPr>
            </w:r>
            <w:r w:rsidR="001B293D">
              <w:rPr>
                <w:noProof/>
                <w:webHidden/>
              </w:rPr>
              <w:fldChar w:fldCharType="separate"/>
            </w:r>
            <w:r w:rsidR="001B293D">
              <w:rPr>
                <w:noProof/>
                <w:webHidden/>
              </w:rPr>
              <w:t>5</w:t>
            </w:r>
            <w:r w:rsidR="001B293D">
              <w:rPr>
                <w:noProof/>
                <w:webHidden/>
              </w:rPr>
              <w:fldChar w:fldCharType="end"/>
            </w:r>
          </w:hyperlink>
        </w:p>
        <w:p w14:paraId="544D2ECB" w14:textId="6AC3BE11" w:rsidR="001B293D" w:rsidRDefault="00B77EDE">
          <w:pPr>
            <w:pStyle w:val="TOC2"/>
            <w:tabs>
              <w:tab w:val="right" w:leader="dot" w:pos="9350"/>
            </w:tabs>
            <w:rPr>
              <w:noProof/>
            </w:rPr>
          </w:pPr>
          <w:hyperlink w:anchor="_Toc132917013" w:history="1">
            <w:r w:rsidR="001B293D" w:rsidRPr="006923B4">
              <w:rPr>
                <w:rStyle w:val="Hyperlink"/>
                <w:noProof/>
                <w:lang w:eastAsia="en-GB"/>
              </w:rPr>
              <w:t>Self-Defence</w:t>
            </w:r>
            <w:r w:rsidR="001B293D">
              <w:rPr>
                <w:noProof/>
                <w:webHidden/>
              </w:rPr>
              <w:tab/>
            </w:r>
            <w:r w:rsidR="001B293D">
              <w:rPr>
                <w:noProof/>
                <w:webHidden/>
              </w:rPr>
              <w:fldChar w:fldCharType="begin"/>
            </w:r>
            <w:r w:rsidR="001B293D">
              <w:rPr>
                <w:noProof/>
                <w:webHidden/>
              </w:rPr>
              <w:instrText xml:space="preserve"> PAGEREF _Toc132917013 \h </w:instrText>
            </w:r>
            <w:r w:rsidR="001B293D">
              <w:rPr>
                <w:noProof/>
                <w:webHidden/>
              </w:rPr>
            </w:r>
            <w:r w:rsidR="001B293D">
              <w:rPr>
                <w:noProof/>
                <w:webHidden/>
              </w:rPr>
              <w:fldChar w:fldCharType="separate"/>
            </w:r>
            <w:r w:rsidR="001B293D">
              <w:rPr>
                <w:noProof/>
                <w:webHidden/>
              </w:rPr>
              <w:t>6</w:t>
            </w:r>
            <w:r w:rsidR="001B293D">
              <w:rPr>
                <w:noProof/>
                <w:webHidden/>
              </w:rPr>
              <w:fldChar w:fldCharType="end"/>
            </w:r>
          </w:hyperlink>
        </w:p>
        <w:p w14:paraId="3009075A" w14:textId="468C6430" w:rsidR="001B293D" w:rsidRDefault="00B77EDE">
          <w:pPr>
            <w:pStyle w:val="TOC1"/>
            <w:tabs>
              <w:tab w:val="right" w:leader="dot" w:pos="9350"/>
            </w:tabs>
            <w:rPr>
              <w:noProof/>
            </w:rPr>
          </w:pPr>
          <w:hyperlink w:anchor="_Toc132917014" w:history="1">
            <w:r w:rsidR="001B293D" w:rsidRPr="006923B4">
              <w:rPr>
                <w:rStyle w:val="Hyperlink"/>
                <w:noProof/>
                <w:lang w:eastAsia="en-GB"/>
              </w:rPr>
              <w:t>Conclusion</w:t>
            </w:r>
            <w:r w:rsidR="001B293D">
              <w:rPr>
                <w:noProof/>
                <w:webHidden/>
              </w:rPr>
              <w:tab/>
            </w:r>
            <w:r w:rsidR="001B293D">
              <w:rPr>
                <w:noProof/>
                <w:webHidden/>
              </w:rPr>
              <w:fldChar w:fldCharType="begin"/>
            </w:r>
            <w:r w:rsidR="001B293D">
              <w:rPr>
                <w:noProof/>
                <w:webHidden/>
              </w:rPr>
              <w:instrText xml:space="preserve"> PAGEREF _Toc132917014 \h </w:instrText>
            </w:r>
            <w:r w:rsidR="001B293D">
              <w:rPr>
                <w:noProof/>
                <w:webHidden/>
              </w:rPr>
            </w:r>
            <w:r w:rsidR="001B293D">
              <w:rPr>
                <w:noProof/>
                <w:webHidden/>
              </w:rPr>
              <w:fldChar w:fldCharType="separate"/>
            </w:r>
            <w:r w:rsidR="001B293D">
              <w:rPr>
                <w:noProof/>
                <w:webHidden/>
              </w:rPr>
              <w:t>7</w:t>
            </w:r>
            <w:r w:rsidR="001B293D">
              <w:rPr>
                <w:noProof/>
                <w:webHidden/>
              </w:rPr>
              <w:fldChar w:fldCharType="end"/>
            </w:r>
          </w:hyperlink>
        </w:p>
        <w:p w14:paraId="656BC6DC" w14:textId="22ACD9C4" w:rsidR="001B293D" w:rsidRDefault="00B77EDE">
          <w:pPr>
            <w:pStyle w:val="TOC1"/>
            <w:tabs>
              <w:tab w:val="right" w:leader="dot" w:pos="9350"/>
            </w:tabs>
            <w:rPr>
              <w:noProof/>
            </w:rPr>
          </w:pPr>
          <w:hyperlink w:anchor="_Toc132917015" w:history="1">
            <w:r w:rsidR="001B293D" w:rsidRPr="006923B4">
              <w:rPr>
                <w:rStyle w:val="Hyperlink"/>
                <w:noProof/>
                <w:lang w:eastAsia="en-GB"/>
              </w:rPr>
              <w:t>References</w:t>
            </w:r>
            <w:r w:rsidR="001B293D">
              <w:rPr>
                <w:noProof/>
                <w:webHidden/>
              </w:rPr>
              <w:tab/>
            </w:r>
            <w:r w:rsidR="001B293D">
              <w:rPr>
                <w:noProof/>
                <w:webHidden/>
              </w:rPr>
              <w:fldChar w:fldCharType="begin"/>
            </w:r>
            <w:r w:rsidR="001B293D">
              <w:rPr>
                <w:noProof/>
                <w:webHidden/>
              </w:rPr>
              <w:instrText xml:space="preserve"> PAGEREF _Toc132917015 \h </w:instrText>
            </w:r>
            <w:r w:rsidR="001B293D">
              <w:rPr>
                <w:noProof/>
                <w:webHidden/>
              </w:rPr>
            </w:r>
            <w:r w:rsidR="001B293D">
              <w:rPr>
                <w:noProof/>
                <w:webHidden/>
              </w:rPr>
              <w:fldChar w:fldCharType="separate"/>
            </w:r>
            <w:r w:rsidR="001B293D">
              <w:rPr>
                <w:noProof/>
                <w:webHidden/>
              </w:rPr>
              <w:t>8</w:t>
            </w:r>
            <w:r w:rsidR="001B293D">
              <w:rPr>
                <w:noProof/>
                <w:webHidden/>
              </w:rPr>
              <w:fldChar w:fldCharType="end"/>
            </w:r>
          </w:hyperlink>
        </w:p>
        <w:p w14:paraId="7CDA7E1F" w14:textId="5C2B0A98" w:rsidR="001B293D" w:rsidRDefault="001B293D">
          <w:r>
            <w:rPr>
              <w:b/>
              <w:bCs/>
            </w:rPr>
            <w:fldChar w:fldCharType="end"/>
          </w:r>
        </w:p>
      </w:sdtContent>
    </w:sdt>
    <w:p w14:paraId="6CC09641" w14:textId="77777777" w:rsidR="001B293D" w:rsidRDefault="001B293D">
      <w:pPr>
        <w:rPr>
          <w:rFonts w:eastAsiaTheme="majorEastAsia" w:cstheme="majorBidi"/>
          <w:b/>
          <w:color w:val="000000" w:themeColor="text1"/>
          <w:sz w:val="32"/>
          <w:szCs w:val="32"/>
        </w:rPr>
      </w:pPr>
      <w:r>
        <w:br w:type="page"/>
      </w:r>
    </w:p>
    <w:p w14:paraId="5F2F7B6D" w14:textId="6D9448FA" w:rsidR="00FD26A7" w:rsidRDefault="00517C39" w:rsidP="00517C39">
      <w:pPr>
        <w:pStyle w:val="Heading1"/>
      </w:pPr>
      <w:bookmarkStart w:id="1" w:name="_Toc132917006"/>
      <w:r>
        <w:lastRenderedPageBreak/>
        <w:t>Introduction</w:t>
      </w:r>
      <w:bookmarkEnd w:id="1"/>
    </w:p>
    <w:p w14:paraId="1F7979CC" w14:textId="32C46F61" w:rsidR="00517C39" w:rsidRDefault="003B101D" w:rsidP="00517C39">
      <w:r>
        <w:t>The case scenario presents a situation involving Polly and Mohammed</w:t>
      </w:r>
      <w:r w:rsidR="00517C39" w:rsidRPr="00517C39">
        <w:t xml:space="preserve">. When Polly, a schizophrenic, overhears Mohammed flirting with Roxanne, a barmaid, she loses it and angrily calls her a "bitch" while giving her the middle finger. She then uses a shattered piece of glass in the parking lot to tear the brake lines on Roxanne's scooter. Later that night, Polly accuses Mohammed of having an affair with Roxanne, </w:t>
      </w:r>
      <w:proofErr w:type="gramStart"/>
      <w:r w:rsidR="00517C39" w:rsidRPr="00517C39">
        <w:t>which</w:t>
      </w:r>
      <w:proofErr w:type="gramEnd"/>
      <w:r w:rsidR="00517C39" w:rsidRPr="00517C39">
        <w:t xml:space="preserve"> sparks a fight between the two of them, and Polly finally murders Mohammed by beating him over the head with a glass ashtray. The potential criminal offences in this situation, such as criminal damage, assault, and murder, will be examined in this paper. </w:t>
      </w:r>
      <w:r w:rsidR="00A12278" w:rsidRPr="00517C39">
        <w:t>Defences</w:t>
      </w:r>
      <w:r w:rsidR="00517C39" w:rsidRPr="00517C39">
        <w:t xml:space="preserve"> such as decreased culpability and provocation will also be examined. This report will give a thorough analysis of the circumstance and the possible legal ramifications for the parties concerned by taking into account the relevant case law and legislation.</w:t>
      </w:r>
    </w:p>
    <w:p w14:paraId="5C1CD290" w14:textId="13005987" w:rsidR="00517C39" w:rsidRDefault="00517C39" w:rsidP="00517C39">
      <w:pPr>
        <w:pStyle w:val="Heading1"/>
      </w:pPr>
      <w:bookmarkStart w:id="2" w:name="_Toc132917007"/>
      <w:r w:rsidRPr="00517C39">
        <w:t>Offences Committed</w:t>
      </w:r>
      <w:bookmarkEnd w:id="2"/>
    </w:p>
    <w:p w14:paraId="0F774997" w14:textId="3E05D5C6" w:rsidR="00517C39" w:rsidRDefault="00517C39" w:rsidP="00517C39">
      <w:pPr>
        <w:pStyle w:val="Heading2"/>
        <w:rPr>
          <w:rFonts w:eastAsia="Times New Roman"/>
          <w:lang w:eastAsia="en-GB"/>
        </w:rPr>
      </w:pPr>
      <w:bookmarkStart w:id="3" w:name="_Toc132917008"/>
      <w:r w:rsidRPr="000D21D0">
        <w:rPr>
          <w:rFonts w:eastAsia="Times New Roman"/>
          <w:lang w:eastAsia="en-GB"/>
        </w:rPr>
        <w:t>Criminal Damage</w:t>
      </w:r>
      <w:bookmarkEnd w:id="3"/>
    </w:p>
    <w:p w14:paraId="7C11CB61" w14:textId="5FF39A04" w:rsidR="00517C39" w:rsidRDefault="00517C39" w:rsidP="00517C39">
      <w:pPr>
        <w:rPr>
          <w:lang w:eastAsia="en-GB"/>
        </w:rPr>
      </w:pPr>
      <w:r>
        <w:rPr>
          <w:lang w:eastAsia="en-GB"/>
        </w:rPr>
        <w:t>The act of destroying or injuring property belonging to another person without reasonable cause constitutes the crime of criminal damage under section 1(1) of the Criminal Damage Act 1971</w:t>
      </w:r>
      <w:r w:rsidR="00A1629D">
        <w:rPr>
          <w:lang w:eastAsia="en-GB"/>
        </w:rPr>
        <w:t xml:space="preserve"> (</w:t>
      </w:r>
      <w:proofErr w:type="spellStart"/>
      <w:r w:rsidR="00A1629D">
        <w:rPr>
          <w:shd w:val="clear" w:color="auto" w:fill="FFFFFF"/>
        </w:rPr>
        <w:t>Keiler</w:t>
      </w:r>
      <w:proofErr w:type="spellEnd"/>
      <w:r w:rsidR="00A1629D">
        <w:rPr>
          <w:shd w:val="clear" w:color="auto" w:fill="FFFFFF"/>
        </w:rPr>
        <w:t xml:space="preserve"> and </w:t>
      </w:r>
      <w:proofErr w:type="spellStart"/>
      <w:r w:rsidR="00A1629D">
        <w:rPr>
          <w:shd w:val="clear" w:color="auto" w:fill="FFFFFF"/>
        </w:rPr>
        <w:t>Roef</w:t>
      </w:r>
      <w:proofErr w:type="spellEnd"/>
      <w:r w:rsidR="00A1629D">
        <w:rPr>
          <w:shd w:val="clear" w:color="auto" w:fill="FFFFFF"/>
        </w:rPr>
        <w:t>, 2016)</w:t>
      </w:r>
      <w:r>
        <w:rPr>
          <w:lang w:eastAsia="en-GB"/>
        </w:rPr>
        <w:t xml:space="preserve">. In this case, Polly's acts of disconnecting Roxanne's moped's brake wires obviously constitute criminal damage. Roxanne was the rightful owner of the moped, and Polly had no legitimate justification for her conduct. Polly's deliberate cutting of the brake wires created enough damage to satisfy the </w:t>
      </w:r>
      <w:proofErr w:type="spellStart"/>
      <w:r>
        <w:rPr>
          <w:lang w:eastAsia="en-GB"/>
        </w:rPr>
        <w:t>actus</w:t>
      </w:r>
      <w:proofErr w:type="spellEnd"/>
      <w:r>
        <w:rPr>
          <w:lang w:eastAsia="en-GB"/>
        </w:rPr>
        <w:t xml:space="preserve"> </w:t>
      </w:r>
      <w:proofErr w:type="spellStart"/>
      <w:proofErr w:type="gramStart"/>
      <w:r>
        <w:rPr>
          <w:lang w:eastAsia="en-GB"/>
        </w:rPr>
        <w:t>reus</w:t>
      </w:r>
      <w:proofErr w:type="spellEnd"/>
      <w:proofErr w:type="gramEnd"/>
      <w:r>
        <w:rPr>
          <w:lang w:eastAsia="en-GB"/>
        </w:rPr>
        <w:t xml:space="preserve"> of the crime.</w:t>
      </w:r>
    </w:p>
    <w:p w14:paraId="0B23D60C" w14:textId="1373304B" w:rsidR="00517C39" w:rsidRDefault="00517C39" w:rsidP="00517C39">
      <w:pPr>
        <w:rPr>
          <w:lang w:eastAsia="en-GB"/>
        </w:rPr>
      </w:pPr>
      <w:r>
        <w:rPr>
          <w:lang w:eastAsia="en-GB"/>
        </w:rPr>
        <w:t xml:space="preserve">Moreover, the </w:t>
      </w:r>
      <w:proofErr w:type="spellStart"/>
      <w:r>
        <w:rPr>
          <w:lang w:eastAsia="en-GB"/>
        </w:rPr>
        <w:t>mens</w:t>
      </w:r>
      <w:proofErr w:type="spellEnd"/>
      <w:r>
        <w:rPr>
          <w:lang w:eastAsia="en-GB"/>
        </w:rPr>
        <w:t xml:space="preserve"> </w:t>
      </w:r>
      <w:proofErr w:type="spellStart"/>
      <w:r>
        <w:rPr>
          <w:lang w:eastAsia="en-GB"/>
        </w:rPr>
        <w:t>rea</w:t>
      </w:r>
      <w:proofErr w:type="spellEnd"/>
      <w:r>
        <w:rPr>
          <w:lang w:eastAsia="en-GB"/>
        </w:rPr>
        <w:t xml:space="preserve"> of the crime needs either a desire to inflict harm or negligence towards the possibility of such damage. Polly may have intended to wreck the moped in this instance, according to one theory. Her acts were not an accident; rather, they were a calculated effort to damage Roxanne's belongings. Polly may have been careless in cutting the brake lines since she was aware that doing so may endanger the scooter and its rider.</w:t>
      </w:r>
    </w:p>
    <w:p w14:paraId="00E6D5EA" w14:textId="358337C1" w:rsidR="00517C39" w:rsidRDefault="00517C39" w:rsidP="00517C39">
      <w:pPr>
        <w:rPr>
          <w:lang w:eastAsia="en-GB"/>
        </w:rPr>
      </w:pPr>
      <w:r>
        <w:rPr>
          <w:lang w:eastAsia="en-GB"/>
        </w:rPr>
        <w:t>Hence, Polly is responsible for the crime of criminal damage under section 1(1) of the Criminal Damage Act of 1971. This crime has a maximum sentence of 10 years in jail</w:t>
      </w:r>
      <w:r w:rsidR="00D006ED">
        <w:rPr>
          <w:lang w:eastAsia="en-GB"/>
        </w:rPr>
        <w:t xml:space="preserve"> (</w:t>
      </w:r>
      <w:r w:rsidR="00D006ED" w:rsidRPr="00A34D01">
        <w:rPr>
          <w:shd w:val="clear" w:color="auto" w:fill="FFFFFF"/>
        </w:rPr>
        <w:t>Craig</w:t>
      </w:r>
      <w:r w:rsidR="00D006ED">
        <w:rPr>
          <w:shd w:val="clear" w:color="auto" w:fill="FFFFFF"/>
        </w:rPr>
        <w:t xml:space="preserve"> and</w:t>
      </w:r>
      <w:r w:rsidR="00D006ED" w:rsidRPr="00D006ED">
        <w:rPr>
          <w:shd w:val="clear" w:color="auto" w:fill="FFFFFF"/>
        </w:rPr>
        <w:t xml:space="preserve"> </w:t>
      </w:r>
      <w:r w:rsidR="00D006ED" w:rsidRPr="00A34D01">
        <w:rPr>
          <w:shd w:val="clear" w:color="auto" w:fill="FFFFFF"/>
        </w:rPr>
        <w:t xml:space="preserve">De </w:t>
      </w:r>
      <w:proofErr w:type="spellStart"/>
      <w:r w:rsidR="00D006ED" w:rsidRPr="00A34D01">
        <w:rPr>
          <w:shd w:val="clear" w:color="auto" w:fill="FFFFFF"/>
        </w:rPr>
        <w:t>Búrca</w:t>
      </w:r>
      <w:proofErr w:type="spellEnd"/>
      <w:r w:rsidR="00D006ED">
        <w:rPr>
          <w:shd w:val="clear" w:color="auto" w:fill="FFFFFF"/>
        </w:rPr>
        <w:t>, 2020)</w:t>
      </w:r>
      <w:r>
        <w:rPr>
          <w:lang w:eastAsia="en-GB"/>
        </w:rPr>
        <w:t xml:space="preserve">. Polly's mental illness may, however, be taken into consideration while deciding </w:t>
      </w:r>
      <w:r>
        <w:rPr>
          <w:lang w:eastAsia="en-GB"/>
        </w:rPr>
        <w:lastRenderedPageBreak/>
        <w:t>on a suitable punishment for the crime. The report will also address Polly's potential defence of insanity.</w:t>
      </w:r>
    </w:p>
    <w:p w14:paraId="5456FF00" w14:textId="7E15A668" w:rsidR="00B26754" w:rsidRDefault="004C0608" w:rsidP="004C0608">
      <w:pPr>
        <w:pStyle w:val="Heading2"/>
        <w:rPr>
          <w:lang w:eastAsia="en-GB"/>
        </w:rPr>
      </w:pPr>
      <w:bookmarkStart w:id="4" w:name="_Toc132917009"/>
      <w:r>
        <w:rPr>
          <w:lang w:eastAsia="en-GB"/>
        </w:rPr>
        <w:t>Assault</w:t>
      </w:r>
      <w:bookmarkEnd w:id="4"/>
    </w:p>
    <w:p w14:paraId="46E2F36C" w14:textId="62494EC0" w:rsidR="004C0608" w:rsidRDefault="004C0608" w:rsidP="004C0608">
      <w:pPr>
        <w:rPr>
          <w:lang w:eastAsia="en-GB"/>
        </w:rPr>
      </w:pPr>
      <w:r>
        <w:rPr>
          <w:lang w:eastAsia="en-GB"/>
        </w:rPr>
        <w:t>When the offender negligently or purposefully puts the victim in fear of imminent illegal force, an assault has occurred. In this situation, Polly's actions of calling Roxanne a "bitch" and extending her middle finger towards her constituted an urgent threat of violence, leading Roxanne to fear for her safety. As a result, Polly may be prosecuted for assault under section 39 of the Criminal Justice Act of 1988</w:t>
      </w:r>
      <w:r w:rsidR="00D006ED">
        <w:rPr>
          <w:lang w:eastAsia="en-GB"/>
        </w:rPr>
        <w:t xml:space="preserve"> (</w:t>
      </w:r>
      <w:r w:rsidR="00D006ED" w:rsidRPr="00A34D01">
        <w:rPr>
          <w:shd w:val="clear" w:color="auto" w:fill="FFFFFF"/>
        </w:rPr>
        <w:t>Herring</w:t>
      </w:r>
      <w:r w:rsidR="00D006ED">
        <w:rPr>
          <w:shd w:val="clear" w:color="auto" w:fill="FFFFFF"/>
        </w:rPr>
        <w:t>, 2021)</w:t>
      </w:r>
      <w:r>
        <w:rPr>
          <w:lang w:eastAsia="en-GB"/>
        </w:rPr>
        <w:t>.</w:t>
      </w:r>
    </w:p>
    <w:p w14:paraId="1F9DD899" w14:textId="2C743F47" w:rsidR="004C0608" w:rsidRDefault="004C0608" w:rsidP="004C0608">
      <w:pPr>
        <w:rPr>
          <w:lang w:eastAsia="en-GB"/>
        </w:rPr>
      </w:pPr>
      <w:r>
        <w:rPr>
          <w:lang w:eastAsia="en-GB"/>
        </w:rPr>
        <w:t>Assault is a purely mental element offence, which means that the offender does not need to have physical contact with the victim to be charged with assault. In this instance, Polly's insulting words and hand gesture</w:t>
      </w:r>
      <w:r w:rsidR="000F1F82">
        <w:rPr>
          <w:lang w:eastAsia="en-GB"/>
        </w:rPr>
        <w:t>s</w:t>
      </w:r>
      <w:r>
        <w:rPr>
          <w:lang w:eastAsia="en-GB"/>
        </w:rPr>
        <w:t xml:space="preserve"> were sufficient to constitute the </w:t>
      </w:r>
      <w:proofErr w:type="spellStart"/>
      <w:r>
        <w:rPr>
          <w:lang w:eastAsia="en-GB"/>
        </w:rPr>
        <w:t>actus</w:t>
      </w:r>
      <w:proofErr w:type="spellEnd"/>
      <w:r>
        <w:rPr>
          <w:lang w:eastAsia="en-GB"/>
        </w:rPr>
        <w:t xml:space="preserve"> </w:t>
      </w:r>
      <w:proofErr w:type="spellStart"/>
      <w:proofErr w:type="gramStart"/>
      <w:r>
        <w:rPr>
          <w:lang w:eastAsia="en-GB"/>
        </w:rPr>
        <w:t>reus</w:t>
      </w:r>
      <w:proofErr w:type="spellEnd"/>
      <w:proofErr w:type="gramEnd"/>
      <w:r>
        <w:rPr>
          <w:lang w:eastAsia="en-GB"/>
        </w:rPr>
        <w:t xml:space="preserve"> of the crime</w:t>
      </w:r>
      <w:r w:rsidR="00D006ED">
        <w:rPr>
          <w:lang w:eastAsia="en-GB"/>
        </w:rPr>
        <w:t xml:space="preserve"> (</w:t>
      </w:r>
      <w:proofErr w:type="spellStart"/>
      <w:r w:rsidR="00D006ED" w:rsidRPr="00A34D01">
        <w:rPr>
          <w:shd w:val="clear" w:color="auto" w:fill="FFFFFF"/>
        </w:rPr>
        <w:t>Mitsilegas</w:t>
      </w:r>
      <w:proofErr w:type="spellEnd"/>
      <w:r w:rsidR="00D006ED">
        <w:rPr>
          <w:shd w:val="clear" w:color="auto" w:fill="FFFFFF"/>
        </w:rPr>
        <w:t>, 2017)</w:t>
      </w:r>
      <w:r>
        <w:rPr>
          <w:lang w:eastAsia="en-GB"/>
        </w:rPr>
        <w:t xml:space="preserve">. In addition, the </w:t>
      </w:r>
      <w:proofErr w:type="spellStart"/>
      <w:r>
        <w:rPr>
          <w:lang w:eastAsia="en-GB"/>
        </w:rPr>
        <w:t>mens</w:t>
      </w:r>
      <w:proofErr w:type="spellEnd"/>
      <w:r>
        <w:rPr>
          <w:lang w:eastAsia="en-GB"/>
        </w:rPr>
        <w:t xml:space="preserve"> </w:t>
      </w:r>
      <w:proofErr w:type="spellStart"/>
      <w:r>
        <w:rPr>
          <w:lang w:eastAsia="en-GB"/>
        </w:rPr>
        <w:t>rea</w:t>
      </w:r>
      <w:proofErr w:type="spellEnd"/>
      <w:r>
        <w:rPr>
          <w:lang w:eastAsia="en-GB"/>
        </w:rPr>
        <w:t xml:space="preserve"> for </w:t>
      </w:r>
      <w:r w:rsidR="000F1F82">
        <w:rPr>
          <w:lang w:eastAsia="en-GB"/>
        </w:rPr>
        <w:t xml:space="preserve">an </w:t>
      </w:r>
      <w:r>
        <w:rPr>
          <w:lang w:eastAsia="en-GB"/>
        </w:rPr>
        <w:t>assault requires either a purpose to induce the victim to expect imminent illegal force or carelessness as to whether such an apprehension may arise. Polly may have intended for Roxanne to fear for her safety when she called her a "bitch" and pointed her middle finger at her. On the other hand, one may say that Polly acted irresponsibly by failing to consider the possibility that her actions would put Roxanne in imminent danger.</w:t>
      </w:r>
      <w:r w:rsidR="00D006ED">
        <w:rPr>
          <w:lang w:eastAsia="en-GB"/>
        </w:rPr>
        <w:t xml:space="preserve"> </w:t>
      </w:r>
      <w:r>
        <w:rPr>
          <w:lang w:eastAsia="en-GB"/>
        </w:rPr>
        <w:t>Thus, Polly is guilty of assault under section 39 of the Criminal Justice Act of 1988. The maximum sentence for this offence is six months in jail or a fine not surpassing level 5 on the standard scale, or both</w:t>
      </w:r>
      <w:r w:rsidR="00D006ED">
        <w:rPr>
          <w:lang w:eastAsia="en-GB"/>
        </w:rPr>
        <w:t xml:space="preserve"> (</w:t>
      </w:r>
      <w:r w:rsidR="00D006ED" w:rsidRPr="00A34D01">
        <w:rPr>
          <w:shd w:val="clear" w:color="auto" w:fill="FFFFFF"/>
        </w:rPr>
        <w:t>Ambos</w:t>
      </w:r>
      <w:r w:rsidR="00D006ED">
        <w:rPr>
          <w:shd w:val="clear" w:color="auto" w:fill="FFFFFF"/>
        </w:rPr>
        <w:t>, 2018)</w:t>
      </w:r>
      <w:r>
        <w:rPr>
          <w:lang w:eastAsia="en-GB"/>
        </w:rPr>
        <w:t>.</w:t>
      </w:r>
      <w:r w:rsidR="00D006ED" w:rsidRPr="00D006ED">
        <w:rPr>
          <w:lang w:eastAsia="en-GB"/>
        </w:rPr>
        <w:t xml:space="preserve"> </w:t>
      </w:r>
      <w:r w:rsidR="00D006ED">
        <w:rPr>
          <w:lang w:eastAsia="en-GB"/>
        </w:rPr>
        <w:t>However,</w:t>
      </w:r>
      <w:r>
        <w:rPr>
          <w:lang w:eastAsia="en-GB"/>
        </w:rPr>
        <w:t xml:space="preserve"> Polly is quite unlikely to be given a jail term for the crime she committed.</w:t>
      </w:r>
    </w:p>
    <w:p w14:paraId="39AD85C9" w14:textId="1A5CBC6C" w:rsidR="008402A1" w:rsidRDefault="008402A1" w:rsidP="008402A1">
      <w:pPr>
        <w:pStyle w:val="Heading2"/>
        <w:rPr>
          <w:lang w:eastAsia="en-GB"/>
        </w:rPr>
      </w:pPr>
      <w:bookmarkStart w:id="5" w:name="_Toc132917010"/>
      <w:r w:rsidRPr="008402A1">
        <w:rPr>
          <w:lang w:eastAsia="en-GB"/>
        </w:rPr>
        <w:t>Murder</w:t>
      </w:r>
      <w:bookmarkEnd w:id="5"/>
    </w:p>
    <w:p w14:paraId="1085FB16" w14:textId="0B060A9A" w:rsidR="008402A1" w:rsidRDefault="008402A1" w:rsidP="008402A1">
      <w:pPr>
        <w:rPr>
          <w:lang w:eastAsia="en-GB"/>
        </w:rPr>
      </w:pPr>
      <w:r>
        <w:rPr>
          <w:lang w:eastAsia="en-GB"/>
        </w:rPr>
        <w:t xml:space="preserve">Polly may be prosecuted </w:t>
      </w:r>
      <w:r w:rsidR="000F1F82">
        <w:rPr>
          <w:lang w:eastAsia="en-GB"/>
        </w:rPr>
        <w:t>for</w:t>
      </w:r>
      <w:r>
        <w:rPr>
          <w:lang w:eastAsia="en-GB"/>
        </w:rPr>
        <w:t xml:space="preserve"> murder under </w:t>
      </w:r>
      <w:proofErr w:type="gramStart"/>
      <w:r>
        <w:rPr>
          <w:lang w:eastAsia="en-GB"/>
        </w:rPr>
        <w:t>s1(</w:t>
      </w:r>
      <w:proofErr w:type="gramEnd"/>
      <w:r>
        <w:rPr>
          <w:lang w:eastAsia="en-GB"/>
        </w:rPr>
        <w:t>1) of the Murder Act of 1965 since her assault on Mohammed with the glass ashtray led to his death</w:t>
      </w:r>
      <w:r w:rsidR="00D006ED">
        <w:rPr>
          <w:lang w:eastAsia="en-GB"/>
        </w:rPr>
        <w:t xml:space="preserve"> (</w:t>
      </w:r>
      <w:proofErr w:type="spellStart"/>
      <w:r w:rsidR="00D006ED">
        <w:rPr>
          <w:shd w:val="clear" w:color="auto" w:fill="FFFFFF"/>
        </w:rPr>
        <w:t>Padfield</w:t>
      </w:r>
      <w:proofErr w:type="spellEnd"/>
      <w:r w:rsidR="00D006ED">
        <w:rPr>
          <w:shd w:val="clear" w:color="auto" w:fill="FFFFFF"/>
        </w:rPr>
        <w:t>, 2016)</w:t>
      </w:r>
      <w:r>
        <w:rPr>
          <w:lang w:eastAsia="en-GB"/>
        </w:rPr>
        <w:t xml:space="preserve">. Murder needs both the </w:t>
      </w:r>
      <w:proofErr w:type="spellStart"/>
      <w:r>
        <w:rPr>
          <w:lang w:eastAsia="en-GB"/>
        </w:rPr>
        <w:t>actus</w:t>
      </w:r>
      <w:proofErr w:type="spellEnd"/>
      <w:r>
        <w:rPr>
          <w:lang w:eastAsia="en-GB"/>
        </w:rPr>
        <w:t xml:space="preserve"> </w:t>
      </w:r>
      <w:proofErr w:type="spellStart"/>
      <w:proofErr w:type="gramStart"/>
      <w:r>
        <w:rPr>
          <w:lang w:eastAsia="en-GB"/>
        </w:rPr>
        <w:t>reus</w:t>
      </w:r>
      <w:proofErr w:type="spellEnd"/>
      <w:proofErr w:type="gramEnd"/>
      <w:r>
        <w:rPr>
          <w:lang w:eastAsia="en-GB"/>
        </w:rPr>
        <w:t xml:space="preserve"> (the act) and the </w:t>
      </w:r>
      <w:proofErr w:type="spellStart"/>
      <w:r>
        <w:rPr>
          <w:lang w:eastAsia="en-GB"/>
        </w:rPr>
        <w:t>mens</w:t>
      </w:r>
      <w:proofErr w:type="spellEnd"/>
      <w:r>
        <w:rPr>
          <w:lang w:eastAsia="en-GB"/>
        </w:rPr>
        <w:t xml:space="preserve"> </w:t>
      </w:r>
      <w:proofErr w:type="spellStart"/>
      <w:r>
        <w:rPr>
          <w:lang w:eastAsia="en-GB"/>
        </w:rPr>
        <w:t>rea</w:t>
      </w:r>
      <w:proofErr w:type="spellEnd"/>
      <w:r>
        <w:rPr>
          <w:lang w:eastAsia="en-GB"/>
        </w:rPr>
        <w:t xml:space="preserve"> (the mental state) of intending to inflict serious bodily damage or death </w:t>
      </w:r>
      <w:r w:rsidR="000F1F82">
        <w:rPr>
          <w:lang w:eastAsia="en-GB"/>
        </w:rPr>
        <w:t>on</w:t>
      </w:r>
      <w:r>
        <w:rPr>
          <w:lang w:eastAsia="en-GB"/>
        </w:rPr>
        <w:t xml:space="preserve"> another person.</w:t>
      </w:r>
    </w:p>
    <w:p w14:paraId="7EFE33C9" w14:textId="2F3F5A34" w:rsidR="008402A1" w:rsidRDefault="008402A1" w:rsidP="008402A1">
      <w:pPr>
        <w:rPr>
          <w:lang w:eastAsia="en-GB"/>
        </w:rPr>
      </w:pPr>
      <w:r>
        <w:rPr>
          <w:lang w:eastAsia="en-GB"/>
        </w:rPr>
        <w:t xml:space="preserve">In this instance, Polly took up the glass ashtray and smacked Mohammed in the head on purpose. </w:t>
      </w:r>
      <w:r w:rsidR="000F1F82">
        <w:rPr>
          <w:lang w:eastAsia="en-GB"/>
        </w:rPr>
        <w:t>S</w:t>
      </w:r>
      <w:r>
        <w:rPr>
          <w:lang w:eastAsia="en-GB"/>
        </w:rPr>
        <w:t>omeone intends to inflict significant damage when they use a glass ashtray as a weapon in a home environment. Mohammed was fatally injured by the force applied. As a result, the elements of murder have been met.</w:t>
      </w:r>
    </w:p>
    <w:p w14:paraId="72B52C29" w14:textId="51DB2DBA" w:rsidR="008402A1" w:rsidRDefault="008402A1" w:rsidP="008402A1">
      <w:pPr>
        <w:rPr>
          <w:lang w:eastAsia="en-GB"/>
        </w:rPr>
      </w:pPr>
      <w:r>
        <w:rPr>
          <w:lang w:eastAsia="en-GB"/>
        </w:rPr>
        <w:lastRenderedPageBreak/>
        <w:t xml:space="preserve">However, the </w:t>
      </w:r>
      <w:proofErr w:type="spellStart"/>
      <w:r>
        <w:rPr>
          <w:lang w:eastAsia="en-GB"/>
        </w:rPr>
        <w:t>mens</w:t>
      </w:r>
      <w:proofErr w:type="spellEnd"/>
      <w:r>
        <w:rPr>
          <w:lang w:eastAsia="en-GB"/>
        </w:rPr>
        <w:t xml:space="preserve"> </w:t>
      </w:r>
      <w:proofErr w:type="spellStart"/>
      <w:r>
        <w:rPr>
          <w:lang w:eastAsia="en-GB"/>
        </w:rPr>
        <w:t>rea</w:t>
      </w:r>
      <w:proofErr w:type="spellEnd"/>
      <w:r>
        <w:rPr>
          <w:lang w:eastAsia="en-GB"/>
        </w:rPr>
        <w:t xml:space="preserve"> of murder requires the specific purpose to kill or seriously injure another person. Polly's actions suggest that she planned to kill Mohammed by severely injuring him. She meant to do him great injury when she grabbed up the glass ashtray and smashed it over his head. Polly's comments during their confrontation with Mohammed, in which she implied that he favoured Roxanne over her, </w:t>
      </w:r>
      <w:proofErr w:type="gramStart"/>
      <w:r>
        <w:rPr>
          <w:lang w:eastAsia="en-GB"/>
        </w:rPr>
        <w:t>may</w:t>
      </w:r>
      <w:proofErr w:type="gramEnd"/>
      <w:r>
        <w:rPr>
          <w:lang w:eastAsia="en-GB"/>
        </w:rPr>
        <w:t xml:space="preserve"> also have been driven by envy and rage. As Polly meets both the </w:t>
      </w:r>
      <w:proofErr w:type="spellStart"/>
      <w:r>
        <w:rPr>
          <w:lang w:eastAsia="en-GB"/>
        </w:rPr>
        <w:t>actus</w:t>
      </w:r>
      <w:proofErr w:type="spellEnd"/>
      <w:r>
        <w:rPr>
          <w:lang w:eastAsia="en-GB"/>
        </w:rPr>
        <w:t xml:space="preserve"> </w:t>
      </w:r>
      <w:proofErr w:type="spellStart"/>
      <w:proofErr w:type="gramStart"/>
      <w:r>
        <w:rPr>
          <w:lang w:eastAsia="en-GB"/>
        </w:rPr>
        <w:t>reus</w:t>
      </w:r>
      <w:proofErr w:type="spellEnd"/>
      <w:proofErr w:type="gramEnd"/>
      <w:r>
        <w:rPr>
          <w:lang w:eastAsia="en-GB"/>
        </w:rPr>
        <w:t xml:space="preserve"> and </w:t>
      </w:r>
      <w:proofErr w:type="spellStart"/>
      <w:r>
        <w:rPr>
          <w:lang w:eastAsia="en-GB"/>
        </w:rPr>
        <w:t>mens</w:t>
      </w:r>
      <w:proofErr w:type="spellEnd"/>
      <w:r>
        <w:rPr>
          <w:lang w:eastAsia="en-GB"/>
        </w:rPr>
        <w:t xml:space="preserve"> </w:t>
      </w:r>
      <w:proofErr w:type="spellStart"/>
      <w:r>
        <w:rPr>
          <w:lang w:eastAsia="en-GB"/>
        </w:rPr>
        <w:t>rea</w:t>
      </w:r>
      <w:proofErr w:type="spellEnd"/>
      <w:r>
        <w:rPr>
          <w:lang w:eastAsia="en-GB"/>
        </w:rPr>
        <w:t xml:space="preserve"> requirements for murder, it may be said that she is responsible for the crime.</w:t>
      </w:r>
    </w:p>
    <w:p w14:paraId="3C870249" w14:textId="7CFA4F04" w:rsidR="008402A1" w:rsidRDefault="006D4980" w:rsidP="006D4980">
      <w:pPr>
        <w:pStyle w:val="Heading1"/>
        <w:rPr>
          <w:lang w:eastAsia="en-GB"/>
        </w:rPr>
      </w:pPr>
      <w:bookmarkStart w:id="6" w:name="_Toc132917011"/>
      <w:r w:rsidRPr="006D4980">
        <w:rPr>
          <w:lang w:eastAsia="en-GB"/>
        </w:rPr>
        <w:t>Defences</w:t>
      </w:r>
      <w:bookmarkEnd w:id="6"/>
    </w:p>
    <w:p w14:paraId="29B64EE8" w14:textId="5994CFE7" w:rsidR="006D4980" w:rsidRDefault="006D4980" w:rsidP="006D4980">
      <w:pPr>
        <w:pStyle w:val="Heading2"/>
        <w:rPr>
          <w:lang w:eastAsia="en-GB"/>
        </w:rPr>
      </w:pPr>
      <w:bookmarkStart w:id="7" w:name="_Toc132917012"/>
      <w:r w:rsidRPr="006D4980">
        <w:rPr>
          <w:lang w:eastAsia="en-GB"/>
        </w:rPr>
        <w:t>Diminished Responsibility</w:t>
      </w:r>
      <w:bookmarkEnd w:id="7"/>
    </w:p>
    <w:p w14:paraId="7AB298CF" w14:textId="0A92724D" w:rsidR="00583EA7" w:rsidRDefault="00583EA7" w:rsidP="00583EA7">
      <w:pPr>
        <w:rPr>
          <w:lang w:eastAsia="en-GB"/>
        </w:rPr>
      </w:pPr>
      <w:r>
        <w:rPr>
          <w:lang w:eastAsia="en-GB"/>
        </w:rPr>
        <w:t>To use the defence of diminished responsibility, the defendant must prove that they were significantly handicapped in their capacity to regulate their behaviour or grasp the nature or implications of their actions at the time the crime was committed. This defence may be supported by Polly's schizophrenia in her case. The impairment must be more than just little or insignificant for the defence to be effective.</w:t>
      </w:r>
    </w:p>
    <w:p w14:paraId="309D42F3" w14:textId="21941CF3" w:rsidR="00583EA7" w:rsidRDefault="00583EA7" w:rsidP="00583EA7">
      <w:pPr>
        <w:rPr>
          <w:lang w:eastAsia="en-GB"/>
        </w:rPr>
      </w:pPr>
      <w:r>
        <w:rPr>
          <w:lang w:eastAsia="en-GB"/>
        </w:rPr>
        <w:t>The defence of reduced responsibility may be supported by the case of R v Byrne [1960] 2 QB 396</w:t>
      </w:r>
      <w:r w:rsidR="00D006ED">
        <w:rPr>
          <w:lang w:eastAsia="en-GB"/>
        </w:rPr>
        <w:t xml:space="preserve"> (</w:t>
      </w:r>
      <w:proofErr w:type="spellStart"/>
      <w:r w:rsidR="00D006ED" w:rsidRPr="00A34D01">
        <w:rPr>
          <w:shd w:val="clear" w:color="auto" w:fill="FFFFFF"/>
        </w:rPr>
        <w:t>Boister</w:t>
      </w:r>
      <w:proofErr w:type="spellEnd"/>
      <w:r w:rsidR="00D006ED">
        <w:rPr>
          <w:shd w:val="clear" w:color="auto" w:fill="FFFFFF"/>
        </w:rPr>
        <w:t>, 2018)</w:t>
      </w:r>
      <w:r>
        <w:rPr>
          <w:lang w:eastAsia="en-GB"/>
        </w:rPr>
        <w:t>. The defendant in the instance had a personality condition and strangled a young lady. The Court of Appeal ruled that the defendant may use the reduced responsibility defence since his personality condition severely limited his capacity to regulate his behaviour.</w:t>
      </w:r>
    </w:p>
    <w:p w14:paraId="1C1E2099" w14:textId="01D15F89" w:rsidR="00583EA7" w:rsidRDefault="00583EA7" w:rsidP="00583EA7">
      <w:pPr>
        <w:rPr>
          <w:lang w:eastAsia="en-GB"/>
        </w:rPr>
      </w:pPr>
      <w:r>
        <w:rPr>
          <w:lang w:eastAsia="en-GB"/>
        </w:rPr>
        <w:t>Similar</w:t>
      </w:r>
      <w:r w:rsidR="000F1F82">
        <w:rPr>
          <w:lang w:eastAsia="en-GB"/>
        </w:rPr>
        <w:t>ly</w:t>
      </w:r>
      <w:r>
        <w:rPr>
          <w:lang w:eastAsia="en-GB"/>
        </w:rPr>
        <w:t xml:space="preserve"> to this, the defendant in R v. Lloyd [1967] 1 QB 175 was depressed and shot and killed his wife and daughter</w:t>
      </w:r>
      <w:r w:rsidR="000874E7">
        <w:rPr>
          <w:lang w:eastAsia="en-GB"/>
        </w:rPr>
        <w:t xml:space="preserve"> (</w:t>
      </w:r>
      <w:proofErr w:type="spellStart"/>
      <w:r w:rsidR="000874E7" w:rsidRPr="00A34D01">
        <w:rPr>
          <w:shd w:val="clear" w:color="auto" w:fill="FFFFFF"/>
        </w:rPr>
        <w:t>Cryer</w:t>
      </w:r>
      <w:proofErr w:type="spellEnd"/>
      <w:r w:rsidR="000874E7">
        <w:rPr>
          <w:shd w:val="clear" w:color="auto" w:fill="FFFFFF"/>
        </w:rPr>
        <w:t xml:space="preserve"> et al., 2019)</w:t>
      </w:r>
      <w:r>
        <w:rPr>
          <w:lang w:eastAsia="en-GB"/>
        </w:rPr>
        <w:t>. The Court of Appeals ruled that the defendant may use the reduced responsibility defence since his melancholy severely limited his capacity to regulate his behaviour.</w:t>
      </w:r>
    </w:p>
    <w:p w14:paraId="4AD54986" w14:textId="1E05A65D" w:rsidR="00583EA7" w:rsidRDefault="00583EA7" w:rsidP="00583EA7">
      <w:pPr>
        <w:rPr>
          <w:lang w:eastAsia="en-GB"/>
        </w:rPr>
      </w:pPr>
      <w:r>
        <w:rPr>
          <w:lang w:eastAsia="en-GB"/>
        </w:rPr>
        <w:t xml:space="preserve">Moreover, the defendant in R v. </w:t>
      </w:r>
      <w:proofErr w:type="spellStart"/>
      <w:r>
        <w:rPr>
          <w:lang w:eastAsia="en-GB"/>
        </w:rPr>
        <w:t>Gittens</w:t>
      </w:r>
      <w:proofErr w:type="spellEnd"/>
      <w:r>
        <w:rPr>
          <w:lang w:eastAsia="en-GB"/>
        </w:rPr>
        <w:t xml:space="preserve"> [1984] QB 698 had postpartum depression and murdered her two children</w:t>
      </w:r>
      <w:r w:rsidR="000874E7">
        <w:rPr>
          <w:lang w:eastAsia="en-GB"/>
        </w:rPr>
        <w:t xml:space="preserve"> </w:t>
      </w:r>
      <w:r w:rsidR="000874E7">
        <w:rPr>
          <w:shd w:val="clear" w:color="auto" w:fill="FFFFFF"/>
        </w:rPr>
        <w:t>(</w:t>
      </w:r>
      <w:proofErr w:type="spellStart"/>
      <w:r w:rsidR="000874E7" w:rsidRPr="005E3383">
        <w:rPr>
          <w:shd w:val="clear" w:color="auto" w:fill="FFFFFF"/>
        </w:rPr>
        <w:t>Ormerod</w:t>
      </w:r>
      <w:proofErr w:type="spellEnd"/>
      <w:r w:rsidR="000874E7">
        <w:rPr>
          <w:shd w:val="clear" w:color="auto" w:fill="FFFFFF"/>
        </w:rPr>
        <w:t xml:space="preserve"> and </w:t>
      </w:r>
      <w:r w:rsidR="000874E7" w:rsidRPr="005E3383">
        <w:rPr>
          <w:shd w:val="clear" w:color="auto" w:fill="FFFFFF"/>
        </w:rPr>
        <w:t>Laird</w:t>
      </w:r>
      <w:r w:rsidR="000874E7">
        <w:rPr>
          <w:shd w:val="clear" w:color="auto" w:fill="FFFFFF"/>
        </w:rPr>
        <w:t>, 2018)</w:t>
      </w:r>
      <w:r>
        <w:rPr>
          <w:lang w:eastAsia="en-GB"/>
        </w:rPr>
        <w:t>. Due to the defendant's postpartum depression, the Court of Appeals determined that the reduced responsibility defence was applicable.</w:t>
      </w:r>
    </w:p>
    <w:p w14:paraId="3CF8C2BC" w14:textId="2F379FF5" w:rsidR="006D4980" w:rsidRDefault="00583EA7" w:rsidP="00583EA7">
      <w:pPr>
        <w:rPr>
          <w:lang w:eastAsia="en-GB"/>
        </w:rPr>
      </w:pPr>
      <w:r>
        <w:rPr>
          <w:lang w:eastAsia="en-GB"/>
        </w:rPr>
        <w:t xml:space="preserve">Polly's schizophrenia may have severely compromised her capacity to self-regulate and comprehend the significance of her behaviour. Hence, the accusation of murder may be reduced </w:t>
      </w:r>
      <w:r>
        <w:rPr>
          <w:lang w:eastAsia="en-GB"/>
        </w:rPr>
        <w:lastRenderedPageBreak/>
        <w:t>to manslaughter using the diminished culpability defence. The jury, however, will determine whether or not Polly's case qualifies for the defence.</w:t>
      </w:r>
    </w:p>
    <w:p w14:paraId="04004563" w14:textId="7886A203" w:rsidR="00583EA7" w:rsidRDefault="008D3504" w:rsidP="008D3504">
      <w:pPr>
        <w:pStyle w:val="Heading2"/>
        <w:rPr>
          <w:lang w:eastAsia="en-GB"/>
        </w:rPr>
      </w:pPr>
      <w:bookmarkStart w:id="8" w:name="_Toc132917013"/>
      <w:r>
        <w:rPr>
          <w:lang w:eastAsia="en-GB"/>
        </w:rPr>
        <w:t>Self-Defence</w:t>
      </w:r>
      <w:bookmarkEnd w:id="8"/>
    </w:p>
    <w:p w14:paraId="0E65472B" w14:textId="584AB6FA" w:rsidR="008D3504" w:rsidRDefault="008D3504" w:rsidP="008D3504">
      <w:pPr>
        <w:rPr>
          <w:lang w:eastAsia="en-GB"/>
        </w:rPr>
      </w:pPr>
      <w:r>
        <w:rPr>
          <w:lang w:eastAsia="en-GB"/>
        </w:rPr>
        <w:t xml:space="preserve">Defendants who use reasonable force to protect themselves or another person from an immediate danger of violence may raise the self-defence defence. The amount of force used must be reasonable given the situation. Nevertheless, if the defendant uses excessive force, this defence cannot be employed. Polly may be able to use the </w:t>
      </w:r>
      <w:r w:rsidR="00A12278">
        <w:rPr>
          <w:lang w:eastAsia="en-GB"/>
        </w:rPr>
        <w:t>self-defence</w:t>
      </w:r>
      <w:r>
        <w:rPr>
          <w:lang w:eastAsia="en-GB"/>
        </w:rPr>
        <w:t xml:space="preserve"> defence if she can demonstrate that she reasonably feared for her safety because of Mohammed's violent behaviour. Given the fatal weapon she employed, it is possible to argue that her use of force was neither appropriate </w:t>
      </w:r>
      <w:r w:rsidR="000F1F82">
        <w:rPr>
          <w:lang w:eastAsia="en-GB"/>
        </w:rPr>
        <w:t>n</w:t>
      </w:r>
      <w:r>
        <w:rPr>
          <w:lang w:eastAsia="en-GB"/>
        </w:rPr>
        <w:t>or required.</w:t>
      </w:r>
    </w:p>
    <w:p w14:paraId="52C67406" w14:textId="0DCD9CA8" w:rsidR="008D3504" w:rsidRDefault="008D3504" w:rsidP="008D3504">
      <w:pPr>
        <w:rPr>
          <w:lang w:eastAsia="en-GB"/>
        </w:rPr>
      </w:pPr>
      <w:r>
        <w:rPr>
          <w:lang w:eastAsia="en-GB"/>
        </w:rPr>
        <w:t xml:space="preserve">The necessity of proportionality in </w:t>
      </w:r>
      <w:r w:rsidR="00A12278">
        <w:rPr>
          <w:lang w:eastAsia="en-GB"/>
        </w:rPr>
        <w:t>self-defence</w:t>
      </w:r>
      <w:r>
        <w:rPr>
          <w:lang w:eastAsia="en-GB"/>
        </w:rPr>
        <w:t xml:space="preserve"> instances is shown by the case law example of R v. Bird [1985] QB 807</w:t>
      </w:r>
      <w:r w:rsidR="000874E7">
        <w:rPr>
          <w:lang w:eastAsia="en-GB"/>
        </w:rPr>
        <w:t xml:space="preserve"> (</w:t>
      </w:r>
      <w:proofErr w:type="spellStart"/>
      <w:r w:rsidR="000874E7" w:rsidRPr="00A34D01">
        <w:rPr>
          <w:shd w:val="clear" w:color="auto" w:fill="FFFFFF"/>
        </w:rPr>
        <w:t>Horder</w:t>
      </w:r>
      <w:proofErr w:type="spellEnd"/>
      <w:r w:rsidR="000874E7">
        <w:rPr>
          <w:shd w:val="clear" w:color="auto" w:fill="FFFFFF"/>
        </w:rPr>
        <w:t>, 2016)</w:t>
      </w:r>
      <w:r>
        <w:rPr>
          <w:lang w:eastAsia="en-GB"/>
        </w:rPr>
        <w:t xml:space="preserve">. In this case, the defendant shot and killed an unarmed burglar who was trying to escape. The defendant claimed that he was acting in </w:t>
      </w:r>
      <w:r w:rsidR="00A12278">
        <w:rPr>
          <w:lang w:eastAsia="en-GB"/>
        </w:rPr>
        <w:t>self-defence</w:t>
      </w:r>
      <w:r>
        <w:rPr>
          <w:lang w:eastAsia="en-GB"/>
        </w:rPr>
        <w:t>, but the court dismissed this claim since the force employed was disproportionate to the danger presented by the unarmed intruder.</w:t>
      </w:r>
    </w:p>
    <w:p w14:paraId="06F8C5E1" w14:textId="33840B51" w:rsidR="008D3504" w:rsidRDefault="008D3504" w:rsidP="008D3504">
      <w:pPr>
        <w:rPr>
          <w:lang w:eastAsia="en-GB"/>
        </w:rPr>
      </w:pPr>
      <w:r>
        <w:rPr>
          <w:lang w:eastAsia="en-GB"/>
        </w:rPr>
        <w:t xml:space="preserve">Another legal precedent that emphasises the need for imminence in </w:t>
      </w:r>
      <w:r w:rsidR="00A12278">
        <w:rPr>
          <w:lang w:eastAsia="en-GB"/>
        </w:rPr>
        <w:t>self-defence</w:t>
      </w:r>
      <w:r>
        <w:rPr>
          <w:lang w:eastAsia="en-GB"/>
        </w:rPr>
        <w:t xml:space="preserve"> instances is R v. </w:t>
      </w:r>
      <w:proofErr w:type="spellStart"/>
      <w:r>
        <w:rPr>
          <w:lang w:eastAsia="en-GB"/>
        </w:rPr>
        <w:t>Owino</w:t>
      </w:r>
      <w:proofErr w:type="spellEnd"/>
      <w:r>
        <w:rPr>
          <w:lang w:eastAsia="en-GB"/>
        </w:rPr>
        <w:t xml:space="preserve"> [1995] 1 AC 56</w:t>
      </w:r>
      <w:r w:rsidR="000874E7">
        <w:rPr>
          <w:lang w:eastAsia="en-GB"/>
        </w:rPr>
        <w:t xml:space="preserve"> (</w:t>
      </w:r>
      <w:r w:rsidR="001B293D" w:rsidRPr="00A34D01">
        <w:rPr>
          <w:shd w:val="clear" w:color="auto" w:fill="FFFFFF"/>
        </w:rPr>
        <w:t>Craig</w:t>
      </w:r>
      <w:r w:rsidR="001B293D">
        <w:rPr>
          <w:shd w:val="clear" w:color="auto" w:fill="FFFFFF"/>
        </w:rPr>
        <w:t xml:space="preserve"> and </w:t>
      </w:r>
      <w:r w:rsidR="001B293D" w:rsidRPr="00A34D01">
        <w:rPr>
          <w:shd w:val="clear" w:color="auto" w:fill="FFFFFF"/>
        </w:rPr>
        <w:t xml:space="preserve">De </w:t>
      </w:r>
      <w:proofErr w:type="spellStart"/>
      <w:r w:rsidR="001B293D" w:rsidRPr="00A34D01">
        <w:rPr>
          <w:shd w:val="clear" w:color="auto" w:fill="FFFFFF"/>
        </w:rPr>
        <w:t>Búrca</w:t>
      </w:r>
      <w:proofErr w:type="spellEnd"/>
      <w:r w:rsidR="001B293D">
        <w:rPr>
          <w:shd w:val="clear" w:color="auto" w:fill="FFFFFF"/>
        </w:rPr>
        <w:t>, 2020</w:t>
      </w:r>
      <w:r w:rsidR="000874E7">
        <w:rPr>
          <w:shd w:val="clear" w:color="auto" w:fill="FFFFFF"/>
        </w:rPr>
        <w:t>)</w:t>
      </w:r>
      <w:r>
        <w:rPr>
          <w:lang w:eastAsia="en-GB"/>
        </w:rPr>
        <w:t xml:space="preserve">. In this instance, the defendant stabbed the victim but claimed that he was acting in </w:t>
      </w:r>
      <w:r w:rsidR="00A12278">
        <w:rPr>
          <w:lang w:eastAsia="en-GB"/>
        </w:rPr>
        <w:t>self-defence</w:t>
      </w:r>
      <w:r>
        <w:rPr>
          <w:lang w:eastAsia="en-GB"/>
        </w:rPr>
        <w:t xml:space="preserve"> since the victim had previously assaulted him. The court dismissed this defence because the danger was not immediate at the time of the assault.</w:t>
      </w:r>
    </w:p>
    <w:p w14:paraId="7E60A716" w14:textId="004DF5F6" w:rsidR="008D3504" w:rsidRDefault="008D3504" w:rsidP="008D3504">
      <w:pPr>
        <w:rPr>
          <w:lang w:eastAsia="en-GB"/>
        </w:rPr>
      </w:pPr>
      <w:r>
        <w:rPr>
          <w:lang w:eastAsia="en-GB"/>
        </w:rPr>
        <w:t xml:space="preserve">Given that Polly struck Mohammed with a glass ashtray, causing his death, her use of force may not be deemed reasonable. As Mohammed was unarmed and not physically assaulting Polly at the time of the incident, the severity of the danger he presented may also be called into doubt. Consequently, Polly's claim of </w:t>
      </w:r>
      <w:r w:rsidR="00A12278">
        <w:rPr>
          <w:lang w:eastAsia="en-GB"/>
        </w:rPr>
        <w:t>self-defence</w:t>
      </w:r>
      <w:r>
        <w:rPr>
          <w:lang w:eastAsia="en-GB"/>
        </w:rPr>
        <w:t xml:space="preserve"> may not hold up in court</w:t>
      </w:r>
      <w:r w:rsidR="001B293D">
        <w:rPr>
          <w:lang w:eastAsia="en-GB"/>
        </w:rPr>
        <w:t xml:space="preserve"> (</w:t>
      </w:r>
      <w:r w:rsidR="001B293D" w:rsidRPr="00A34D01">
        <w:rPr>
          <w:shd w:val="clear" w:color="auto" w:fill="FFFFFF"/>
        </w:rPr>
        <w:t>Allen</w:t>
      </w:r>
      <w:r w:rsidR="001B293D">
        <w:rPr>
          <w:shd w:val="clear" w:color="auto" w:fill="FFFFFF"/>
        </w:rPr>
        <w:t xml:space="preserve"> et al., 2020)</w:t>
      </w:r>
      <w:r>
        <w:rPr>
          <w:lang w:eastAsia="en-GB"/>
        </w:rPr>
        <w:t>.</w:t>
      </w:r>
    </w:p>
    <w:p w14:paraId="6002340A" w14:textId="52C45AC6" w:rsidR="008D3504" w:rsidRDefault="008D3504" w:rsidP="008D3504">
      <w:pPr>
        <w:rPr>
          <w:lang w:eastAsia="en-GB"/>
        </w:rPr>
      </w:pPr>
      <w:r>
        <w:rPr>
          <w:lang w:eastAsia="en-GB"/>
        </w:rPr>
        <w:t xml:space="preserve">It should be noted, nevertheless, that the specifics of each case determine whether or not this defence is available. The defence of </w:t>
      </w:r>
      <w:r w:rsidR="00A12278">
        <w:rPr>
          <w:lang w:eastAsia="en-GB"/>
        </w:rPr>
        <w:t>self-defence</w:t>
      </w:r>
      <w:r>
        <w:rPr>
          <w:lang w:eastAsia="en-GB"/>
        </w:rPr>
        <w:t xml:space="preserve"> may be effective if Polly felt that Mohammed constituted a danger to her and her use of force was justified under the circumstances.</w:t>
      </w:r>
    </w:p>
    <w:p w14:paraId="167E912D" w14:textId="77777777" w:rsidR="008D3504" w:rsidRDefault="008D3504">
      <w:pPr>
        <w:rPr>
          <w:lang w:eastAsia="en-GB"/>
        </w:rPr>
      </w:pPr>
      <w:r>
        <w:rPr>
          <w:lang w:eastAsia="en-GB"/>
        </w:rPr>
        <w:br w:type="page"/>
      </w:r>
    </w:p>
    <w:p w14:paraId="14F484DF" w14:textId="0B63E94B" w:rsidR="008D3504" w:rsidRDefault="008D3504" w:rsidP="008D3504">
      <w:pPr>
        <w:pStyle w:val="Heading1"/>
        <w:rPr>
          <w:lang w:eastAsia="en-GB"/>
        </w:rPr>
      </w:pPr>
      <w:bookmarkStart w:id="9" w:name="_Toc132917014"/>
      <w:r>
        <w:rPr>
          <w:lang w:eastAsia="en-GB"/>
        </w:rPr>
        <w:lastRenderedPageBreak/>
        <w:t>Conclusion</w:t>
      </w:r>
      <w:bookmarkEnd w:id="9"/>
      <w:r>
        <w:rPr>
          <w:lang w:eastAsia="en-GB"/>
        </w:rPr>
        <w:t xml:space="preserve"> </w:t>
      </w:r>
    </w:p>
    <w:p w14:paraId="12F99760" w14:textId="3A4B66F3" w:rsidR="00A12278" w:rsidRDefault="008D3504" w:rsidP="008D3504">
      <w:pPr>
        <w:rPr>
          <w:lang w:eastAsia="en-GB"/>
        </w:rPr>
      </w:pPr>
      <w:r w:rsidRPr="008D3504">
        <w:rPr>
          <w:lang w:eastAsia="en-GB"/>
        </w:rPr>
        <w:t xml:space="preserve">In the situation with Roxanne and Mohammed, Polly's activities led to illegal activity. She is responsible for the severed brake wires on Roxanne's scooter, the attack on Roxanne inside the bar and the murder of Mohammed with a glass ashtray. Polly may be found guilty of manslaughter rather than murder if her reduced responsibility defence based on her schizophrenia is effective. Polly's claim of </w:t>
      </w:r>
      <w:r w:rsidR="00A12278" w:rsidRPr="008D3504">
        <w:rPr>
          <w:lang w:eastAsia="en-GB"/>
        </w:rPr>
        <w:t>self-defence</w:t>
      </w:r>
      <w:r w:rsidRPr="008D3504">
        <w:rPr>
          <w:lang w:eastAsia="en-GB"/>
        </w:rPr>
        <w:t xml:space="preserve"> would be admissible if she had reasonable grounds to fear for her safety due to Mohammed's violent intentions, albeit the reasonableness of the force she used would be up to debate. Overall, the study of the case's facts, pertinent case law, and applicable legislation show the intricacy and seriousness of the criminal offences perpetrated by Polly.</w:t>
      </w:r>
    </w:p>
    <w:p w14:paraId="7A39F3DB" w14:textId="77777777" w:rsidR="00A12278" w:rsidRDefault="00A12278">
      <w:pPr>
        <w:rPr>
          <w:lang w:eastAsia="en-GB"/>
        </w:rPr>
      </w:pPr>
      <w:r>
        <w:rPr>
          <w:lang w:eastAsia="en-GB"/>
        </w:rPr>
        <w:br w:type="page"/>
      </w:r>
    </w:p>
    <w:p w14:paraId="6575668E" w14:textId="5C873CC4" w:rsidR="008D3504" w:rsidRDefault="00A12278" w:rsidP="00A12278">
      <w:pPr>
        <w:pStyle w:val="Heading1"/>
        <w:rPr>
          <w:lang w:eastAsia="en-GB"/>
        </w:rPr>
      </w:pPr>
      <w:bookmarkStart w:id="10" w:name="_Toc132917015"/>
      <w:r>
        <w:rPr>
          <w:lang w:eastAsia="en-GB"/>
        </w:rPr>
        <w:lastRenderedPageBreak/>
        <w:t>References</w:t>
      </w:r>
      <w:bookmarkEnd w:id="10"/>
    </w:p>
    <w:p w14:paraId="65860F6F" w14:textId="77777777" w:rsidR="001B293D" w:rsidRDefault="001B293D" w:rsidP="00BF25EB">
      <w:proofErr w:type="gramStart"/>
      <w:r w:rsidRPr="00BF25EB">
        <w:rPr>
          <w:shd w:val="clear" w:color="auto" w:fill="FFFFFF"/>
        </w:rPr>
        <w:t>Allen, M., Loveless, J. and Derry, C., 2020.</w:t>
      </w:r>
      <w:proofErr w:type="gramEnd"/>
      <w:r w:rsidRPr="00BF25EB">
        <w:rPr>
          <w:shd w:val="clear" w:color="auto" w:fill="FFFFFF"/>
        </w:rPr>
        <w:t> </w:t>
      </w:r>
      <w:r w:rsidRPr="00BF25EB">
        <w:rPr>
          <w:i/>
          <w:iCs/>
          <w:shd w:val="clear" w:color="auto" w:fill="FFFFFF"/>
        </w:rPr>
        <w:t>Complete criminal law: text, cases, and materials</w:t>
      </w:r>
      <w:r w:rsidRPr="00BF25EB">
        <w:rPr>
          <w:shd w:val="clear" w:color="auto" w:fill="FFFFFF"/>
        </w:rPr>
        <w:t>. Complete.</w:t>
      </w:r>
    </w:p>
    <w:p w14:paraId="630B0890" w14:textId="77777777" w:rsidR="001B293D" w:rsidRPr="00BF25EB" w:rsidRDefault="001B293D" w:rsidP="00BF25EB">
      <w:pPr>
        <w:rPr>
          <w:shd w:val="clear" w:color="auto" w:fill="FFFFFF"/>
        </w:rPr>
      </w:pPr>
      <w:proofErr w:type="gramStart"/>
      <w:r w:rsidRPr="00BF25EB">
        <w:rPr>
          <w:shd w:val="clear" w:color="auto" w:fill="FFFFFF"/>
        </w:rPr>
        <w:t>Ambos, K., 2018.</w:t>
      </w:r>
      <w:proofErr w:type="gramEnd"/>
      <w:r w:rsidRPr="00BF25EB">
        <w:rPr>
          <w:shd w:val="clear" w:color="auto" w:fill="FFFFFF"/>
        </w:rPr>
        <w:t> </w:t>
      </w:r>
      <w:proofErr w:type="gramStart"/>
      <w:r w:rsidRPr="00BF25EB">
        <w:rPr>
          <w:i/>
          <w:iCs/>
          <w:shd w:val="clear" w:color="auto" w:fill="FFFFFF"/>
        </w:rPr>
        <w:t>European 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Cambridge University Press.</w:t>
      </w:r>
      <w:proofErr w:type="gramEnd"/>
    </w:p>
    <w:p w14:paraId="39546417" w14:textId="77777777" w:rsidR="001B293D" w:rsidRPr="00BF25EB" w:rsidRDefault="001B293D" w:rsidP="00BF25EB">
      <w:pPr>
        <w:rPr>
          <w:shd w:val="clear" w:color="auto" w:fill="FFFFFF"/>
        </w:rPr>
      </w:pPr>
      <w:proofErr w:type="spellStart"/>
      <w:r w:rsidRPr="00BF25EB">
        <w:rPr>
          <w:shd w:val="clear" w:color="auto" w:fill="FFFFFF"/>
        </w:rPr>
        <w:t>Boister</w:t>
      </w:r>
      <w:proofErr w:type="spellEnd"/>
      <w:r w:rsidRPr="00BF25EB">
        <w:rPr>
          <w:shd w:val="clear" w:color="auto" w:fill="FFFFFF"/>
        </w:rPr>
        <w:t>, N., 2018. </w:t>
      </w:r>
      <w:proofErr w:type="gramStart"/>
      <w:r w:rsidRPr="00BF25EB">
        <w:rPr>
          <w:i/>
          <w:iCs/>
          <w:shd w:val="clear" w:color="auto" w:fill="FFFFFF"/>
        </w:rPr>
        <w:t>An introduction to transnational 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Oxford University Press.</w:t>
      </w:r>
      <w:proofErr w:type="gramEnd"/>
    </w:p>
    <w:p w14:paraId="75908FC8" w14:textId="77777777" w:rsidR="001B293D" w:rsidRPr="00BF25EB" w:rsidRDefault="001B293D" w:rsidP="00BF25EB">
      <w:pPr>
        <w:rPr>
          <w:shd w:val="clear" w:color="auto" w:fill="FFFFFF"/>
        </w:rPr>
      </w:pPr>
      <w:r w:rsidRPr="00BF25EB">
        <w:rPr>
          <w:shd w:val="clear" w:color="auto" w:fill="FFFFFF"/>
        </w:rPr>
        <w:t xml:space="preserve">Craig, P. and De </w:t>
      </w:r>
      <w:proofErr w:type="spellStart"/>
      <w:r w:rsidRPr="00BF25EB">
        <w:rPr>
          <w:shd w:val="clear" w:color="auto" w:fill="FFFFFF"/>
        </w:rPr>
        <w:t>Búrca</w:t>
      </w:r>
      <w:proofErr w:type="spellEnd"/>
      <w:r w:rsidRPr="00BF25EB">
        <w:rPr>
          <w:shd w:val="clear" w:color="auto" w:fill="FFFFFF"/>
        </w:rPr>
        <w:t>, G., 2020. </w:t>
      </w:r>
      <w:r w:rsidRPr="00BF25EB">
        <w:rPr>
          <w:i/>
          <w:iCs/>
          <w:shd w:val="clear" w:color="auto" w:fill="FFFFFF"/>
        </w:rPr>
        <w:t>EU Law: Text, Cases, and Materials UK Version</w:t>
      </w:r>
      <w:r w:rsidRPr="00BF25EB">
        <w:rPr>
          <w:shd w:val="clear" w:color="auto" w:fill="FFFFFF"/>
        </w:rPr>
        <w:t>. Oxford University Press, USA.</w:t>
      </w:r>
    </w:p>
    <w:p w14:paraId="45E8EC29" w14:textId="77777777" w:rsidR="001B293D" w:rsidRPr="00BF25EB" w:rsidRDefault="001B293D" w:rsidP="00BF25EB">
      <w:pPr>
        <w:rPr>
          <w:shd w:val="clear" w:color="auto" w:fill="FFFFFF"/>
        </w:rPr>
      </w:pPr>
      <w:proofErr w:type="spellStart"/>
      <w:r w:rsidRPr="00BF25EB">
        <w:rPr>
          <w:shd w:val="clear" w:color="auto" w:fill="FFFFFF"/>
        </w:rPr>
        <w:t>Cryer</w:t>
      </w:r>
      <w:proofErr w:type="spellEnd"/>
      <w:r w:rsidRPr="00BF25EB">
        <w:rPr>
          <w:shd w:val="clear" w:color="auto" w:fill="FFFFFF"/>
        </w:rPr>
        <w:t xml:space="preserve">, R., Robinson, D. and </w:t>
      </w:r>
      <w:proofErr w:type="spellStart"/>
      <w:r w:rsidRPr="00BF25EB">
        <w:rPr>
          <w:shd w:val="clear" w:color="auto" w:fill="FFFFFF"/>
        </w:rPr>
        <w:t>Vasiliev</w:t>
      </w:r>
      <w:proofErr w:type="spellEnd"/>
      <w:r w:rsidRPr="00BF25EB">
        <w:rPr>
          <w:shd w:val="clear" w:color="auto" w:fill="FFFFFF"/>
        </w:rPr>
        <w:t>, S., 2019. </w:t>
      </w:r>
      <w:proofErr w:type="gramStart"/>
      <w:r w:rsidRPr="00BF25EB">
        <w:rPr>
          <w:i/>
          <w:iCs/>
          <w:shd w:val="clear" w:color="auto" w:fill="FFFFFF"/>
        </w:rPr>
        <w:t>An introduction to international criminal law and procedure</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Cambridge University Press.</w:t>
      </w:r>
      <w:proofErr w:type="gramEnd"/>
    </w:p>
    <w:p w14:paraId="13B8A828" w14:textId="77777777" w:rsidR="001B293D" w:rsidRPr="00BF25EB" w:rsidRDefault="001B293D" w:rsidP="00BF25EB">
      <w:pPr>
        <w:rPr>
          <w:shd w:val="clear" w:color="auto" w:fill="FFFFFF"/>
        </w:rPr>
      </w:pPr>
      <w:proofErr w:type="gramStart"/>
      <w:r w:rsidRPr="00BF25EB">
        <w:rPr>
          <w:shd w:val="clear" w:color="auto" w:fill="FFFFFF"/>
        </w:rPr>
        <w:t>Herring, J., 2021.</w:t>
      </w:r>
      <w:proofErr w:type="gramEnd"/>
      <w:r w:rsidRPr="00BF25EB">
        <w:rPr>
          <w:shd w:val="clear" w:color="auto" w:fill="FFFFFF"/>
        </w:rPr>
        <w:t> </w:t>
      </w:r>
      <w:proofErr w:type="gramStart"/>
      <w:r w:rsidRPr="00BF25EB">
        <w:rPr>
          <w:i/>
          <w:iCs/>
          <w:shd w:val="clear" w:color="auto" w:fill="FFFFFF"/>
        </w:rPr>
        <w:t>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Bloomsbury Publishing.</w:t>
      </w:r>
      <w:proofErr w:type="gramEnd"/>
    </w:p>
    <w:p w14:paraId="2E17B00B" w14:textId="77777777" w:rsidR="001B293D" w:rsidRPr="00BF25EB" w:rsidRDefault="001B293D" w:rsidP="00BF25EB">
      <w:pPr>
        <w:rPr>
          <w:shd w:val="clear" w:color="auto" w:fill="FFFFFF"/>
        </w:rPr>
      </w:pPr>
      <w:proofErr w:type="spellStart"/>
      <w:proofErr w:type="gramStart"/>
      <w:r w:rsidRPr="00BF25EB">
        <w:rPr>
          <w:shd w:val="clear" w:color="auto" w:fill="FFFFFF"/>
        </w:rPr>
        <w:t>Horder</w:t>
      </w:r>
      <w:proofErr w:type="spellEnd"/>
      <w:r w:rsidRPr="00BF25EB">
        <w:rPr>
          <w:shd w:val="clear" w:color="auto" w:fill="FFFFFF"/>
        </w:rPr>
        <w:t>, J., 2016.</w:t>
      </w:r>
      <w:proofErr w:type="gramEnd"/>
      <w:r w:rsidRPr="00BF25EB">
        <w:rPr>
          <w:shd w:val="clear" w:color="auto" w:fill="FFFFFF"/>
        </w:rPr>
        <w:t> </w:t>
      </w:r>
      <w:proofErr w:type="gramStart"/>
      <w:r w:rsidRPr="00BF25EB">
        <w:rPr>
          <w:i/>
          <w:iCs/>
          <w:shd w:val="clear" w:color="auto" w:fill="FFFFFF"/>
        </w:rPr>
        <w:t>Ashworth's principles of 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Oxford University Press.</w:t>
      </w:r>
      <w:proofErr w:type="gramEnd"/>
    </w:p>
    <w:p w14:paraId="5DC96199" w14:textId="77777777" w:rsidR="001B293D" w:rsidRPr="00BF25EB" w:rsidRDefault="001B293D" w:rsidP="00BF25EB">
      <w:pPr>
        <w:rPr>
          <w:shd w:val="clear" w:color="auto" w:fill="FFFFFF"/>
        </w:rPr>
      </w:pPr>
      <w:proofErr w:type="spellStart"/>
      <w:proofErr w:type="gramStart"/>
      <w:r w:rsidRPr="00BF25EB">
        <w:rPr>
          <w:shd w:val="clear" w:color="auto" w:fill="FFFFFF"/>
        </w:rPr>
        <w:t>Keiler</w:t>
      </w:r>
      <w:proofErr w:type="spellEnd"/>
      <w:r w:rsidRPr="00BF25EB">
        <w:rPr>
          <w:shd w:val="clear" w:color="auto" w:fill="FFFFFF"/>
        </w:rPr>
        <w:t xml:space="preserve">, J. and </w:t>
      </w:r>
      <w:proofErr w:type="spellStart"/>
      <w:r w:rsidRPr="00BF25EB">
        <w:rPr>
          <w:shd w:val="clear" w:color="auto" w:fill="FFFFFF"/>
        </w:rPr>
        <w:t>Roef</w:t>
      </w:r>
      <w:proofErr w:type="spellEnd"/>
      <w:r w:rsidRPr="00BF25EB">
        <w:rPr>
          <w:shd w:val="clear" w:color="auto" w:fill="FFFFFF"/>
        </w:rPr>
        <w:t>, D. eds., 2016.</w:t>
      </w:r>
      <w:proofErr w:type="gramEnd"/>
      <w:r w:rsidRPr="00BF25EB">
        <w:rPr>
          <w:shd w:val="clear" w:color="auto" w:fill="FFFFFF"/>
        </w:rPr>
        <w:t> </w:t>
      </w:r>
      <w:proofErr w:type="gramStart"/>
      <w:r w:rsidRPr="00BF25EB">
        <w:rPr>
          <w:i/>
          <w:iCs/>
          <w:shd w:val="clear" w:color="auto" w:fill="FFFFFF"/>
        </w:rPr>
        <w:t>Comparative concepts of criminal law</w:t>
      </w:r>
      <w:r w:rsidRPr="00BF25EB">
        <w:rPr>
          <w:shd w:val="clear" w:color="auto" w:fill="FFFFFF"/>
        </w:rPr>
        <w:t>.</w:t>
      </w:r>
      <w:proofErr w:type="gramEnd"/>
      <w:r w:rsidRPr="00BF25EB">
        <w:rPr>
          <w:shd w:val="clear" w:color="auto" w:fill="FFFFFF"/>
        </w:rPr>
        <w:t xml:space="preserve"> </w:t>
      </w:r>
      <w:proofErr w:type="spellStart"/>
      <w:proofErr w:type="gramStart"/>
      <w:r w:rsidRPr="00BF25EB">
        <w:rPr>
          <w:shd w:val="clear" w:color="auto" w:fill="FFFFFF"/>
        </w:rPr>
        <w:t>Intersentia</w:t>
      </w:r>
      <w:proofErr w:type="spellEnd"/>
      <w:r w:rsidRPr="00BF25EB">
        <w:rPr>
          <w:shd w:val="clear" w:color="auto" w:fill="FFFFFF"/>
        </w:rPr>
        <w:t>.</w:t>
      </w:r>
      <w:proofErr w:type="gramEnd"/>
    </w:p>
    <w:p w14:paraId="11B20EFD" w14:textId="77777777" w:rsidR="001B293D" w:rsidRPr="00BF25EB" w:rsidRDefault="001B293D" w:rsidP="00BF25EB">
      <w:pPr>
        <w:rPr>
          <w:shd w:val="clear" w:color="auto" w:fill="FFFFFF"/>
        </w:rPr>
      </w:pPr>
      <w:proofErr w:type="spellStart"/>
      <w:proofErr w:type="gramStart"/>
      <w:r w:rsidRPr="00BF25EB">
        <w:rPr>
          <w:shd w:val="clear" w:color="auto" w:fill="FFFFFF"/>
        </w:rPr>
        <w:t>Mitsilegas</w:t>
      </w:r>
      <w:proofErr w:type="spellEnd"/>
      <w:r w:rsidRPr="00BF25EB">
        <w:rPr>
          <w:shd w:val="clear" w:color="auto" w:fill="FFFFFF"/>
        </w:rPr>
        <w:t>, V., 2017, June.</w:t>
      </w:r>
      <w:proofErr w:type="gramEnd"/>
      <w:r w:rsidRPr="00BF25EB">
        <w:rPr>
          <w:shd w:val="clear" w:color="auto" w:fill="FFFFFF"/>
        </w:rPr>
        <w:t xml:space="preserve"> </w:t>
      </w:r>
      <w:proofErr w:type="gramStart"/>
      <w:r w:rsidRPr="00BF25EB">
        <w:rPr>
          <w:shd w:val="clear" w:color="auto" w:fill="FFFFFF"/>
        </w:rPr>
        <w:t xml:space="preserve">European criminal law after </w:t>
      </w:r>
      <w:proofErr w:type="spellStart"/>
      <w:r w:rsidRPr="00BF25EB">
        <w:rPr>
          <w:shd w:val="clear" w:color="auto" w:fill="FFFFFF"/>
        </w:rPr>
        <w:t>Brexit</w:t>
      </w:r>
      <w:proofErr w:type="spellEnd"/>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In </w:t>
      </w:r>
      <w:r w:rsidRPr="00BF25EB">
        <w:rPr>
          <w:i/>
          <w:iCs/>
          <w:shd w:val="clear" w:color="auto" w:fill="FFFFFF"/>
        </w:rPr>
        <w:t>Criminal law forum</w:t>
      </w:r>
      <w:r w:rsidRPr="00BF25EB">
        <w:rPr>
          <w:shd w:val="clear" w:color="auto" w:fill="FFFFFF"/>
        </w:rPr>
        <w:t> (Vol. 28, pp. 219-250).</w:t>
      </w:r>
      <w:proofErr w:type="gramEnd"/>
      <w:r w:rsidRPr="00BF25EB">
        <w:rPr>
          <w:shd w:val="clear" w:color="auto" w:fill="FFFFFF"/>
        </w:rPr>
        <w:t xml:space="preserve"> </w:t>
      </w:r>
      <w:proofErr w:type="gramStart"/>
      <w:r w:rsidRPr="00BF25EB">
        <w:rPr>
          <w:shd w:val="clear" w:color="auto" w:fill="FFFFFF"/>
        </w:rPr>
        <w:t>Springer Netherlands.</w:t>
      </w:r>
      <w:proofErr w:type="gramEnd"/>
    </w:p>
    <w:p w14:paraId="76F5C2AB" w14:textId="77777777" w:rsidR="001B293D" w:rsidRPr="00BF25EB" w:rsidRDefault="001B293D" w:rsidP="00BF25EB">
      <w:pPr>
        <w:rPr>
          <w:shd w:val="clear" w:color="auto" w:fill="FFFFFF"/>
        </w:rPr>
      </w:pPr>
      <w:proofErr w:type="spellStart"/>
      <w:r w:rsidRPr="00BF25EB">
        <w:rPr>
          <w:shd w:val="clear" w:color="auto" w:fill="FFFFFF"/>
        </w:rPr>
        <w:t>Ormerod</w:t>
      </w:r>
      <w:proofErr w:type="spellEnd"/>
      <w:r w:rsidRPr="00BF25EB">
        <w:rPr>
          <w:shd w:val="clear" w:color="auto" w:fill="FFFFFF"/>
        </w:rPr>
        <w:t>, D. and Laird, K., 2018. </w:t>
      </w:r>
      <w:proofErr w:type="gramStart"/>
      <w:r w:rsidRPr="00BF25EB">
        <w:rPr>
          <w:i/>
          <w:iCs/>
          <w:shd w:val="clear" w:color="auto" w:fill="FFFFFF"/>
        </w:rPr>
        <w:t xml:space="preserve">Smith, Hogan, and </w:t>
      </w:r>
      <w:proofErr w:type="spellStart"/>
      <w:r w:rsidRPr="00BF25EB">
        <w:rPr>
          <w:i/>
          <w:iCs/>
          <w:shd w:val="clear" w:color="auto" w:fill="FFFFFF"/>
        </w:rPr>
        <w:t>Ormerod's</w:t>
      </w:r>
      <w:proofErr w:type="spellEnd"/>
      <w:r w:rsidRPr="00BF25EB">
        <w:rPr>
          <w:i/>
          <w:iCs/>
          <w:shd w:val="clear" w:color="auto" w:fill="FFFFFF"/>
        </w:rPr>
        <w:t xml:space="preserve"> 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Oxford University Press.</w:t>
      </w:r>
      <w:proofErr w:type="gramEnd"/>
    </w:p>
    <w:p w14:paraId="4D3A1441" w14:textId="77777777" w:rsidR="001B293D" w:rsidRPr="00BF25EB" w:rsidRDefault="001B293D" w:rsidP="00BF25EB">
      <w:pPr>
        <w:rPr>
          <w:shd w:val="clear" w:color="auto" w:fill="FFFFFF"/>
        </w:rPr>
      </w:pPr>
      <w:proofErr w:type="spellStart"/>
      <w:r w:rsidRPr="00BF25EB">
        <w:rPr>
          <w:shd w:val="clear" w:color="auto" w:fill="FFFFFF"/>
        </w:rPr>
        <w:t>Padfield</w:t>
      </w:r>
      <w:proofErr w:type="spellEnd"/>
      <w:r w:rsidRPr="00BF25EB">
        <w:rPr>
          <w:shd w:val="clear" w:color="auto" w:fill="FFFFFF"/>
        </w:rPr>
        <w:t>, N., 2016. </w:t>
      </w:r>
      <w:proofErr w:type="gramStart"/>
      <w:r w:rsidRPr="00BF25EB">
        <w:rPr>
          <w:i/>
          <w:iCs/>
          <w:shd w:val="clear" w:color="auto" w:fill="FFFFFF"/>
        </w:rPr>
        <w:t>Criminal law</w:t>
      </w:r>
      <w:r w:rsidRPr="00BF25EB">
        <w:rPr>
          <w:shd w:val="clear" w:color="auto" w:fill="FFFFFF"/>
        </w:rPr>
        <w:t>.</w:t>
      </w:r>
      <w:proofErr w:type="gramEnd"/>
      <w:r w:rsidRPr="00BF25EB">
        <w:rPr>
          <w:shd w:val="clear" w:color="auto" w:fill="FFFFFF"/>
        </w:rPr>
        <w:t xml:space="preserve"> </w:t>
      </w:r>
      <w:proofErr w:type="gramStart"/>
      <w:r w:rsidRPr="00BF25EB">
        <w:rPr>
          <w:shd w:val="clear" w:color="auto" w:fill="FFFFFF"/>
        </w:rPr>
        <w:t>Oxford University Press.</w:t>
      </w:r>
      <w:proofErr w:type="gramEnd"/>
    </w:p>
    <w:p w14:paraId="4827DE73" w14:textId="77777777" w:rsidR="001B293D" w:rsidRPr="00BF25EB" w:rsidRDefault="001B293D" w:rsidP="00BF25EB">
      <w:pPr>
        <w:rPr>
          <w:shd w:val="clear" w:color="auto" w:fill="FFFFFF"/>
        </w:rPr>
      </w:pPr>
      <w:proofErr w:type="spellStart"/>
      <w:proofErr w:type="gramStart"/>
      <w:r w:rsidRPr="00BF25EB">
        <w:rPr>
          <w:shd w:val="clear" w:color="auto" w:fill="FFFFFF"/>
        </w:rPr>
        <w:t>Simester</w:t>
      </w:r>
      <w:proofErr w:type="spellEnd"/>
      <w:r w:rsidRPr="00BF25EB">
        <w:rPr>
          <w:shd w:val="clear" w:color="auto" w:fill="FFFFFF"/>
        </w:rPr>
        <w:t>, A.P., Spencer, J.R., Stark, F., Sullivan, G.R. and Virgo, G.J., 2019.</w:t>
      </w:r>
      <w:proofErr w:type="gramEnd"/>
      <w:r w:rsidRPr="00BF25EB">
        <w:rPr>
          <w:shd w:val="clear" w:color="auto" w:fill="FFFFFF"/>
        </w:rPr>
        <w:t> </w:t>
      </w:r>
      <w:proofErr w:type="spellStart"/>
      <w:r w:rsidRPr="00BF25EB">
        <w:rPr>
          <w:i/>
          <w:iCs/>
          <w:shd w:val="clear" w:color="auto" w:fill="FFFFFF"/>
        </w:rPr>
        <w:t>Simester</w:t>
      </w:r>
      <w:proofErr w:type="spellEnd"/>
      <w:r w:rsidRPr="00BF25EB">
        <w:rPr>
          <w:i/>
          <w:iCs/>
          <w:shd w:val="clear" w:color="auto" w:fill="FFFFFF"/>
        </w:rPr>
        <w:t xml:space="preserve"> and Sullivan’s criminal law: theory and doctrine</w:t>
      </w:r>
      <w:r w:rsidRPr="00BF25EB">
        <w:rPr>
          <w:shd w:val="clear" w:color="auto" w:fill="FFFFFF"/>
        </w:rPr>
        <w:t xml:space="preserve">. </w:t>
      </w:r>
      <w:proofErr w:type="gramStart"/>
      <w:r w:rsidRPr="00BF25EB">
        <w:rPr>
          <w:shd w:val="clear" w:color="auto" w:fill="FFFFFF"/>
        </w:rPr>
        <w:t>Bloomsbury Publishing.</w:t>
      </w:r>
      <w:proofErr w:type="gramEnd"/>
    </w:p>
    <w:p w14:paraId="4B332184" w14:textId="77777777" w:rsidR="00A12278" w:rsidRPr="00A12278" w:rsidRDefault="00A12278" w:rsidP="00BF25EB">
      <w:pPr>
        <w:rPr>
          <w:lang w:eastAsia="en-GB"/>
        </w:rPr>
      </w:pPr>
    </w:p>
    <w:sectPr w:rsidR="00A12278" w:rsidRPr="00A12278" w:rsidSect="009F4FE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3CFCA5" w14:textId="77777777" w:rsidR="00B77EDE" w:rsidRDefault="00B77EDE" w:rsidP="001B293D">
      <w:pPr>
        <w:spacing w:before="0" w:after="0" w:line="240" w:lineRule="auto"/>
      </w:pPr>
      <w:r>
        <w:separator/>
      </w:r>
    </w:p>
  </w:endnote>
  <w:endnote w:type="continuationSeparator" w:id="0">
    <w:p w14:paraId="3BE1E0BA" w14:textId="77777777" w:rsidR="00B77EDE" w:rsidRDefault="00B77EDE" w:rsidP="001B29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0806751"/>
      <w:docPartObj>
        <w:docPartGallery w:val="Page Numbers (Bottom of Page)"/>
        <w:docPartUnique/>
      </w:docPartObj>
    </w:sdtPr>
    <w:sdtEndPr/>
    <w:sdtContent>
      <w:p w14:paraId="0C3F12AE" w14:textId="5517259E" w:rsidR="001B293D" w:rsidRDefault="001B293D">
        <w:pPr>
          <w:pStyle w:val="Footer"/>
          <w:jc w:val="center"/>
        </w:pPr>
        <w:r>
          <w:fldChar w:fldCharType="begin"/>
        </w:r>
        <w:r>
          <w:instrText>PAGE   \* MERGEFORMAT</w:instrText>
        </w:r>
        <w:r>
          <w:fldChar w:fldCharType="separate"/>
        </w:r>
        <w:r w:rsidR="00BC5BD9">
          <w:rPr>
            <w:noProof/>
          </w:rPr>
          <w:t>1</w:t>
        </w:r>
        <w:r>
          <w:fldChar w:fldCharType="end"/>
        </w:r>
      </w:p>
    </w:sdtContent>
  </w:sdt>
  <w:p w14:paraId="53AD170C" w14:textId="77777777" w:rsidR="001B293D" w:rsidRDefault="001B29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337C72" w14:textId="77777777" w:rsidR="00B77EDE" w:rsidRDefault="00B77EDE" w:rsidP="001B293D">
      <w:pPr>
        <w:spacing w:before="0" w:after="0" w:line="240" w:lineRule="auto"/>
      </w:pPr>
      <w:r>
        <w:separator/>
      </w:r>
    </w:p>
  </w:footnote>
  <w:footnote w:type="continuationSeparator" w:id="0">
    <w:p w14:paraId="415A336C" w14:textId="77777777" w:rsidR="00B77EDE" w:rsidRDefault="00B77EDE" w:rsidP="001B293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3E1A8B"/>
    <w:multiLevelType w:val="multilevel"/>
    <w:tmpl w:val="D97264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0416A5D"/>
    <w:multiLevelType w:val="hybridMultilevel"/>
    <w:tmpl w:val="A0E88C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MxtzCwsLAwNzOztLBQ0lEKTi0uzszPAykwrgUA/7S9yywAAAA="/>
  </w:docVars>
  <w:rsids>
    <w:rsidRoot w:val="00517C39"/>
    <w:rsid w:val="00063F08"/>
    <w:rsid w:val="000874E7"/>
    <w:rsid w:val="000F1F82"/>
    <w:rsid w:val="001B293D"/>
    <w:rsid w:val="00205435"/>
    <w:rsid w:val="002138EE"/>
    <w:rsid w:val="00294FC4"/>
    <w:rsid w:val="00295A91"/>
    <w:rsid w:val="002F4292"/>
    <w:rsid w:val="003230AF"/>
    <w:rsid w:val="0034538D"/>
    <w:rsid w:val="0035001B"/>
    <w:rsid w:val="003B101D"/>
    <w:rsid w:val="003C74E2"/>
    <w:rsid w:val="00464E32"/>
    <w:rsid w:val="0048483A"/>
    <w:rsid w:val="004C0608"/>
    <w:rsid w:val="00517C39"/>
    <w:rsid w:val="00583EA7"/>
    <w:rsid w:val="005E0B59"/>
    <w:rsid w:val="00687669"/>
    <w:rsid w:val="006B5C4E"/>
    <w:rsid w:val="006D4980"/>
    <w:rsid w:val="00783A29"/>
    <w:rsid w:val="008402A1"/>
    <w:rsid w:val="008D3504"/>
    <w:rsid w:val="009239CA"/>
    <w:rsid w:val="009F2BC4"/>
    <w:rsid w:val="009F4FE7"/>
    <w:rsid w:val="00A12278"/>
    <w:rsid w:val="00A1629D"/>
    <w:rsid w:val="00A2075F"/>
    <w:rsid w:val="00A6665B"/>
    <w:rsid w:val="00AA0247"/>
    <w:rsid w:val="00AD7CCD"/>
    <w:rsid w:val="00B26754"/>
    <w:rsid w:val="00B77EDE"/>
    <w:rsid w:val="00BB12A1"/>
    <w:rsid w:val="00BC5BD9"/>
    <w:rsid w:val="00BE3067"/>
    <w:rsid w:val="00BF25EB"/>
    <w:rsid w:val="00D006ED"/>
    <w:rsid w:val="00D45543"/>
    <w:rsid w:val="00F366DF"/>
    <w:rsid w:val="00FA6FE5"/>
    <w:rsid w:val="00FC7D61"/>
    <w:rsid w:val="00FD26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F6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before="40" w:after="120" w:line="360" w:lineRule="auto"/>
        <w:ind w:right="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30AF"/>
    <w:rPr>
      <w:rFonts w:ascii="Times New Roman" w:hAnsi="Times New Roman"/>
      <w:sz w:val="24"/>
    </w:rPr>
  </w:style>
  <w:style w:type="paragraph" w:styleId="Heading1">
    <w:name w:val="heading 1"/>
    <w:basedOn w:val="Normal"/>
    <w:next w:val="Normal"/>
    <w:link w:val="Heading1Char"/>
    <w:autoRedefine/>
    <w:uiPriority w:val="9"/>
    <w:qFormat/>
    <w:rsid w:val="00BF25EB"/>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F25EB"/>
    <w:pPr>
      <w:keepNext/>
      <w:keepLines/>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239CA"/>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5EB"/>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BF25EB"/>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semiHidden/>
    <w:rsid w:val="009239CA"/>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1B293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293D"/>
    <w:rPr>
      <w:rFonts w:ascii="Times New Roman" w:hAnsi="Times New Roman"/>
      <w:sz w:val="24"/>
    </w:rPr>
  </w:style>
  <w:style w:type="paragraph" w:styleId="Footer">
    <w:name w:val="footer"/>
    <w:basedOn w:val="Normal"/>
    <w:link w:val="FooterChar"/>
    <w:uiPriority w:val="99"/>
    <w:unhideWhenUsed/>
    <w:rsid w:val="001B293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293D"/>
    <w:rPr>
      <w:rFonts w:ascii="Times New Roman" w:hAnsi="Times New Roman"/>
      <w:sz w:val="24"/>
    </w:rPr>
  </w:style>
  <w:style w:type="paragraph" w:styleId="TOCHeading">
    <w:name w:val="TOC Heading"/>
    <w:basedOn w:val="Heading1"/>
    <w:next w:val="Normal"/>
    <w:uiPriority w:val="39"/>
    <w:unhideWhenUsed/>
    <w:qFormat/>
    <w:rsid w:val="001B293D"/>
    <w:pPr>
      <w:spacing w:before="240" w:after="0" w:line="259" w:lineRule="auto"/>
      <w:ind w:right="0"/>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1B293D"/>
    <w:pPr>
      <w:spacing w:after="100"/>
    </w:pPr>
  </w:style>
  <w:style w:type="paragraph" w:styleId="TOC2">
    <w:name w:val="toc 2"/>
    <w:basedOn w:val="Normal"/>
    <w:next w:val="Normal"/>
    <w:autoRedefine/>
    <w:uiPriority w:val="39"/>
    <w:unhideWhenUsed/>
    <w:rsid w:val="001B293D"/>
    <w:pPr>
      <w:spacing w:after="100"/>
      <w:ind w:left="240"/>
    </w:pPr>
  </w:style>
  <w:style w:type="character" w:styleId="Hyperlink">
    <w:name w:val="Hyperlink"/>
    <w:basedOn w:val="DefaultParagraphFont"/>
    <w:uiPriority w:val="99"/>
    <w:unhideWhenUsed/>
    <w:rsid w:val="001B293D"/>
    <w:rPr>
      <w:color w:val="0563C1" w:themeColor="hyperlink"/>
      <w:u w:val="single"/>
    </w:rPr>
  </w:style>
  <w:style w:type="paragraph" w:styleId="ListParagraph">
    <w:name w:val="List Paragraph"/>
    <w:basedOn w:val="Normal"/>
    <w:uiPriority w:val="34"/>
    <w:qFormat/>
    <w:rsid w:val="00BF25EB"/>
    <w:pPr>
      <w:ind w:left="720"/>
      <w:contextualSpacing/>
    </w:pPr>
  </w:style>
  <w:style w:type="paragraph" w:styleId="BalloonText">
    <w:name w:val="Balloon Text"/>
    <w:basedOn w:val="Normal"/>
    <w:link w:val="BalloonTextChar"/>
    <w:uiPriority w:val="99"/>
    <w:semiHidden/>
    <w:unhideWhenUsed/>
    <w:rsid w:val="00783A2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A2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before="40" w:after="120" w:line="360" w:lineRule="auto"/>
        <w:ind w:right="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30AF"/>
    <w:rPr>
      <w:rFonts w:ascii="Times New Roman" w:hAnsi="Times New Roman"/>
      <w:sz w:val="24"/>
    </w:rPr>
  </w:style>
  <w:style w:type="paragraph" w:styleId="Heading1">
    <w:name w:val="heading 1"/>
    <w:basedOn w:val="Normal"/>
    <w:next w:val="Normal"/>
    <w:link w:val="Heading1Char"/>
    <w:autoRedefine/>
    <w:uiPriority w:val="9"/>
    <w:qFormat/>
    <w:rsid w:val="00BF25EB"/>
    <w:pPr>
      <w:keepNext/>
      <w:keepLines/>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F25EB"/>
    <w:pPr>
      <w:keepNext/>
      <w:keepLines/>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239CA"/>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5EB"/>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BF25EB"/>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semiHidden/>
    <w:rsid w:val="009239CA"/>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1B293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293D"/>
    <w:rPr>
      <w:rFonts w:ascii="Times New Roman" w:hAnsi="Times New Roman"/>
      <w:sz w:val="24"/>
    </w:rPr>
  </w:style>
  <w:style w:type="paragraph" w:styleId="Footer">
    <w:name w:val="footer"/>
    <w:basedOn w:val="Normal"/>
    <w:link w:val="FooterChar"/>
    <w:uiPriority w:val="99"/>
    <w:unhideWhenUsed/>
    <w:rsid w:val="001B293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293D"/>
    <w:rPr>
      <w:rFonts w:ascii="Times New Roman" w:hAnsi="Times New Roman"/>
      <w:sz w:val="24"/>
    </w:rPr>
  </w:style>
  <w:style w:type="paragraph" w:styleId="TOCHeading">
    <w:name w:val="TOC Heading"/>
    <w:basedOn w:val="Heading1"/>
    <w:next w:val="Normal"/>
    <w:uiPriority w:val="39"/>
    <w:unhideWhenUsed/>
    <w:qFormat/>
    <w:rsid w:val="001B293D"/>
    <w:pPr>
      <w:spacing w:before="240" w:after="0" w:line="259" w:lineRule="auto"/>
      <w:ind w:right="0"/>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1B293D"/>
    <w:pPr>
      <w:spacing w:after="100"/>
    </w:pPr>
  </w:style>
  <w:style w:type="paragraph" w:styleId="TOC2">
    <w:name w:val="toc 2"/>
    <w:basedOn w:val="Normal"/>
    <w:next w:val="Normal"/>
    <w:autoRedefine/>
    <w:uiPriority w:val="39"/>
    <w:unhideWhenUsed/>
    <w:rsid w:val="001B293D"/>
    <w:pPr>
      <w:spacing w:after="100"/>
      <w:ind w:left="240"/>
    </w:pPr>
  </w:style>
  <w:style w:type="character" w:styleId="Hyperlink">
    <w:name w:val="Hyperlink"/>
    <w:basedOn w:val="DefaultParagraphFont"/>
    <w:uiPriority w:val="99"/>
    <w:unhideWhenUsed/>
    <w:rsid w:val="001B293D"/>
    <w:rPr>
      <w:color w:val="0563C1" w:themeColor="hyperlink"/>
      <w:u w:val="single"/>
    </w:rPr>
  </w:style>
  <w:style w:type="paragraph" w:styleId="ListParagraph">
    <w:name w:val="List Paragraph"/>
    <w:basedOn w:val="Normal"/>
    <w:uiPriority w:val="34"/>
    <w:qFormat/>
    <w:rsid w:val="00BF25EB"/>
    <w:pPr>
      <w:ind w:left="720"/>
      <w:contextualSpacing/>
    </w:pPr>
  </w:style>
  <w:style w:type="paragraph" w:styleId="BalloonText">
    <w:name w:val="Balloon Text"/>
    <w:basedOn w:val="Normal"/>
    <w:link w:val="BalloonTextChar"/>
    <w:uiPriority w:val="99"/>
    <w:semiHidden/>
    <w:unhideWhenUsed/>
    <w:rsid w:val="00783A2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A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88C31-BE12-4292-A43E-1454617AE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1749</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2023-04-20T19:51:00Z</dcterms:created>
  <dcterms:modified xsi:type="dcterms:W3CDTF">2023-05-04T11:13:00Z</dcterms:modified>
</cp:coreProperties>
</file>