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D93F72" w14:textId="77777777" w:rsidR="000B222C" w:rsidRPr="000B222C" w:rsidRDefault="000B222C" w:rsidP="000B222C">
      <w:pPr>
        <w:jc w:val="center"/>
        <w:rPr>
          <w:rFonts w:ascii="Calibri" w:eastAsia="Calibri" w:hAnsi="Calibri" w:cs="Times New Roman"/>
        </w:rPr>
      </w:pPr>
      <w:r w:rsidRPr="000B222C">
        <w:rPr>
          <w:rFonts w:ascii="Arial" w:eastAsia="Calibri" w:hAnsi="Arial" w:cs="Arial"/>
          <w:noProof/>
          <w:color w:val="000000"/>
          <w:bdr w:val="none" w:sz="0" w:space="0" w:color="auto" w:frame="1"/>
          <w:lang w:val="en-GB" w:eastAsia="en-GB"/>
        </w:rPr>
        <w:drawing>
          <wp:inline distT="0" distB="0" distL="0" distR="0" wp14:anchorId="32A8A4AB" wp14:editId="0AC1F84F">
            <wp:extent cx="2949575" cy="988060"/>
            <wp:effectExtent l="0" t="0" r="3175" b="2540"/>
            <wp:docPr id="3" name="Picture 122" descr="Description: 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Description: A black background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9575" cy="988060"/>
                    </a:xfrm>
                    <a:prstGeom prst="rect">
                      <a:avLst/>
                    </a:prstGeom>
                    <a:noFill/>
                    <a:ln>
                      <a:noFill/>
                    </a:ln>
                  </pic:spPr>
                </pic:pic>
              </a:graphicData>
            </a:graphic>
          </wp:inline>
        </w:drawing>
      </w:r>
    </w:p>
    <w:p w14:paraId="1063A73F" w14:textId="77777777" w:rsidR="000B222C" w:rsidRPr="000B222C" w:rsidRDefault="000B222C" w:rsidP="000B222C">
      <w:pPr>
        <w:jc w:val="center"/>
        <w:rPr>
          <w:rFonts w:ascii="Calibri" w:eastAsia="Calibri" w:hAnsi="Calibri" w:cs="Times New Roman"/>
          <w:b/>
          <w:bCs/>
        </w:rPr>
      </w:pPr>
    </w:p>
    <w:p w14:paraId="5A13E384" w14:textId="77777777" w:rsidR="000B222C" w:rsidRPr="000B222C" w:rsidRDefault="000B222C" w:rsidP="000B222C">
      <w:pPr>
        <w:jc w:val="center"/>
        <w:rPr>
          <w:rFonts w:ascii="Times New Roman" w:eastAsia="Calibri" w:hAnsi="Times New Roman" w:cs="Times New Roman"/>
          <w:b/>
          <w:bCs/>
          <w:sz w:val="28"/>
          <w:szCs w:val="28"/>
        </w:rPr>
      </w:pPr>
    </w:p>
    <w:p w14:paraId="480C31AB"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DOCTOR OF BUSINESS ADMINISTRATION</w:t>
      </w:r>
    </w:p>
    <w:p w14:paraId="16DA4A7C" w14:textId="77777777" w:rsidR="000B222C" w:rsidRPr="000B222C" w:rsidRDefault="000B222C" w:rsidP="000B222C">
      <w:pPr>
        <w:jc w:val="center"/>
        <w:rPr>
          <w:rFonts w:ascii="Times New Roman" w:eastAsia="Calibri" w:hAnsi="Times New Roman" w:cs="Times New Roman"/>
          <w:b/>
          <w:bCs/>
          <w:sz w:val="28"/>
          <w:szCs w:val="28"/>
        </w:rPr>
      </w:pPr>
    </w:p>
    <w:p w14:paraId="4F6836F6"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 xml:space="preserve">QUANTITATIVE RESEARCH METHODS </w:t>
      </w:r>
    </w:p>
    <w:p w14:paraId="6C1152E2"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(LCDB7011_LON)</w:t>
      </w:r>
    </w:p>
    <w:p w14:paraId="6FA587EF" w14:textId="77777777" w:rsidR="000B222C" w:rsidRPr="000B222C" w:rsidRDefault="000B222C" w:rsidP="000B222C">
      <w:pPr>
        <w:rPr>
          <w:rFonts w:ascii="Times New Roman" w:eastAsia="Calibri" w:hAnsi="Times New Roman" w:cs="Times New Roman"/>
          <w:b/>
          <w:bCs/>
          <w:sz w:val="28"/>
          <w:szCs w:val="28"/>
        </w:rPr>
      </w:pPr>
    </w:p>
    <w:p w14:paraId="3C5CC1F4"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LECTURER</w:t>
      </w:r>
    </w:p>
    <w:p w14:paraId="4D89774B"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Dr. RAVSHONBEK OTOJANOV</w:t>
      </w:r>
    </w:p>
    <w:p w14:paraId="2DB2674B" w14:textId="77777777" w:rsidR="000B222C" w:rsidRPr="000B222C" w:rsidRDefault="000B222C" w:rsidP="000B222C">
      <w:pPr>
        <w:jc w:val="center"/>
        <w:rPr>
          <w:rFonts w:ascii="Times New Roman" w:eastAsia="Calibri" w:hAnsi="Times New Roman" w:cs="Times New Roman"/>
          <w:b/>
          <w:bCs/>
          <w:sz w:val="28"/>
          <w:szCs w:val="28"/>
        </w:rPr>
      </w:pPr>
    </w:p>
    <w:p w14:paraId="30316311"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TOPIC</w:t>
      </w:r>
    </w:p>
    <w:p w14:paraId="71B24D34"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 xml:space="preserve">QUANTITATIVE ANALYSIS ON THE SUSTAINABILITY OF THE FRANC ZONE </w:t>
      </w:r>
    </w:p>
    <w:p w14:paraId="6048AF69" w14:textId="77777777" w:rsidR="000B222C" w:rsidRPr="000B222C" w:rsidRDefault="000B222C" w:rsidP="000B222C">
      <w:pPr>
        <w:jc w:val="center"/>
        <w:rPr>
          <w:rFonts w:ascii="Times New Roman" w:eastAsia="Calibri" w:hAnsi="Times New Roman" w:cs="Times New Roman"/>
          <w:b/>
          <w:bCs/>
          <w:sz w:val="28"/>
          <w:szCs w:val="28"/>
        </w:rPr>
      </w:pPr>
    </w:p>
    <w:p w14:paraId="5F7E4228"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NAME AND STUDENT ID</w:t>
      </w:r>
    </w:p>
    <w:p w14:paraId="09BCF1C5"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Francine TAGOUDI SILATSA MAFOUGANG (2306963)</w:t>
      </w:r>
    </w:p>
    <w:p w14:paraId="3093C1FF" w14:textId="77777777" w:rsidR="000B222C" w:rsidRPr="000B222C" w:rsidRDefault="000B222C" w:rsidP="000B222C">
      <w:pPr>
        <w:jc w:val="center"/>
        <w:rPr>
          <w:rFonts w:ascii="Times New Roman" w:eastAsia="Calibri" w:hAnsi="Times New Roman" w:cs="Times New Roman"/>
          <w:b/>
          <w:bCs/>
          <w:sz w:val="28"/>
          <w:szCs w:val="28"/>
        </w:rPr>
      </w:pPr>
    </w:p>
    <w:p w14:paraId="2F862CA7" w14:textId="1E728B6C" w:rsidR="000B222C" w:rsidRPr="000B222C" w:rsidRDefault="00A435EB" w:rsidP="000B222C">
      <w:pPr>
        <w:jc w:val="right"/>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6953 </w:t>
      </w:r>
      <w:bookmarkStart w:id="0" w:name="_GoBack"/>
      <w:bookmarkEnd w:id="0"/>
      <w:r w:rsidR="000B222C" w:rsidRPr="000B222C">
        <w:rPr>
          <w:rFonts w:ascii="Times New Roman" w:eastAsia="Calibri" w:hAnsi="Times New Roman" w:cs="Times New Roman"/>
          <w:b/>
          <w:bCs/>
          <w:sz w:val="28"/>
          <w:szCs w:val="28"/>
        </w:rPr>
        <w:t>Words</w:t>
      </w:r>
    </w:p>
    <w:p w14:paraId="496BD46A" w14:textId="77777777" w:rsidR="000B222C" w:rsidRPr="000B222C" w:rsidRDefault="000B222C" w:rsidP="000B222C">
      <w:pPr>
        <w:jc w:val="right"/>
        <w:rPr>
          <w:rFonts w:ascii="Times New Roman" w:eastAsia="Calibri" w:hAnsi="Times New Roman" w:cs="Times New Roman"/>
          <w:sz w:val="28"/>
          <w:szCs w:val="28"/>
        </w:rPr>
      </w:pPr>
    </w:p>
    <w:p w14:paraId="48C0C6DE" w14:textId="77777777" w:rsidR="000B222C" w:rsidRPr="000B222C" w:rsidRDefault="000B222C" w:rsidP="000B222C">
      <w:pPr>
        <w:jc w:val="both"/>
        <w:rPr>
          <w:rFonts w:ascii="Times New Roman" w:eastAsia="Calibri" w:hAnsi="Times New Roman" w:cs="Times New Roman"/>
          <w:sz w:val="24"/>
          <w:szCs w:val="24"/>
          <w:u w:val="single"/>
          <w:lang w:val="en-GB"/>
        </w:rPr>
      </w:pPr>
    </w:p>
    <w:p w14:paraId="2699FCC1" w14:textId="77777777" w:rsidR="000B222C" w:rsidRDefault="000B222C" w:rsidP="000B222C">
      <w:pPr>
        <w:jc w:val="center"/>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lastRenderedPageBreak/>
        <w:t>ABSTRACT</w:t>
      </w:r>
    </w:p>
    <w:p w14:paraId="0699872D" w14:textId="77777777" w:rsidR="00423CE7" w:rsidRPr="000B222C" w:rsidRDefault="00423CE7" w:rsidP="000B222C">
      <w:pPr>
        <w:jc w:val="center"/>
        <w:rPr>
          <w:rFonts w:ascii="Times New Roman" w:eastAsia="Calibri" w:hAnsi="Times New Roman" w:cs="Times New Roman"/>
          <w:b/>
          <w:bCs/>
          <w:sz w:val="24"/>
          <w:szCs w:val="24"/>
          <w:u w:val="single"/>
          <w:lang w:val="en-GB"/>
        </w:rPr>
      </w:pPr>
    </w:p>
    <w:p w14:paraId="5097B715" w14:textId="248B9C63" w:rsidR="007E38F3" w:rsidRPr="007E38F3" w:rsidRDefault="007E38F3" w:rsidP="007E38F3">
      <w:pPr>
        <w:jc w:val="both"/>
        <w:rPr>
          <w:rFonts w:ascii="Times New Roman" w:eastAsia="Calibri" w:hAnsi="Times New Roman" w:cs="Times New Roman"/>
          <w:sz w:val="24"/>
          <w:szCs w:val="24"/>
          <w:lang w:val="en-GB"/>
        </w:rPr>
      </w:pPr>
      <w:r w:rsidRPr="007E38F3">
        <w:rPr>
          <w:rFonts w:ascii="Times New Roman" w:eastAsia="Calibri" w:hAnsi="Times New Roman" w:cs="Times New Roman"/>
          <w:sz w:val="24"/>
          <w:szCs w:val="24"/>
          <w:lang w:val="en-GB"/>
        </w:rPr>
        <w:t>Originating during coloni</w:t>
      </w:r>
      <w:r>
        <w:rPr>
          <w:rFonts w:ascii="Times New Roman" w:eastAsia="Calibri" w:hAnsi="Times New Roman" w:cs="Times New Roman"/>
          <w:sz w:val="24"/>
          <w:szCs w:val="24"/>
          <w:lang w:val="en-GB"/>
        </w:rPr>
        <w:t>s</w:t>
      </w:r>
      <w:r w:rsidRPr="007E38F3">
        <w:rPr>
          <w:rFonts w:ascii="Times New Roman" w:eastAsia="Calibri" w:hAnsi="Times New Roman" w:cs="Times New Roman"/>
          <w:sz w:val="24"/>
          <w:szCs w:val="24"/>
          <w:lang w:val="en-GB"/>
        </w:rPr>
        <w:t>ation, the CFA Franc remains the sole colonial currency still in circulation across fourteen Sub-Saharan African countries, collectively known as the Franc zone. Since 1945, it has been pegged to the French Franc and, from 1999, to the Euro. The currency endures, largely due to the account of operation mechanism (Nubukpo, K. 2015), which positions France as the custodian of its stability.</w:t>
      </w:r>
    </w:p>
    <w:p w14:paraId="67577885" w14:textId="171ED9D2" w:rsidR="007E38F3" w:rsidRPr="007E38F3" w:rsidRDefault="007E38F3" w:rsidP="007E38F3">
      <w:pPr>
        <w:jc w:val="both"/>
        <w:rPr>
          <w:rFonts w:ascii="Times New Roman" w:eastAsia="Calibri" w:hAnsi="Times New Roman" w:cs="Times New Roman"/>
          <w:sz w:val="24"/>
          <w:szCs w:val="24"/>
          <w:lang w:val="en-GB"/>
        </w:rPr>
      </w:pPr>
      <w:r w:rsidRPr="007E38F3">
        <w:rPr>
          <w:rFonts w:ascii="Times New Roman" w:eastAsia="Calibri" w:hAnsi="Times New Roman" w:cs="Times New Roman"/>
          <w:sz w:val="24"/>
          <w:szCs w:val="24"/>
          <w:lang w:val="en-GB"/>
        </w:rPr>
        <w:t>This topic aims to underscore the significance of currency in the economic progression of transitioning nations. It seeks to evaluate the economic advantages and disadvantages of the CFA Franc within the Franc zone. Furthermore, it provides economic, political, and historical rationales to assess the neo-colonial view of the CFA Franc. The goal is to ascertain the CFA Franc's effect on the economies within the Franc zone.</w:t>
      </w:r>
    </w:p>
    <w:p w14:paraId="21B762A1" w14:textId="2147DCA7" w:rsidR="007E38F3" w:rsidRPr="007E38F3" w:rsidRDefault="007E38F3" w:rsidP="007E38F3">
      <w:pPr>
        <w:jc w:val="both"/>
        <w:rPr>
          <w:rFonts w:ascii="Times New Roman" w:eastAsia="Calibri" w:hAnsi="Times New Roman" w:cs="Times New Roman"/>
          <w:sz w:val="24"/>
          <w:szCs w:val="24"/>
          <w:lang w:val="en-GB"/>
        </w:rPr>
      </w:pPr>
      <w:r w:rsidRPr="007E38F3">
        <w:rPr>
          <w:rFonts w:ascii="Times New Roman" w:eastAsia="Calibri" w:hAnsi="Times New Roman" w:cs="Times New Roman"/>
          <w:sz w:val="24"/>
          <w:szCs w:val="24"/>
          <w:lang w:val="en-GB"/>
        </w:rPr>
        <w:t xml:space="preserve">Several questions arise. What are the economic repercussions of the CFA Franc within the Franc zone? What monetary and fiscal policy frameworks are associated with the CFA Franc, and what are their consequences? How does the CFA Franc influence the economic trade of the Franc zone countries? Does </w:t>
      </w:r>
      <w:r>
        <w:rPr>
          <w:rFonts w:ascii="Times New Roman" w:eastAsia="Calibri" w:hAnsi="Times New Roman" w:cs="Times New Roman"/>
          <w:sz w:val="24"/>
          <w:szCs w:val="24"/>
          <w:lang w:val="en-GB"/>
        </w:rPr>
        <w:t xml:space="preserve">the CFA Franc </w:t>
      </w:r>
      <w:r w:rsidRPr="007E38F3">
        <w:rPr>
          <w:rFonts w:ascii="Times New Roman" w:eastAsia="Calibri" w:hAnsi="Times New Roman" w:cs="Times New Roman"/>
          <w:sz w:val="24"/>
          <w:szCs w:val="24"/>
          <w:lang w:val="en-GB"/>
        </w:rPr>
        <w:t xml:space="preserve">promote trade with numerous partners to benefit the Franc zone? Or does </w:t>
      </w:r>
      <w:r>
        <w:rPr>
          <w:rFonts w:ascii="Times New Roman" w:eastAsia="Calibri" w:hAnsi="Times New Roman" w:cs="Times New Roman"/>
          <w:sz w:val="24"/>
          <w:szCs w:val="24"/>
          <w:lang w:val="en-GB"/>
        </w:rPr>
        <w:t>the CFA Franc</w:t>
      </w:r>
      <w:r w:rsidRPr="007E38F3">
        <w:rPr>
          <w:rFonts w:ascii="Times New Roman" w:eastAsia="Calibri" w:hAnsi="Times New Roman" w:cs="Times New Roman"/>
          <w:sz w:val="24"/>
          <w:szCs w:val="24"/>
          <w:lang w:val="en-GB"/>
        </w:rPr>
        <w:t xml:space="preserve"> act as a tool to continue a system of exploitation, favouring the interests of a metropolis that history has maintained at the forefront of the Franc zone?</w:t>
      </w:r>
    </w:p>
    <w:p w14:paraId="4BA6AA07" w14:textId="78662DD1" w:rsidR="000B222C" w:rsidRDefault="007E38F3" w:rsidP="007E38F3">
      <w:pPr>
        <w:jc w:val="both"/>
        <w:rPr>
          <w:rFonts w:ascii="Times New Roman" w:eastAsia="Calibri" w:hAnsi="Times New Roman" w:cs="Times New Roman"/>
          <w:sz w:val="24"/>
          <w:szCs w:val="24"/>
          <w:lang w:val="en-GB"/>
        </w:rPr>
      </w:pPr>
      <w:r w:rsidRPr="007E38F3">
        <w:rPr>
          <w:rFonts w:ascii="Times New Roman" w:eastAsia="Calibri" w:hAnsi="Times New Roman" w:cs="Times New Roman"/>
          <w:sz w:val="24"/>
          <w:szCs w:val="24"/>
          <w:lang w:val="en-GB"/>
        </w:rPr>
        <w:t>These considerations lead us to scrutini</w:t>
      </w:r>
      <w:r>
        <w:rPr>
          <w:rFonts w:ascii="Times New Roman" w:eastAsia="Calibri" w:hAnsi="Times New Roman" w:cs="Times New Roman"/>
          <w:sz w:val="24"/>
          <w:szCs w:val="24"/>
          <w:lang w:val="en-GB"/>
        </w:rPr>
        <w:t>s</w:t>
      </w:r>
      <w:r w:rsidRPr="007E38F3">
        <w:rPr>
          <w:rFonts w:ascii="Times New Roman" w:eastAsia="Calibri" w:hAnsi="Times New Roman" w:cs="Times New Roman"/>
          <w:sz w:val="24"/>
          <w:szCs w:val="24"/>
          <w:lang w:val="en-GB"/>
        </w:rPr>
        <w:t>e the CFA Franc's role in the Franc zone as the central research issue. The thesis employs both positivism and interpretivism as research philosophies and utili</w:t>
      </w:r>
      <w:r w:rsidR="00423CE7">
        <w:rPr>
          <w:rFonts w:ascii="Times New Roman" w:eastAsia="Calibri" w:hAnsi="Times New Roman" w:cs="Times New Roman"/>
          <w:sz w:val="24"/>
          <w:szCs w:val="24"/>
          <w:lang w:val="en-GB"/>
        </w:rPr>
        <w:t>s</w:t>
      </w:r>
      <w:r w:rsidRPr="007E38F3">
        <w:rPr>
          <w:rFonts w:ascii="Times New Roman" w:eastAsia="Calibri" w:hAnsi="Times New Roman" w:cs="Times New Roman"/>
          <w:sz w:val="24"/>
          <w:szCs w:val="24"/>
          <w:lang w:val="en-GB"/>
        </w:rPr>
        <w:t>es quantitative and qualitative methods for its methodological approach</w:t>
      </w:r>
      <w:r w:rsidR="00423CE7">
        <w:rPr>
          <w:rFonts w:ascii="Times New Roman" w:eastAsia="Calibri" w:hAnsi="Times New Roman" w:cs="Times New Roman"/>
          <w:sz w:val="24"/>
          <w:szCs w:val="24"/>
          <w:lang w:val="en-GB"/>
        </w:rPr>
        <w:t>es</w:t>
      </w:r>
      <w:r w:rsidRPr="007E38F3">
        <w:rPr>
          <w:rFonts w:ascii="Times New Roman" w:eastAsia="Calibri" w:hAnsi="Times New Roman" w:cs="Times New Roman"/>
          <w:sz w:val="24"/>
          <w:szCs w:val="24"/>
          <w:lang w:val="en-GB"/>
        </w:rPr>
        <w:t>.</w:t>
      </w:r>
    </w:p>
    <w:p w14:paraId="27554CB7" w14:textId="77777777" w:rsidR="000F5898" w:rsidRPr="000B222C" w:rsidRDefault="000F5898" w:rsidP="007E38F3">
      <w:pPr>
        <w:jc w:val="both"/>
        <w:rPr>
          <w:rFonts w:ascii="Times New Roman" w:eastAsia="Calibri" w:hAnsi="Times New Roman" w:cs="Times New Roman"/>
          <w:sz w:val="24"/>
          <w:szCs w:val="24"/>
          <w:lang w:val="en-GB"/>
        </w:rPr>
      </w:pPr>
    </w:p>
    <w:p w14:paraId="53D5BAD0" w14:textId="77777777" w:rsidR="000B222C" w:rsidRDefault="000B222C" w:rsidP="000B222C">
      <w:pPr>
        <w:jc w:val="both"/>
        <w:rPr>
          <w:rFonts w:ascii="Times New Roman" w:eastAsia="Calibri" w:hAnsi="Times New Roman" w:cs="Times New Roman"/>
          <w:sz w:val="24"/>
          <w:szCs w:val="24"/>
          <w:lang w:val="en-GB"/>
        </w:rPr>
      </w:pPr>
    </w:p>
    <w:p w14:paraId="194B3CD8" w14:textId="77777777" w:rsidR="00423CE7" w:rsidRDefault="00423CE7" w:rsidP="000B222C">
      <w:pPr>
        <w:jc w:val="both"/>
        <w:rPr>
          <w:rFonts w:ascii="Times New Roman" w:eastAsia="Calibri" w:hAnsi="Times New Roman" w:cs="Times New Roman"/>
          <w:sz w:val="24"/>
          <w:szCs w:val="24"/>
          <w:lang w:val="en-GB"/>
        </w:rPr>
      </w:pPr>
    </w:p>
    <w:p w14:paraId="57578B5F" w14:textId="77777777" w:rsidR="00423CE7" w:rsidRDefault="00423CE7" w:rsidP="000B222C">
      <w:pPr>
        <w:jc w:val="both"/>
        <w:rPr>
          <w:rFonts w:ascii="Times New Roman" w:eastAsia="Calibri" w:hAnsi="Times New Roman" w:cs="Times New Roman"/>
          <w:sz w:val="24"/>
          <w:szCs w:val="24"/>
          <w:lang w:val="en-GB"/>
        </w:rPr>
      </w:pPr>
    </w:p>
    <w:p w14:paraId="65175DC7" w14:textId="77777777" w:rsidR="00423CE7" w:rsidRDefault="00423CE7" w:rsidP="000B222C">
      <w:pPr>
        <w:jc w:val="both"/>
        <w:rPr>
          <w:rFonts w:ascii="Times New Roman" w:eastAsia="Calibri" w:hAnsi="Times New Roman" w:cs="Times New Roman"/>
          <w:sz w:val="24"/>
          <w:szCs w:val="24"/>
          <w:lang w:val="en-GB"/>
        </w:rPr>
      </w:pPr>
    </w:p>
    <w:p w14:paraId="534911EF" w14:textId="77777777" w:rsidR="00423CE7" w:rsidRDefault="00423CE7" w:rsidP="000B222C">
      <w:pPr>
        <w:jc w:val="both"/>
        <w:rPr>
          <w:rFonts w:ascii="Times New Roman" w:eastAsia="Calibri" w:hAnsi="Times New Roman" w:cs="Times New Roman"/>
          <w:sz w:val="24"/>
          <w:szCs w:val="24"/>
          <w:lang w:val="en-GB"/>
        </w:rPr>
      </w:pPr>
    </w:p>
    <w:p w14:paraId="3AD5DC9A" w14:textId="77777777" w:rsidR="00423CE7" w:rsidRDefault="00423CE7" w:rsidP="000B222C">
      <w:pPr>
        <w:jc w:val="both"/>
        <w:rPr>
          <w:rFonts w:ascii="Times New Roman" w:eastAsia="Calibri" w:hAnsi="Times New Roman" w:cs="Times New Roman"/>
          <w:sz w:val="24"/>
          <w:szCs w:val="24"/>
          <w:lang w:val="en-GB"/>
        </w:rPr>
      </w:pPr>
    </w:p>
    <w:p w14:paraId="04B91156" w14:textId="77777777" w:rsidR="00423CE7" w:rsidRDefault="00423CE7" w:rsidP="000B222C">
      <w:pPr>
        <w:jc w:val="both"/>
        <w:rPr>
          <w:rFonts w:ascii="Times New Roman" w:eastAsia="Calibri" w:hAnsi="Times New Roman" w:cs="Times New Roman"/>
          <w:sz w:val="24"/>
          <w:szCs w:val="24"/>
          <w:lang w:val="en-GB"/>
        </w:rPr>
      </w:pPr>
    </w:p>
    <w:p w14:paraId="0D56AB8D" w14:textId="77777777" w:rsidR="00423CE7" w:rsidRDefault="00423CE7" w:rsidP="000B222C">
      <w:pPr>
        <w:jc w:val="both"/>
        <w:rPr>
          <w:rFonts w:ascii="Times New Roman" w:eastAsia="Calibri" w:hAnsi="Times New Roman" w:cs="Times New Roman"/>
          <w:sz w:val="24"/>
          <w:szCs w:val="24"/>
          <w:lang w:val="en-GB"/>
        </w:rPr>
      </w:pPr>
    </w:p>
    <w:p w14:paraId="42C80C66" w14:textId="77777777" w:rsidR="00423CE7" w:rsidRPr="000B222C" w:rsidRDefault="00423CE7" w:rsidP="000B222C">
      <w:pPr>
        <w:jc w:val="both"/>
        <w:rPr>
          <w:rFonts w:ascii="Times New Roman" w:eastAsia="Calibri" w:hAnsi="Times New Roman" w:cs="Times New Roman"/>
          <w:sz w:val="24"/>
          <w:szCs w:val="24"/>
          <w:lang w:val="en-GB"/>
        </w:rPr>
      </w:pPr>
    </w:p>
    <w:p w14:paraId="496CA976" w14:textId="77777777" w:rsidR="000B222C" w:rsidRDefault="000B222C" w:rsidP="000B222C">
      <w:pPr>
        <w:jc w:val="center"/>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lastRenderedPageBreak/>
        <w:t>INTRODUCTION</w:t>
      </w:r>
    </w:p>
    <w:p w14:paraId="34C88FB8" w14:textId="77777777" w:rsidR="00423CE7" w:rsidRPr="000B222C" w:rsidRDefault="00423CE7" w:rsidP="000B222C">
      <w:pPr>
        <w:jc w:val="center"/>
        <w:rPr>
          <w:rFonts w:ascii="Times New Roman" w:eastAsia="Calibri" w:hAnsi="Times New Roman" w:cs="Times New Roman"/>
          <w:b/>
          <w:bCs/>
          <w:sz w:val="24"/>
          <w:szCs w:val="24"/>
          <w:u w:val="single"/>
          <w:lang w:val="en-GB"/>
        </w:rPr>
      </w:pPr>
    </w:p>
    <w:p w14:paraId="08FB8118" w14:textId="429EDBF3" w:rsidR="00C1171C" w:rsidRPr="00C1171C" w:rsidRDefault="00C1171C" w:rsidP="00C1171C">
      <w:pPr>
        <w:jc w:val="both"/>
        <w:rPr>
          <w:rFonts w:ascii="Times New Roman" w:eastAsia="Calibri" w:hAnsi="Times New Roman" w:cs="Times New Roman"/>
          <w:sz w:val="24"/>
          <w:szCs w:val="24"/>
          <w:lang w:val="en-GB"/>
        </w:rPr>
      </w:pPr>
      <w:r w:rsidRPr="00C1171C">
        <w:rPr>
          <w:rFonts w:ascii="Times New Roman" w:eastAsia="Calibri" w:hAnsi="Times New Roman" w:cs="Times New Roman"/>
          <w:sz w:val="24"/>
          <w:szCs w:val="24"/>
          <w:lang w:val="en-GB"/>
        </w:rPr>
        <w:t>In the international arena, the current climate is predominantly shaped by rapid</w:t>
      </w:r>
      <w:r>
        <w:rPr>
          <w:rFonts w:ascii="Times New Roman" w:eastAsia="Calibri" w:hAnsi="Times New Roman" w:cs="Times New Roman"/>
          <w:sz w:val="24"/>
          <w:szCs w:val="24"/>
          <w:lang w:val="en-GB"/>
        </w:rPr>
        <w:t xml:space="preserve"> changes</w:t>
      </w:r>
      <w:r w:rsidRPr="00C1171C">
        <w:rPr>
          <w:rFonts w:ascii="Times New Roman" w:eastAsia="Calibri" w:hAnsi="Times New Roman" w:cs="Times New Roman"/>
          <w:sz w:val="24"/>
          <w:szCs w:val="24"/>
          <w:lang w:val="en-GB"/>
        </w:rPr>
        <w:t>, which heighten the risks of financial instability and exchange rate fluctuations. These conditions have bolstered theories advocating for the efficacy of regional monetary unions in addressing global economic challenges. Participation in a monetary union offers significant benefits, such as lowered transaction costs and diminished uncertainties regarding exchange rate fluctuations, elimination of exchange rates within the union, and bolstered confidence in policy direction (Zhao and Kim, 2009). These theories underpinned the creation of regional monetary systems, with the Euro and the CFA Franc being the two largest globally.</w:t>
      </w:r>
    </w:p>
    <w:p w14:paraId="33942BE5" w14:textId="27AB74CF" w:rsidR="00C1171C" w:rsidRPr="00C1171C" w:rsidRDefault="00C1171C" w:rsidP="00C1171C">
      <w:pPr>
        <w:jc w:val="both"/>
        <w:rPr>
          <w:rFonts w:ascii="Times New Roman" w:eastAsia="Calibri" w:hAnsi="Times New Roman" w:cs="Times New Roman"/>
          <w:sz w:val="24"/>
          <w:szCs w:val="24"/>
          <w:lang w:val="en-GB"/>
        </w:rPr>
      </w:pPr>
      <w:r w:rsidRPr="00C1171C">
        <w:rPr>
          <w:rFonts w:ascii="Times New Roman" w:eastAsia="Calibri" w:hAnsi="Times New Roman" w:cs="Times New Roman"/>
          <w:sz w:val="24"/>
          <w:szCs w:val="24"/>
          <w:lang w:val="en-GB"/>
        </w:rPr>
        <w:t>The CFA</w:t>
      </w:r>
      <w:r w:rsidR="00B20B3A">
        <w:rPr>
          <w:rFonts w:ascii="Times New Roman" w:eastAsia="Calibri" w:hAnsi="Times New Roman" w:cs="Times New Roman"/>
          <w:sz w:val="24"/>
          <w:szCs w:val="24"/>
          <w:lang w:val="en-GB"/>
        </w:rPr>
        <w:t xml:space="preserve"> </w:t>
      </w:r>
      <w:r w:rsidRPr="00C1171C">
        <w:rPr>
          <w:rFonts w:ascii="Times New Roman" w:eastAsia="Calibri" w:hAnsi="Times New Roman" w:cs="Times New Roman"/>
          <w:sz w:val="24"/>
          <w:szCs w:val="24"/>
          <w:lang w:val="en-GB"/>
        </w:rPr>
        <w:t>F</w:t>
      </w:r>
      <w:r w:rsidR="00B20B3A">
        <w:rPr>
          <w:rFonts w:ascii="Times New Roman" w:eastAsia="Calibri" w:hAnsi="Times New Roman" w:cs="Times New Roman"/>
          <w:sz w:val="24"/>
          <w:szCs w:val="24"/>
          <w:lang w:val="en-GB"/>
        </w:rPr>
        <w:t>ranc</w:t>
      </w:r>
      <w:r w:rsidRPr="00C1171C">
        <w:rPr>
          <w:rFonts w:ascii="Times New Roman" w:eastAsia="Calibri" w:hAnsi="Times New Roman" w:cs="Times New Roman"/>
          <w:sz w:val="24"/>
          <w:szCs w:val="24"/>
          <w:lang w:val="en-GB"/>
        </w:rPr>
        <w:t xml:space="preserve"> was inaugurated</w:t>
      </w:r>
      <w:r>
        <w:rPr>
          <w:rFonts w:ascii="Times New Roman" w:eastAsia="Calibri" w:hAnsi="Times New Roman" w:cs="Times New Roman"/>
          <w:sz w:val="24"/>
          <w:szCs w:val="24"/>
          <w:lang w:val="en-GB"/>
        </w:rPr>
        <w:t xml:space="preserve"> in</w:t>
      </w:r>
      <w:r w:rsidRPr="00C1171C">
        <w:rPr>
          <w:rFonts w:ascii="Times New Roman" w:eastAsia="Calibri" w:hAnsi="Times New Roman" w:cs="Times New Roman"/>
          <w:sz w:val="24"/>
          <w:szCs w:val="24"/>
          <w:lang w:val="en-GB"/>
        </w:rPr>
        <w:t xml:space="preserve"> 1945, by decree N° 45-0136, initially representing the Franc of the French Colonies of Africa. In 1958, it was renamed the Franc of the French African Community. Subsequently, in 1960, following independence, it was designated the Franc of the African Financial Community, XOF</w:t>
      </w:r>
      <w:r w:rsidR="00B20B3A">
        <w:rPr>
          <w:rFonts w:ascii="Times New Roman" w:eastAsia="Calibri" w:hAnsi="Times New Roman" w:cs="Times New Roman"/>
          <w:sz w:val="24"/>
          <w:szCs w:val="24"/>
          <w:lang w:val="en-GB"/>
        </w:rPr>
        <w:t xml:space="preserve"> </w:t>
      </w:r>
      <w:r w:rsidRPr="00C1171C">
        <w:rPr>
          <w:rFonts w:ascii="Times New Roman" w:eastAsia="Calibri" w:hAnsi="Times New Roman" w:cs="Times New Roman"/>
          <w:sz w:val="24"/>
          <w:szCs w:val="24"/>
          <w:lang w:val="en-GB"/>
        </w:rPr>
        <w:t>in West Africa and the Franc of the Financial Cooperation in Central Africa, XAF in Central Africa. It serves as the currency for 14 Sub-Saharan African countries, all part of the Franc zone. The currency's distinction lies less in its historical inception than in the durability of its fixed exchange rate regime, which is among the most stable worldwide (Gulde and Tsangarides, 2008). Remarkably, despite significant global upheavals and transformations, its rate has only been altered once, with the devaluation in 1994.</w:t>
      </w:r>
    </w:p>
    <w:p w14:paraId="5664B02E" w14:textId="3C67BC0D" w:rsidR="00C1171C" w:rsidRPr="00C1171C" w:rsidRDefault="00C1171C" w:rsidP="00C1171C">
      <w:pPr>
        <w:jc w:val="both"/>
        <w:rPr>
          <w:rFonts w:ascii="Times New Roman" w:eastAsia="Calibri" w:hAnsi="Times New Roman" w:cs="Times New Roman"/>
          <w:sz w:val="24"/>
          <w:szCs w:val="24"/>
          <w:lang w:val="en-GB"/>
        </w:rPr>
      </w:pPr>
      <w:r w:rsidRPr="00C1171C">
        <w:rPr>
          <w:rFonts w:ascii="Times New Roman" w:eastAsia="Calibri" w:hAnsi="Times New Roman" w:cs="Times New Roman"/>
          <w:sz w:val="24"/>
          <w:szCs w:val="24"/>
          <w:lang w:val="en-GB"/>
        </w:rPr>
        <w:t>The F</w:t>
      </w:r>
      <w:r w:rsidR="00B20B3A">
        <w:rPr>
          <w:rFonts w:ascii="Times New Roman" w:eastAsia="Calibri" w:hAnsi="Times New Roman" w:cs="Times New Roman"/>
          <w:sz w:val="24"/>
          <w:szCs w:val="24"/>
          <w:lang w:val="en-GB"/>
        </w:rPr>
        <w:t>ranc zone</w:t>
      </w:r>
      <w:r w:rsidRPr="00C1171C">
        <w:rPr>
          <w:rFonts w:ascii="Times New Roman" w:eastAsia="Calibri" w:hAnsi="Times New Roman" w:cs="Times New Roman"/>
          <w:sz w:val="24"/>
          <w:szCs w:val="24"/>
          <w:lang w:val="en-GB"/>
        </w:rPr>
        <w:t xml:space="preserve"> is split into two African monetary zones. </w:t>
      </w:r>
      <w:bookmarkStart w:id="1" w:name="_Hlk175085897"/>
      <w:r w:rsidRPr="00C1171C">
        <w:rPr>
          <w:rFonts w:ascii="Times New Roman" w:eastAsia="Calibri" w:hAnsi="Times New Roman" w:cs="Times New Roman"/>
          <w:sz w:val="24"/>
          <w:szCs w:val="24"/>
          <w:lang w:val="en-GB"/>
        </w:rPr>
        <w:t xml:space="preserve">The West African Economic and Monetary Union </w:t>
      </w:r>
      <w:bookmarkEnd w:id="1"/>
      <w:r w:rsidRPr="00C1171C">
        <w:rPr>
          <w:rFonts w:ascii="Times New Roman" w:eastAsia="Calibri" w:hAnsi="Times New Roman" w:cs="Times New Roman"/>
          <w:sz w:val="24"/>
          <w:szCs w:val="24"/>
          <w:lang w:val="en-GB"/>
        </w:rPr>
        <w:t>utili</w:t>
      </w:r>
      <w:r>
        <w:rPr>
          <w:rFonts w:ascii="Times New Roman" w:eastAsia="Calibri" w:hAnsi="Times New Roman" w:cs="Times New Roman"/>
          <w:sz w:val="24"/>
          <w:szCs w:val="24"/>
          <w:lang w:val="en-GB"/>
        </w:rPr>
        <w:t>s</w:t>
      </w:r>
      <w:r w:rsidRPr="00C1171C">
        <w:rPr>
          <w:rFonts w:ascii="Times New Roman" w:eastAsia="Calibri" w:hAnsi="Times New Roman" w:cs="Times New Roman"/>
          <w:sz w:val="24"/>
          <w:szCs w:val="24"/>
          <w:lang w:val="en-GB"/>
        </w:rPr>
        <w:t xml:space="preserve">es the CFA franc (XOF) in Benin, Burkina Faso, Côte d'Ivoire, Mali, Niger, Senegal, Togo, and Guinea Bissau. On the other hand, </w:t>
      </w:r>
      <w:bookmarkStart w:id="2" w:name="_Hlk175085732"/>
      <w:r w:rsidRPr="00C1171C">
        <w:rPr>
          <w:rFonts w:ascii="Times New Roman" w:eastAsia="Calibri" w:hAnsi="Times New Roman" w:cs="Times New Roman"/>
          <w:sz w:val="24"/>
          <w:szCs w:val="24"/>
          <w:lang w:val="en-GB"/>
        </w:rPr>
        <w:t xml:space="preserve">the Central African Economic and Monetary Union </w:t>
      </w:r>
      <w:bookmarkEnd w:id="2"/>
      <w:r w:rsidRPr="00C1171C">
        <w:rPr>
          <w:rFonts w:ascii="Times New Roman" w:eastAsia="Calibri" w:hAnsi="Times New Roman" w:cs="Times New Roman"/>
          <w:sz w:val="24"/>
          <w:szCs w:val="24"/>
          <w:lang w:val="en-GB"/>
        </w:rPr>
        <w:t>employs the CFA franc (XAF) in Cameroon, Congo, Gabon, Equatorial Guinea, Central African Republic, and Chad.</w:t>
      </w:r>
    </w:p>
    <w:p w14:paraId="6FC7B331" w14:textId="3E7CF909" w:rsidR="00C1171C" w:rsidRPr="00C1171C" w:rsidRDefault="00C1171C" w:rsidP="00C1171C">
      <w:pPr>
        <w:jc w:val="both"/>
        <w:rPr>
          <w:rFonts w:ascii="Times New Roman" w:eastAsia="Calibri" w:hAnsi="Times New Roman" w:cs="Times New Roman"/>
          <w:sz w:val="24"/>
          <w:szCs w:val="24"/>
          <w:lang w:val="en-GB"/>
        </w:rPr>
      </w:pPr>
      <w:r w:rsidRPr="00C1171C">
        <w:rPr>
          <w:rFonts w:ascii="Times New Roman" w:eastAsia="Calibri" w:hAnsi="Times New Roman" w:cs="Times New Roman"/>
          <w:sz w:val="24"/>
          <w:szCs w:val="24"/>
          <w:lang w:val="en-GB"/>
        </w:rPr>
        <w:t>The F</w:t>
      </w:r>
      <w:r w:rsidR="00B20B3A">
        <w:rPr>
          <w:rFonts w:ascii="Times New Roman" w:eastAsia="Calibri" w:hAnsi="Times New Roman" w:cs="Times New Roman"/>
          <w:sz w:val="24"/>
          <w:szCs w:val="24"/>
          <w:lang w:val="en-GB"/>
        </w:rPr>
        <w:t>ranc</w:t>
      </w:r>
      <w:r w:rsidRPr="00C1171C">
        <w:rPr>
          <w:rFonts w:ascii="Times New Roman" w:eastAsia="Calibri" w:hAnsi="Times New Roman" w:cs="Times New Roman"/>
          <w:sz w:val="24"/>
          <w:szCs w:val="24"/>
          <w:lang w:val="en-GB"/>
        </w:rPr>
        <w:t>'s</w:t>
      </w:r>
      <w:r w:rsidR="00B20B3A">
        <w:rPr>
          <w:rFonts w:ascii="Times New Roman" w:eastAsia="Calibri" w:hAnsi="Times New Roman" w:cs="Times New Roman"/>
          <w:sz w:val="24"/>
          <w:szCs w:val="24"/>
          <w:lang w:val="en-GB"/>
        </w:rPr>
        <w:t xml:space="preserve"> zone</w:t>
      </w:r>
      <w:r w:rsidRPr="00C1171C">
        <w:rPr>
          <w:rFonts w:ascii="Times New Roman" w:eastAsia="Calibri" w:hAnsi="Times New Roman" w:cs="Times New Roman"/>
          <w:sz w:val="24"/>
          <w:szCs w:val="24"/>
          <w:lang w:val="en-GB"/>
        </w:rPr>
        <w:t xml:space="preserve"> stability is attributed to its monetary cooperation with France via the operating account mechanism, which ensures a fixed exchange rate between the CFA</w:t>
      </w:r>
      <w:r w:rsidR="00B20B3A">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F</w:t>
      </w:r>
      <w:r w:rsidR="00B20B3A">
        <w:rPr>
          <w:rFonts w:ascii="Times New Roman" w:eastAsia="Calibri" w:hAnsi="Times New Roman" w:cs="Times New Roman"/>
          <w:sz w:val="24"/>
          <w:szCs w:val="24"/>
          <w:lang w:val="en-GB"/>
        </w:rPr>
        <w:t>ranc</w:t>
      </w:r>
      <w:r w:rsidRPr="00C1171C">
        <w:rPr>
          <w:rFonts w:ascii="Times New Roman" w:eastAsia="Calibri" w:hAnsi="Times New Roman" w:cs="Times New Roman"/>
          <w:sz w:val="24"/>
          <w:szCs w:val="24"/>
          <w:lang w:val="en-GB"/>
        </w:rPr>
        <w:t xml:space="preserve"> and the Euro (Nubukpo, </w:t>
      </w:r>
      <w:r w:rsidR="00521FAE">
        <w:rPr>
          <w:rFonts w:ascii="Times New Roman" w:eastAsia="Calibri" w:hAnsi="Times New Roman" w:cs="Times New Roman"/>
          <w:sz w:val="24"/>
          <w:szCs w:val="24"/>
          <w:lang w:val="en-GB"/>
        </w:rPr>
        <w:t xml:space="preserve">K. </w:t>
      </w:r>
      <w:r w:rsidRPr="00C1171C">
        <w:rPr>
          <w:rFonts w:ascii="Times New Roman" w:eastAsia="Calibri" w:hAnsi="Times New Roman" w:cs="Times New Roman"/>
          <w:sz w:val="24"/>
          <w:szCs w:val="24"/>
          <w:lang w:val="en-GB"/>
        </w:rPr>
        <w:t>2007). This mechanism acts as a form of monetary stability insurance with the French treasury, requiring a 50% deposit of foreign exchange reserves by the central banks within the zone. However, this arrangement has sparked numerous controversies regarding the F</w:t>
      </w:r>
      <w:r w:rsidR="00B20B3A">
        <w:rPr>
          <w:rFonts w:ascii="Times New Roman" w:eastAsia="Calibri" w:hAnsi="Times New Roman" w:cs="Times New Roman"/>
          <w:sz w:val="24"/>
          <w:szCs w:val="24"/>
          <w:lang w:val="en-GB"/>
        </w:rPr>
        <w:t>ranc zone</w:t>
      </w:r>
      <w:r w:rsidRPr="00C1171C">
        <w:rPr>
          <w:rFonts w:ascii="Times New Roman" w:eastAsia="Calibri" w:hAnsi="Times New Roman" w:cs="Times New Roman"/>
          <w:sz w:val="24"/>
          <w:szCs w:val="24"/>
          <w:lang w:val="en-GB"/>
        </w:rPr>
        <w:t>.</w:t>
      </w:r>
      <w:r>
        <w:rPr>
          <w:rFonts w:ascii="Times New Roman" w:eastAsia="Calibri" w:hAnsi="Times New Roman" w:cs="Times New Roman"/>
          <w:sz w:val="24"/>
          <w:szCs w:val="24"/>
          <w:lang w:val="en-GB"/>
        </w:rPr>
        <w:t xml:space="preserve"> </w:t>
      </w:r>
      <w:r w:rsidRPr="00C1171C">
        <w:rPr>
          <w:rFonts w:ascii="Times New Roman" w:eastAsia="Calibri" w:hAnsi="Times New Roman" w:cs="Times New Roman"/>
          <w:sz w:val="24"/>
          <w:szCs w:val="24"/>
          <w:lang w:val="en-GB"/>
        </w:rPr>
        <w:t>Some authors and economists interested in the subject argue that the fixed parity regime of the CFA</w:t>
      </w:r>
      <w:r w:rsidR="00B20B3A">
        <w:rPr>
          <w:rFonts w:ascii="Times New Roman" w:eastAsia="Calibri" w:hAnsi="Times New Roman" w:cs="Times New Roman"/>
          <w:sz w:val="24"/>
          <w:szCs w:val="24"/>
          <w:lang w:val="en-GB"/>
        </w:rPr>
        <w:t xml:space="preserve"> </w:t>
      </w:r>
      <w:r w:rsidRPr="00C1171C">
        <w:rPr>
          <w:rFonts w:ascii="Times New Roman" w:eastAsia="Calibri" w:hAnsi="Times New Roman" w:cs="Times New Roman"/>
          <w:sz w:val="24"/>
          <w:szCs w:val="24"/>
          <w:lang w:val="en-GB"/>
        </w:rPr>
        <w:t>F</w:t>
      </w:r>
      <w:r w:rsidR="00B20B3A">
        <w:rPr>
          <w:rFonts w:ascii="Times New Roman" w:eastAsia="Calibri" w:hAnsi="Times New Roman" w:cs="Times New Roman"/>
          <w:sz w:val="24"/>
          <w:szCs w:val="24"/>
          <w:lang w:val="en-GB"/>
        </w:rPr>
        <w:t>ranc</w:t>
      </w:r>
      <w:r w:rsidRPr="00C1171C">
        <w:rPr>
          <w:rFonts w:ascii="Times New Roman" w:eastAsia="Calibri" w:hAnsi="Times New Roman" w:cs="Times New Roman"/>
          <w:sz w:val="24"/>
          <w:szCs w:val="24"/>
          <w:lang w:val="en-GB"/>
        </w:rPr>
        <w:t xml:space="preserve">, supported by the operating account mechanism, is suboptimal (Owoundi, 2001). Others contend that the monetary stability argument is merely a facade to lend credibility to a monetary policy that is overly restrictive and primarily serves the interests of European entities (Tinel, </w:t>
      </w:r>
      <w:r w:rsidR="009C4EDA">
        <w:rPr>
          <w:rFonts w:ascii="Times New Roman" w:eastAsia="Calibri" w:hAnsi="Times New Roman" w:cs="Times New Roman"/>
          <w:sz w:val="24"/>
          <w:szCs w:val="24"/>
          <w:lang w:val="en-GB"/>
        </w:rPr>
        <w:t xml:space="preserve">B. </w:t>
      </w:r>
      <w:r w:rsidRPr="00C1171C">
        <w:rPr>
          <w:rFonts w:ascii="Times New Roman" w:eastAsia="Calibri" w:hAnsi="Times New Roman" w:cs="Times New Roman"/>
          <w:sz w:val="24"/>
          <w:szCs w:val="24"/>
          <w:lang w:val="en-GB"/>
        </w:rPr>
        <w:t>2016). These critics focus on the CFA</w:t>
      </w:r>
      <w:r w:rsidR="00B20B3A">
        <w:rPr>
          <w:rFonts w:ascii="Times New Roman" w:eastAsia="Calibri" w:hAnsi="Times New Roman" w:cs="Times New Roman"/>
          <w:sz w:val="24"/>
          <w:szCs w:val="24"/>
          <w:lang w:val="en-GB"/>
        </w:rPr>
        <w:t xml:space="preserve"> </w:t>
      </w:r>
      <w:r w:rsidRPr="00C1171C">
        <w:rPr>
          <w:rFonts w:ascii="Times New Roman" w:eastAsia="Calibri" w:hAnsi="Times New Roman" w:cs="Times New Roman"/>
          <w:sz w:val="24"/>
          <w:szCs w:val="24"/>
          <w:lang w:val="en-GB"/>
        </w:rPr>
        <w:t>F</w:t>
      </w:r>
      <w:r w:rsidR="00B20B3A">
        <w:rPr>
          <w:rFonts w:ascii="Times New Roman" w:eastAsia="Calibri" w:hAnsi="Times New Roman" w:cs="Times New Roman"/>
          <w:sz w:val="24"/>
          <w:szCs w:val="24"/>
          <w:lang w:val="en-GB"/>
        </w:rPr>
        <w:t>ranc</w:t>
      </w:r>
      <w:r w:rsidRPr="00C1171C">
        <w:rPr>
          <w:rFonts w:ascii="Times New Roman" w:eastAsia="Calibri" w:hAnsi="Times New Roman" w:cs="Times New Roman"/>
          <w:sz w:val="24"/>
          <w:szCs w:val="24"/>
          <w:lang w:val="en-GB"/>
        </w:rPr>
        <w:t>'s role in economic development, arguing that it is incompatible with Africa's potential growth.</w:t>
      </w:r>
    </w:p>
    <w:p w14:paraId="5B3260E0" w14:textId="397584A8" w:rsidR="00C1171C" w:rsidRPr="00C1171C" w:rsidRDefault="00C1171C" w:rsidP="00C1171C">
      <w:pPr>
        <w:jc w:val="both"/>
        <w:rPr>
          <w:rFonts w:ascii="Times New Roman" w:eastAsia="Calibri" w:hAnsi="Times New Roman" w:cs="Times New Roman"/>
          <w:sz w:val="24"/>
          <w:szCs w:val="24"/>
          <w:lang w:val="en-GB"/>
        </w:rPr>
      </w:pPr>
      <w:r w:rsidRPr="00C1171C">
        <w:rPr>
          <w:rFonts w:ascii="Times New Roman" w:eastAsia="Calibri" w:hAnsi="Times New Roman" w:cs="Times New Roman"/>
          <w:sz w:val="24"/>
          <w:szCs w:val="24"/>
          <w:lang w:val="en-GB"/>
        </w:rPr>
        <w:t xml:space="preserve">Other scholars examine the currency's political aspects, critiquing the historical underpinnings of Franco-African relations. They argue that the French treasury's oversight is merely a modern </w:t>
      </w:r>
      <w:r w:rsidRPr="00C1171C">
        <w:rPr>
          <w:rFonts w:ascii="Times New Roman" w:eastAsia="Calibri" w:hAnsi="Times New Roman" w:cs="Times New Roman"/>
          <w:sz w:val="24"/>
          <w:szCs w:val="24"/>
          <w:lang w:val="en-GB"/>
        </w:rPr>
        <w:lastRenderedPageBreak/>
        <w:t xml:space="preserve">form of the paternalism practiced by Elysée authorities, coining the term </w:t>
      </w:r>
      <w:r w:rsidRPr="00C1171C">
        <w:rPr>
          <w:rFonts w:ascii="Times New Roman" w:eastAsia="Calibri" w:hAnsi="Times New Roman" w:cs="Times New Roman"/>
          <w:i/>
          <w:iCs/>
          <w:sz w:val="24"/>
          <w:szCs w:val="24"/>
          <w:lang w:val="en-GB"/>
        </w:rPr>
        <w:t>monetary servitude</w:t>
      </w:r>
      <w:r w:rsidRPr="00C1171C">
        <w:rPr>
          <w:rFonts w:ascii="Times New Roman" w:eastAsia="Calibri" w:hAnsi="Times New Roman" w:cs="Times New Roman"/>
          <w:sz w:val="24"/>
          <w:szCs w:val="24"/>
          <w:lang w:val="en-GB"/>
        </w:rPr>
        <w:t xml:space="preserve"> to describe this neo-colonial holdover. Conversely, some liberal economists and writers, who view what others describe as the continuation of an imbalanced relationship, see it instead as an expression of multilateral solidarity (Hugon,</w:t>
      </w:r>
      <w:r w:rsidR="00C50635">
        <w:rPr>
          <w:rFonts w:ascii="Times New Roman" w:eastAsia="Calibri" w:hAnsi="Times New Roman" w:cs="Times New Roman"/>
          <w:sz w:val="24"/>
          <w:szCs w:val="24"/>
          <w:lang w:val="en-GB"/>
        </w:rPr>
        <w:t xml:space="preserve"> P.</w:t>
      </w:r>
      <w:r w:rsidRPr="00C1171C">
        <w:rPr>
          <w:rFonts w:ascii="Times New Roman" w:eastAsia="Calibri" w:hAnsi="Times New Roman" w:cs="Times New Roman"/>
          <w:sz w:val="24"/>
          <w:szCs w:val="24"/>
          <w:lang w:val="en-GB"/>
        </w:rPr>
        <w:t xml:space="preserve"> 1999).</w:t>
      </w:r>
    </w:p>
    <w:p w14:paraId="36BB57CE" w14:textId="092AF0EF" w:rsidR="00C1171C" w:rsidRPr="00C1171C" w:rsidRDefault="00C1171C" w:rsidP="00C1171C">
      <w:pPr>
        <w:jc w:val="both"/>
        <w:rPr>
          <w:rFonts w:ascii="Times New Roman" w:eastAsia="Calibri" w:hAnsi="Times New Roman" w:cs="Times New Roman"/>
          <w:sz w:val="24"/>
          <w:szCs w:val="24"/>
          <w:lang w:val="en-GB"/>
        </w:rPr>
      </w:pPr>
      <w:r w:rsidRPr="00C1171C">
        <w:rPr>
          <w:rFonts w:ascii="Times New Roman" w:eastAsia="Calibri" w:hAnsi="Times New Roman" w:cs="Times New Roman"/>
          <w:sz w:val="24"/>
          <w:szCs w:val="24"/>
          <w:lang w:val="en-GB"/>
        </w:rPr>
        <w:t>The utili</w:t>
      </w:r>
      <w:r>
        <w:rPr>
          <w:rFonts w:ascii="Times New Roman" w:eastAsia="Calibri" w:hAnsi="Times New Roman" w:cs="Times New Roman"/>
          <w:sz w:val="24"/>
          <w:szCs w:val="24"/>
          <w:lang w:val="en-GB"/>
        </w:rPr>
        <w:t>s</w:t>
      </w:r>
      <w:r w:rsidRPr="00C1171C">
        <w:rPr>
          <w:rFonts w:ascii="Times New Roman" w:eastAsia="Calibri" w:hAnsi="Times New Roman" w:cs="Times New Roman"/>
          <w:sz w:val="24"/>
          <w:szCs w:val="24"/>
          <w:lang w:val="en-GB"/>
        </w:rPr>
        <w:t>ation of the CFA</w:t>
      </w:r>
      <w:r w:rsidR="0071025A">
        <w:rPr>
          <w:rFonts w:ascii="Times New Roman" w:eastAsia="Calibri" w:hAnsi="Times New Roman" w:cs="Times New Roman"/>
          <w:sz w:val="24"/>
          <w:szCs w:val="24"/>
          <w:lang w:val="en-GB"/>
        </w:rPr>
        <w:t xml:space="preserve"> </w:t>
      </w:r>
      <w:r w:rsidRPr="00C1171C">
        <w:rPr>
          <w:rFonts w:ascii="Times New Roman" w:eastAsia="Calibri" w:hAnsi="Times New Roman" w:cs="Times New Roman"/>
          <w:sz w:val="24"/>
          <w:szCs w:val="24"/>
          <w:lang w:val="en-GB"/>
        </w:rPr>
        <w:t>F</w:t>
      </w:r>
      <w:r w:rsidR="0071025A">
        <w:rPr>
          <w:rFonts w:ascii="Times New Roman" w:eastAsia="Calibri" w:hAnsi="Times New Roman" w:cs="Times New Roman"/>
          <w:sz w:val="24"/>
          <w:szCs w:val="24"/>
          <w:lang w:val="en-GB"/>
        </w:rPr>
        <w:t>ranc</w:t>
      </w:r>
      <w:r w:rsidRPr="00C1171C">
        <w:rPr>
          <w:rFonts w:ascii="Times New Roman" w:eastAsia="Calibri" w:hAnsi="Times New Roman" w:cs="Times New Roman"/>
          <w:sz w:val="24"/>
          <w:szCs w:val="24"/>
          <w:lang w:val="en-GB"/>
        </w:rPr>
        <w:t xml:space="preserve"> currency as a mechanism for domination or economic development is grounded in various observations, particularly from analysing the economic growth of the F</w:t>
      </w:r>
      <w:r w:rsidR="0071025A">
        <w:rPr>
          <w:rFonts w:ascii="Times New Roman" w:eastAsia="Calibri" w:hAnsi="Times New Roman" w:cs="Times New Roman"/>
          <w:sz w:val="24"/>
          <w:szCs w:val="24"/>
          <w:lang w:val="en-GB"/>
        </w:rPr>
        <w:t>ranc zone</w:t>
      </w:r>
      <w:r w:rsidRPr="00C1171C">
        <w:rPr>
          <w:rFonts w:ascii="Times New Roman" w:eastAsia="Calibri" w:hAnsi="Times New Roman" w:cs="Times New Roman"/>
          <w:sz w:val="24"/>
          <w:szCs w:val="24"/>
          <w:lang w:val="en-GB"/>
        </w:rPr>
        <w:t>. As Africa progresses with emerging powers like China, which nearly rivals France's influence (La Tribune, 2013), the perceived decline in French influence after the dissolution of the old Foccart networks is offset by the increasing power of French companies. These companies retain a significant market share in the F</w:t>
      </w:r>
      <w:r w:rsidR="0071025A">
        <w:rPr>
          <w:rFonts w:ascii="Times New Roman" w:eastAsia="Calibri" w:hAnsi="Times New Roman" w:cs="Times New Roman"/>
          <w:sz w:val="24"/>
          <w:szCs w:val="24"/>
          <w:lang w:val="en-GB"/>
        </w:rPr>
        <w:t>ranc zone</w:t>
      </w:r>
      <w:r w:rsidRPr="00C1171C">
        <w:rPr>
          <w:rFonts w:ascii="Times New Roman" w:eastAsia="Calibri" w:hAnsi="Times New Roman" w:cs="Times New Roman"/>
          <w:sz w:val="24"/>
          <w:szCs w:val="24"/>
          <w:lang w:val="en-GB"/>
        </w:rPr>
        <w:t xml:space="preserve"> (Adjagbe, </w:t>
      </w:r>
      <w:r w:rsidR="001A4A90">
        <w:rPr>
          <w:rFonts w:ascii="Times New Roman" w:eastAsia="Calibri" w:hAnsi="Times New Roman" w:cs="Times New Roman"/>
          <w:sz w:val="24"/>
          <w:szCs w:val="24"/>
          <w:lang w:val="en-GB"/>
        </w:rPr>
        <w:t xml:space="preserve">M. </w:t>
      </w:r>
      <w:r w:rsidRPr="00C1171C">
        <w:rPr>
          <w:rFonts w:ascii="Times New Roman" w:eastAsia="Calibri" w:hAnsi="Times New Roman" w:cs="Times New Roman"/>
          <w:sz w:val="24"/>
          <w:szCs w:val="24"/>
          <w:lang w:val="en-GB"/>
        </w:rPr>
        <w:t xml:space="preserve">2009). For instance, France has surpassed China in Côte d'Ivoire with a 14% market share versus 6%, in Senegal with 17% compared to 10%, and in Gabon with 33% against 8% (La Tribune, 2013). Alexandre Vilgrain, president of the French Council of Investors in Africa, has claimed that French firms are unmatched in Africa (French Council for Investment in Africa, 2013). These insights are crucial for understanding the enduring economic relations between France and its African partners, including the historical </w:t>
      </w:r>
      <w:r w:rsidR="00C96B4B" w:rsidRPr="00C96B4B">
        <w:rPr>
          <w:rFonts w:ascii="Times New Roman" w:eastAsia="Calibri" w:hAnsi="Times New Roman" w:cs="Times New Roman"/>
          <w:i/>
          <w:iCs/>
          <w:sz w:val="24"/>
          <w:szCs w:val="24"/>
          <w:lang w:val="en-GB"/>
        </w:rPr>
        <w:t>“</w:t>
      </w:r>
      <w:r w:rsidRPr="00C96B4B">
        <w:rPr>
          <w:rFonts w:ascii="Times New Roman" w:eastAsia="Calibri" w:hAnsi="Times New Roman" w:cs="Times New Roman"/>
          <w:i/>
          <w:iCs/>
          <w:sz w:val="24"/>
          <w:szCs w:val="24"/>
          <w:lang w:val="en-GB"/>
        </w:rPr>
        <w:t>privilege of the flag</w:t>
      </w:r>
      <w:r w:rsidR="00C96B4B" w:rsidRPr="00C96B4B">
        <w:rPr>
          <w:rFonts w:ascii="Times New Roman" w:eastAsia="Calibri" w:hAnsi="Times New Roman" w:cs="Times New Roman"/>
          <w:i/>
          <w:iCs/>
          <w:sz w:val="24"/>
          <w:szCs w:val="24"/>
          <w:lang w:val="en-GB"/>
        </w:rPr>
        <w:t>”</w:t>
      </w:r>
      <w:r w:rsidRPr="00C1171C">
        <w:rPr>
          <w:rFonts w:ascii="Times New Roman" w:eastAsia="Calibri" w:hAnsi="Times New Roman" w:cs="Times New Roman"/>
          <w:sz w:val="24"/>
          <w:szCs w:val="24"/>
          <w:lang w:val="en-GB"/>
        </w:rPr>
        <w:t xml:space="preserve"> (Gounin,</w:t>
      </w:r>
      <w:r w:rsidR="001A4A90">
        <w:rPr>
          <w:rFonts w:ascii="Times New Roman" w:eastAsia="Calibri" w:hAnsi="Times New Roman" w:cs="Times New Roman"/>
          <w:sz w:val="24"/>
          <w:szCs w:val="24"/>
          <w:lang w:val="en-GB"/>
        </w:rPr>
        <w:t xml:space="preserve"> Y.</w:t>
      </w:r>
      <w:r w:rsidRPr="00C1171C">
        <w:rPr>
          <w:rFonts w:ascii="Times New Roman" w:eastAsia="Calibri" w:hAnsi="Times New Roman" w:cs="Times New Roman"/>
          <w:sz w:val="24"/>
          <w:szCs w:val="24"/>
          <w:lang w:val="en-GB"/>
        </w:rPr>
        <w:t xml:space="preserve"> 2009, p.27), which limited colonies' trade with other nations.</w:t>
      </w:r>
    </w:p>
    <w:p w14:paraId="442D0F6D" w14:textId="17221B94" w:rsidR="0016380B" w:rsidRPr="00C47780" w:rsidRDefault="00C1171C" w:rsidP="00437A19">
      <w:pPr>
        <w:jc w:val="both"/>
        <w:rPr>
          <w:rFonts w:ascii="Times New Roman" w:eastAsia="Calibri" w:hAnsi="Times New Roman" w:cs="Times New Roman"/>
          <w:sz w:val="24"/>
          <w:szCs w:val="24"/>
          <w:lang w:val="en-GB"/>
        </w:rPr>
      </w:pPr>
      <w:r w:rsidRPr="00C1171C">
        <w:rPr>
          <w:rFonts w:ascii="Times New Roman" w:eastAsia="Calibri" w:hAnsi="Times New Roman" w:cs="Times New Roman"/>
          <w:sz w:val="24"/>
          <w:szCs w:val="24"/>
          <w:lang w:val="en-GB"/>
        </w:rPr>
        <w:t>Currently, France exerts a significant influence on the daily management of the CFA</w:t>
      </w:r>
      <w:r w:rsidR="002778ED">
        <w:rPr>
          <w:rFonts w:ascii="Times New Roman" w:eastAsia="Calibri" w:hAnsi="Times New Roman" w:cs="Times New Roman"/>
          <w:sz w:val="24"/>
          <w:szCs w:val="24"/>
          <w:lang w:val="en-GB"/>
        </w:rPr>
        <w:t xml:space="preserve"> </w:t>
      </w:r>
      <w:r w:rsidRPr="00C1171C">
        <w:rPr>
          <w:rFonts w:ascii="Times New Roman" w:eastAsia="Calibri" w:hAnsi="Times New Roman" w:cs="Times New Roman"/>
          <w:sz w:val="24"/>
          <w:szCs w:val="24"/>
          <w:lang w:val="en-GB"/>
        </w:rPr>
        <w:t>F</w:t>
      </w:r>
      <w:r w:rsidR="002778ED">
        <w:rPr>
          <w:rFonts w:ascii="Times New Roman" w:eastAsia="Calibri" w:hAnsi="Times New Roman" w:cs="Times New Roman"/>
          <w:sz w:val="24"/>
          <w:szCs w:val="24"/>
          <w:lang w:val="en-GB"/>
        </w:rPr>
        <w:t>ranc</w:t>
      </w:r>
      <w:r w:rsidRPr="00C1171C">
        <w:rPr>
          <w:rFonts w:ascii="Times New Roman" w:eastAsia="Calibri" w:hAnsi="Times New Roman" w:cs="Times New Roman"/>
          <w:sz w:val="24"/>
          <w:szCs w:val="24"/>
          <w:lang w:val="en-GB"/>
        </w:rPr>
        <w:t>. The French public treasury guarantees its convertibility, affording France preferential access to the board of directors of the central banks that issue the CFA</w:t>
      </w:r>
      <w:r w:rsidR="002778ED">
        <w:rPr>
          <w:rFonts w:ascii="Times New Roman" w:eastAsia="Calibri" w:hAnsi="Times New Roman" w:cs="Times New Roman"/>
          <w:sz w:val="24"/>
          <w:szCs w:val="24"/>
          <w:lang w:val="en-GB"/>
        </w:rPr>
        <w:t xml:space="preserve"> </w:t>
      </w:r>
      <w:r w:rsidRPr="00C1171C">
        <w:rPr>
          <w:rFonts w:ascii="Times New Roman" w:eastAsia="Calibri" w:hAnsi="Times New Roman" w:cs="Times New Roman"/>
          <w:sz w:val="24"/>
          <w:szCs w:val="24"/>
          <w:lang w:val="en-GB"/>
        </w:rPr>
        <w:t>F</w:t>
      </w:r>
      <w:r w:rsidR="002778ED">
        <w:rPr>
          <w:rFonts w:ascii="Times New Roman" w:eastAsia="Calibri" w:hAnsi="Times New Roman" w:cs="Times New Roman"/>
          <w:sz w:val="24"/>
          <w:szCs w:val="24"/>
          <w:lang w:val="en-GB"/>
        </w:rPr>
        <w:t>ranc</w:t>
      </w:r>
      <w:r w:rsidRPr="00C1171C">
        <w:rPr>
          <w:rFonts w:ascii="Times New Roman" w:eastAsia="Calibri" w:hAnsi="Times New Roman" w:cs="Times New Roman"/>
          <w:sz w:val="24"/>
          <w:szCs w:val="24"/>
          <w:lang w:val="en-GB"/>
        </w:rPr>
        <w:t xml:space="preserve">. This role is contentious, particularly since the currency and public development aid were considered vital for French subsidiaries in Africa to undertake major infrastructure projects shortly after independence (Glaser and Smith 2005). </w:t>
      </w:r>
      <w:r w:rsidRPr="00177C26">
        <w:rPr>
          <w:rFonts w:ascii="Times New Roman" w:eastAsia="Calibri" w:hAnsi="Times New Roman" w:cs="Times New Roman"/>
          <w:b/>
          <w:bCs/>
          <w:sz w:val="24"/>
          <w:szCs w:val="24"/>
          <w:lang w:val="en-GB"/>
        </w:rPr>
        <w:t xml:space="preserve">The </w:t>
      </w:r>
      <w:r w:rsidR="00177C26" w:rsidRPr="00177C26">
        <w:rPr>
          <w:rFonts w:ascii="Times New Roman" w:eastAsia="Calibri" w:hAnsi="Times New Roman" w:cs="Times New Roman"/>
          <w:b/>
          <w:bCs/>
          <w:sz w:val="24"/>
          <w:szCs w:val="24"/>
          <w:lang w:val="en-GB"/>
        </w:rPr>
        <w:t>purpose</w:t>
      </w:r>
      <w:r w:rsidRPr="00177C26">
        <w:rPr>
          <w:rFonts w:ascii="Times New Roman" w:eastAsia="Calibri" w:hAnsi="Times New Roman" w:cs="Times New Roman"/>
          <w:b/>
          <w:bCs/>
          <w:sz w:val="24"/>
          <w:szCs w:val="24"/>
          <w:lang w:val="en-GB"/>
        </w:rPr>
        <w:t xml:space="preserve"> of this study</w:t>
      </w:r>
      <w:r w:rsidRPr="00C1171C">
        <w:rPr>
          <w:rFonts w:ascii="Times New Roman" w:eastAsia="Calibri" w:hAnsi="Times New Roman" w:cs="Times New Roman"/>
          <w:sz w:val="24"/>
          <w:szCs w:val="24"/>
          <w:lang w:val="en-GB"/>
        </w:rPr>
        <w:t xml:space="preserve"> is to assess the economic </w:t>
      </w:r>
      <w:r w:rsidR="00097BD1">
        <w:rPr>
          <w:rFonts w:ascii="Times New Roman" w:eastAsia="Calibri" w:hAnsi="Times New Roman" w:cs="Times New Roman"/>
          <w:sz w:val="24"/>
          <w:szCs w:val="24"/>
          <w:lang w:val="en-GB"/>
        </w:rPr>
        <w:t>advantage and inconvenient</w:t>
      </w:r>
      <w:r w:rsidRPr="00C1171C">
        <w:rPr>
          <w:rFonts w:ascii="Times New Roman" w:eastAsia="Calibri" w:hAnsi="Times New Roman" w:cs="Times New Roman"/>
          <w:sz w:val="24"/>
          <w:szCs w:val="24"/>
          <w:lang w:val="en-GB"/>
        </w:rPr>
        <w:t xml:space="preserve"> of using the CFA</w:t>
      </w:r>
      <w:r w:rsidR="002778ED">
        <w:rPr>
          <w:rFonts w:ascii="Times New Roman" w:eastAsia="Calibri" w:hAnsi="Times New Roman" w:cs="Times New Roman"/>
          <w:sz w:val="24"/>
          <w:szCs w:val="24"/>
          <w:lang w:val="en-GB"/>
        </w:rPr>
        <w:t xml:space="preserve"> </w:t>
      </w:r>
      <w:r w:rsidRPr="00C1171C">
        <w:rPr>
          <w:rFonts w:ascii="Times New Roman" w:eastAsia="Calibri" w:hAnsi="Times New Roman" w:cs="Times New Roman"/>
          <w:sz w:val="24"/>
          <w:szCs w:val="24"/>
          <w:lang w:val="en-GB"/>
        </w:rPr>
        <w:t>F</w:t>
      </w:r>
      <w:r w:rsidR="002778ED">
        <w:rPr>
          <w:rFonts w:ascii="Times New Roman" w:eastAsia="Calibri" w:hAnsi="Times New Roman" w:cs="Times New Roman"/>
          <w:sz w:val="24"/>
          <w:szCs w:val="24"/>
          <w:lang w:val="en-GB"/>
        </w:rPr>
        <w:t>ranc</w:t>
      </w:r>
      <w:r w:rsidRPr="00C1171C">
        <w:rPr>
          <w:rFonts w:ascii="Times New Roman" w:eastAsia="Calibri" w:hAnsi="Times New Roman" w:cs="Times New Roman"/>
          <w:sz w:val="24"/>
          <w:szCs w:val="24"/>
          <w:lang w:val="en-GB"/>
        </w:rPr>
        <w:t xml:space="preserve"> in the </w:t>
      </w:r>
      <w:r w:rsidR="00DB3647">
        <w:rPr>
          <w:rFonts w:ascii="Times New Roman" w:eastAsia="Calibri" w:hAnsi="Times New Roman" w:cs="Times New Roman"/>
          <w:sz w:val="24"/>
          <w:szCs w:val="24"/>
          <w:lang w:val="en-GB"/>
        </w:rPr>
        <w:t>14 countries</w:t>
      </w:r>
      <w:r w:rsidRPr="00C1171C">
        <w:rPr>
          <w:rFonts w:ascii="Times New Roman" w:eastAsia="Calibri" w:hAnsi="Times New Roman" w:cs="Times New Roman"/>
          <w:sz w:val="24"/>
          <w:szCs w:val="24"/>
          <w:lang w:val="en-GB"/>
        </w:rPr>
        <w:t>.</w:t>
      </w:r>
    </w:p>
    <w:p w14:paraId="3E04630D" w14:textId="0E7F5277" w:rsidR="00437A19" w:rsidRPr="0062480C" w:rsidRDefault="00437A19" w:rsidP="00437A19">
      <w:pPr>
        <w:jc w:val="both"/>
        <w:rPr>
          <w:rFonts w:ascii="Times New Roman" w:eastAsia="Calibri" w:hAnsi="Times New Roman" w:cs="Times New Roman"/>
          <w:b/>
          <w:bCs/>
          <w:sz w:val="24"/>
          <w:szCs w:val="24"/>
          <w:u w:val="single"/>
          <w:lang w:val="en-GB"/>
        </w:rPr>
      </w:pPr>
      <w:r w:rsidRPr="0016380B">
        <w:rPr>
          <w:rFonts w:ascii="Times New Roman" w:eastAsia="Calibri" w:hAnsi="Times New Roman" w:cs="Times New Roman"/>
          <w:b/>
          <w:bCs/>
          <w:sz w:val="24"/>
          <w:szCs w:val="24"/>
          <w:u w:val="single"/>
          <w:lang w:val="en-GB"/>
        </w:rPr>
        <w:t>Problem Statement</w:t>
      </w:r>
      <w:r w:rsidR="0062480C">
        <w:rPr>
          <w:rFonts w:ascii="Times New Roman" w:eastAsia="Calibri" w:hAnsi="Times New Roman" w:cs="Times New Roman"/>
          <w:b/>
          <w:bCs/>
          <w:sz w:val="24"/>
          <w:szCs w:val="24"/>
          <w:u w:val="single"/>
          <w:lang w:val="en-GB"/>
        </w:rPr>
        <w:t>:</w:t>
      </w:r>
      <w:r w:rsidR="0062480C">
        <w:rPr>
          <w:rFonts w:ascii="Times New Roman" w:eastAsia="Calibri" w:hAnsi="Times New Roman" w:cs="Times New Roman"/>
          <w:b/>
          <w:bCs/>
          <w:sz w:val="24"/>
          <w:szCs w:val="24"/>
          <w:lang w:val="en-GB"/>
        </w:rPr>
        <w:t xml:space="preserve"> </w:t>
      </w:r>
      <w:r w:rsidRPr="00437A19">
        <w:rPr>
          <w:rFonts w:ascii="Times New Roman" w:eastAsia="Calibri" w:hAnsi="Times New Roman" w:cs="Times New Roman"/>
          <w:sz w:val="24"/>
          <w:szCs w:val="24"/>
          <w:lang w:val="en-GB"/>
        </w:rPr>
        <w:t>The investigation focuses on the CFA Franc's role within the Franc zone.</w:t>
      </w:r>
    </w:p>
    <w:p w14:paraId="008F0206" w14:textId="1634DCCE" w:rsidR="00EB61AE" w:rsidRPr="0062480C" w:rsidRDefault="00EB61AE" w:rsidP="00EB61AE">
      <w:pPr>
        <w:jc w:val="both"/>
        <w:rPr>
          <w:rFonts w:ascii="Times New Roman" w:eastAsia="Calibri" w:hAnsi="Times New Roman" w:cs="Times New Roman"/>
          <w:b/>
          <w:bCs/>
          <w:sz w:val="24"/>
          <w:szCs w:val="24"/>
          <w:u w:val="single"/>
          <w:lang w:val="en-GB"/>
        </w:rPr>
      </w:pPr>
      <w:r w:rsidRPr="00141BFB">
        <w:rPr>
          <w:rFonts w:ascii="Times New Roman" w:eastAsia="Calibri" w:hAnsi="Times New Roman" w:cs="Times New Roman"/>
          <w:b/>
          <w:bCs/>
          <w:sz w:val="24"/>
          <w:szCs w:val="24"/>
          <w:u w:val="single"/>
          <w:lang w:val="en-GB"/>
        </w:rPr>
        <w:t>Research Objectives</w:t>
      </w:r>
      <w:r w:rsidR="0062480C">
        <w:rPr>
          <w:rFonts w:ascii="Times New Roman" w:eastAsia="Calibri" w:hAnsi="Times New Roman" w:cs="Times New Roman"/>
          <w:b/>
          <w:bCs/>
          <w:sz w:val="24"/>
          <w:szCs w:val="24"/>
          <w:u w:val="single"/>
          <w:lang w:val="en-GB"/>
        </w:rPr>
        <w:t>:</w:t>
      </w:r>
      <w:r w:rsidR="0062480C">
        <w:rPr>
          <w:rFonts w:ascii="Times New Roman" w:eastAsia="Calibri" w:hAnsi="Times New Roman" w:cs="Times New Roman"/>
          <w:b/>
          <w:bCs/>
          <w:sz w:val="24"/>
          <w:szCs w:val="24"/>
          <w:lang w:val="en-GB"/>
        </w:rPr>
        <w:t xml:space="preserve"> </w:t>
      </w:r>
      <w:r w:rsidRPr="00EB61AE">
        <w:rPr>
          <w:rFonts w:ascii="Times New Roman" w:eastAsia="Calibri" w:hAnsi="Times New Roman" w:cs="Times New Roman"/>
          <w:sz w:val="24"/>
          <w:szCs w:val="24"/>
          <w:lang w:val="en-GB"/>
        </w:rPr>
        <w:t>This topic contributes to the body of literature emphasi</w:t>
      </w:r>
      <w:r w:rsidR="00141BFB">
        <w:rPr>
          <w:rFonts w:ascii="Times New Roman" w:eastAsia="Calibri" w:hAnsi="Times New Roman" w:cs="Times New Roman"/>
          <w:sz w:val="24"/>
          <w:szCs w:val="24"/>
          <w:lang w:val="en-GB"/>
        </w:rPr>
        <w:t>s</w:t>
      </w:r>
      <w:r w:rsidRPr="00EB61AE">
        <w:rPr>
          <w:rFonts w:ascii="Times New Roman" w:eastAsia="Calibri" w:hAnsi="Times New Roman" w:cs="Times New Roman"/>
          <w:sz w:val="24"/>
          <w:szCs w:val="24"/>
          <w:lang w:val="en-GB"/>
        </w:rPr>
        <w:t xml:space="preserve">ing the importance of currency in the economic progress of transitional countries. It provides a framework conducive to </w:t>
      </w:r>
      <w:r w:rsidR="003E3BE0" w:rsidRPr="00EB61AE">
        <w:rPr>
          <w:rFonts w:ascii="Times New Roman" w:eastAsia="Calibri" w:hAnsi="Times New Roman" w:cs="Times New Roman"/>
          <w:sz w:val="24"/>
          <w:szCs w:val="24"/>
          <w:lang w:val="en-GB"/>
        </w:rPr>
        <w:t>analysing</w:t>
      </w:r>
      <w:r w:rsidRPr="00EB61AE">
        <w:rPr>
          <w:rFonts w:ascii="Times New Roman" w:eastAsia="Calibri" w:hAnsi="Times New Roman" w:cs="Times New Roman"/>
          <w:sz w:val="24"/>
          <w:szCs w:val="24"/>
          <w:lang w:val="en-GB"/>
        </w:rPr>
        <w:t xml:space="preserve"> the influence of monetary</w:t>
      </w:r>
      <w:r w:rsidR="003E3BE0">
        <w:rPr>
          <w:rFonts w:ascii="Times New Roman" w:eastAsia="Calibri" w:hAnsi="Times New Roman" w:cs="Times New Roman"/>
          <w:sz w:val="24"/>
          <w:szCs w:val="24"/>
          <w:lang w:val="en-GB"/>
        </w:rPr>
        <w:t xml:space="preserve"> and </w:t>
      </w:r>
      <w:r w:rsidRPr="00EB61AE">
        <w:rPr>
          <w:rFonts w:ascii="Times New Roman" w:eastAsia="Calibri" w:hAnsi="Times New Roman" w:cs="Times New Roman"/>
          <w:sz w:val="24"/>
          <w:szCs w:val="24"/>
          <w:lang w:val="en-GB"/>
        </w:rPr>
        <w:t>fiscal policies on the F</w:t>
      </w:r>
      <w:r w:rsidR="00BE36DF">
        <w:rPr>
          <w:rFonts w:ascii="Times New Roman" w:eastAsia="Calibri" w:hAnsi="Times New Roman" w:cs="Times New Roman"/>
          <w:sz w:val="24"/>
          <w:szCs w:val="24"/>
          <w:lang w:val="en-GB"/>
        </w:rPr>
        <w:t>ranc zone</w:t>
      </w:r>
      <w:r w:rsidRPr="00EB61AE">
        <w:rPr>
          <w:rFonts w:ascii="Times New Roman" w:eastAsia="Calibri" w:hAnsi="Times New Roman" w:cs="Times New Roman"/>
          <w:sz w:val="24"/>
          <w:szCs w:val="24"/>
          <w:lang w:val="en-GB"/>
        </w:rPr>
        <w:t>'s economic growth. It sheds light on both internal and external elements that contribute to the F</w:t>
      </w:r>
      <w:r w:rsidR="00BE36DF">
        <w:rPr>
          <w:rFonts w:ascii="Times New Roman" w:eastAsia="Calibri" w:hAnsi="Times New Roman" w:cs="Times New Roman"/>
          <w:sz w:val="24"/>
          <w:szCs w:val="24"/>
          <w:lang w:val="en-GB"/>
        </w:rPr>
        <w:t>ranc zone</w:t>
      </w:r>
      <w:r w:rsidRPr="00EB61AE">
        <w:rPr>
          <w:rFonts w:ascii="Times New Roman" w:eastAsia="Calibri" w:hAnsi="Times New Roman" w:cs="Times New Roman"/>
          <w:sz w:val="24"/>
          <w:szCs w:val="24"/>
          <w:lang w:val="en-GB"/>
        </w:rPr>
        <w:t>'s lack of development.</w:t>
      </w:r>
    </w:p>
    <w:p w14:paraId="328C11C6" w14:textId="64C78925" w:rsidR="000B222C" w:rsidRPr="0062480C" w:rsidRDefault="00EB61AE" w:rsidP="00EB61AE">
      <w:pPr>
        <w:jc w:val="both"/>
        <w:rPr>
          <w:rFonts w:ascii="Times New Roman" w:eastAsia="Calibri" w:hAnsi="Times New Roman" w:cs="Times New Roman"/>
          <w:b/>
          <w:bCs/>
          <w:sz w:val="24"/>
          <w:szCs w:val="24"/>
          <w:u w:val="single"/>
          <w:lang w:val="en-GB"/>
        </w:rPr>
      </w:pPr>
      <w:r w:rsidRPr="003E3BE0">
        <w:rPr>
          <w:rFonts w:ascii="Times New Roman" w:eastAsia="Calibri" w:hAnsi="Times New Roman" w:cs="Times New Roman"/>
          <w:b/>
          <w:bCs/>
          <w:sz w:val="24"/>
          <w:szCs w:val="24"/>
          <w:u w:val="single"/>
          <w:lang w:val="en-GB"/>
        </w:rPr>
        <w:t xml:space="preserve">Research </w:t>
      </w:r>
      <w:r w:rsidRPr="00222D92">
        <w:rPr>
          <w:rFonts w:ascii="Times New Roman" w:eastAsia="Calibri" w:hAnsi="Times New Roman" w:cs="Times New Roman"/>
          <w:b/>
          <w:bCs/>
          <w:sz w:val="24"/>
          <w:szCs w:val="24"/>
          <w:u w:val="single"/>
          <w:lang w:val="en-GB"/>
        </w:rPr>
        <w:t>Questions</w:t>
      </w:r>
      <w:r w:rsidR="00222D92">
        <w:rPr>
          <w:rFonts w:ascii="Times New Roman" w:eastAsia="Calibri" w:hAnsi="Times New Roman" w:cs="Times New Roman"/>
          <w:b/>
          <w:bCs/>
          <w:sz w:val="24"/>
          <w:szCs w:val="24"/>
          <w:lang w:val="en-GB"/>
        </w:rPr>
        <w:t xml:space="preserve">: </w:t>
      </w:r>
      <w:r w:rsidRPr="00222D92">
        <w:rPr>
          <w:rFonts w:ascii="Times New Roman" w:eastAsia="Calibri" w:hAnsi="Times New Roman" w:cs="Times New Roman"/>
          <w:sz w:val="24"/>
          <w:szCs w:val="24"/>
          <w:lang w:val="en-GB"/>
        </w:rPr>
        <w:t>For</w:t>
      </w:r>
      <w:r w:rsidRPr="00EB61AE">
        <w:rPr>
          <w:rFonts w:ascii="Times New Roman" w:eastAsia="Calibri" w:hAnsi="Times New Roman" w:cs="Times New Roman"/>
          <w:sz w:val="24"/>
          <w:szCs w:val="24"/>
          <w:lang w:val="en-GB"/>
        </w:rPr>
        <w:t xml:space="preserve"> this </w:t>
      </w:r>
      <w:r w:rsidR="003E3BE0">
        <w:rPr>
          <w:rFonts w:ascii="Times New Roman" w:eastAsia="Calibri" w:hAnsi="Times New Roman" w:cs="Times New Roman"/>
          <w:sz w:val="24"/>
          <w:szCs w:val="24"/>
          <w:lang w:val="en-GB"/>
        </w:rPr>
        <w:t>assignment</w:t>
      </w:r>
      <w:r w:rsidRPr="00EB61AE">
        <w:rPr>
          <w:rFonts w:ascii="Times New Roman" w:eastAsia="Calibri" w:hAnsi="Times New Roman" w:cs="Times New Roman"/>
          <w:sz w:val="24"/>
          <w:szCs w:val="24"/>
          <w:lang w:val="en-GB"/>
        </w:rPr>
        <w:t>, one question will be posed: What are the economic effects of the CFA</w:t>
      </w:r>
      <w:r w:rsidR="00BE36DF">
        <w:rPr>
          <w:rFonts w:ascii="Times New Roman" w:eastAsia="Calibri" w:hAnsi="Times New Roman" w:cs="Times New Roman"/>
          <w:sz w:val="24"/>
          <w:szCs w:val="24"/>
          <w:lang w:val="en-GB"/>
        </w:rPr>
        <w:t xml:space="preserve"> </w:t>
      </w:r>
      <w:r w:rsidRPr="00EB61AE">
        <w:rPr>
          <w:rFonts w:ascii="Times New Roman" w:eastAsia="Calibri" w:hAnsi="Times New Roman" w:cs="Times New Roman"/>
          <w:sz w:val="24"/>
          <w:szCs w:val="24"/>
          <w:lang w:val="en-GB"/>
        </w:rPr>
        <w:t>F</w:t>
      </w:r>
      <w:r w:rsidR="00BE36DF">
        <w:rPr>
          <w:rFonts w:ascii="Times New Roman" w:eastAsia="Calibri" w:hAnsi="Times New Roman" w:cs="Times New Roman"/>
          <w:sz w:val="24"/>
          <w:szCs w:val="24"/>
          <w:lang w:val="en-GB"/>
        </w:rPr>
        <w:t>ranc o</w:t>
      </w:r>
      <w:r w:rsidRPr="00EB61AE">
        <w:rPr>
          <w:rFonts w:ascii="Times New Roman" w:eastAsia="Calibri" w:hAnsi="Times New Roman" w:cs="Times New Roman"/>
          <w:sz w:val="24"/>
          <w:szCs w:val="24"/>
          <w:lang w:val="en-GB"/>
        </w:rPr>
        <w:t>n the F</w:t>
      </w:r>
      <w:r w:rsidR="00BE36DF">
        <w:rPr>
          <w:rFonts w:ascii="Times New Roman" w:eastAsia="Calibri" w:hAnsi="Times New Roman" w:cs="Times New Roman"/>
          <w:sz w:val="24"/>
          <w:szCs w:val="24"/>
          <w:lang w:val="en-GB"/>
        </w:rPr>
        <w:t>ranc zone</w:t>
      </w:r>
      <w:r w:rsidRPr="00EB61AE">
        <w:rPr>
          <w:rFonts w:ascii="Times New Roman" w:eastAsia="Calibri" w:hAnsi="Times New Roman" w:cs="Times New Roman"/>
          <w:sz w:val="24"/>
          <w:szCs w:val="24"/>
          <w:lang w:val="en-GB"/>
        </w:rPr>
        <w:t>?</w:t>
      </w:r>
    </w:p>
    <w:p w14:paraId="7FD6F3E6" w14:textId="67FB323D" w:rsidR="0016380B" w:rsidRPr="00222D92" w:rsidRDefault="0016380B" w:rsidP="0016380B">
      <w:pPr>
        <w:jc w:val="both"/>
        <w:rPr>
          <w:rFonts w:ascii="Times New Roman" w:eastAsia="Calibri" w:hAnsi="Times New Roman" w:cs="Times New Roman"/>
          <w:b/>
          <w:bCs/>
          <w:sz w:val="24"/>
          <w:szCs w:val="24"/>
          <w:u w:val="single"/>
          <w:lang w:val="en-GB"/>
        </w:rPr>
      </w:pPr>
      <w:r w:rsidRPr="0016380B">
        <w:rPr>
          <w:rFonts w:ascii="Times New Roman" w:eastAsia="Calibri" w:hAnsi="Times New Roman" w:cs="Times New Roman"/>
          <w:b/>
          <w:bCs/>
          <w:sz w:val="24"/>
          <w:szCs w:val="24"/>
          <w:u w:val="single"/>
          <w:lang w:val="en-GB"/>
        </w:rPr>
        <w:t>Aim</w:t>
      </w:r>
      <w:r w:rsidR="00222D92">
        <w:rPr>
          <w:rFonts w:ascii="Times New Roman" w:eastAsia="Calibri" w:hAnsi="Times New Roman" w:cs="Times New Roman"/>
          <w:b/>
          <w:bCs/>
          <w:sz w:val="24"/>
          <w:szCs w:val="24"/>
          <w:u w:val="single"/>
          <w:lang w:val="en-GB"/>
        </w:rPr>
        <w:t xml:space="preserve">: </w:t>
      </w:r>
      <w:r w:rsidRPr="0016380B">
        <w:rPr>
          <w:rFonts w:ascii="Times New Roman" w:eastAsia="Calibri" w:hAnsi="Times New Roman" w:cs="Times New Roman"/>
          <w:sz w:val="24"/>
          <w:szCs w:val="24"/>
          <w:lang w:val="en-GB"/>
        </w:rPr>
        <w:t>The objective is to determine the CFA Franc's economic impact on the Franc zone.</w:t>
      </w:r>
    </w:p>
    <w:p w14:paraId="698A57BB" w14:textId="4AE86784" w:rsidR="000B222C" w:rsidRPr="00482466" w:rsidRDefault="00437A19" w:rsidP="000B222C">
      <w:pPr>
        <w:jc w:val="both"/>
        <w:rPr>
          <w:rFonts w:ascii="Times New Roman" w:eastAsia="Calibri" w:hAnsi="Times New Roman" w:cs="Times New Roman"/>
          <w:b/>
          <w:bCs/>
          <w:sz w:val="24"/>
          <w:szCs w:val="24"/>
          <w:u w:val="single"/>
          <w:lang w:val="en-GB"/>
        </w:rPr>
      </w:pPr>
      <w:r w:rsidRPr="008D2652">
        <w:rPr>
          <w:rFonts w:ascii="Times New Roman" w:eastAsia="Calibri" w:hAnsi="Times New Roman" w:cs="Times New Roman"/>
          <w:b/>
          <w:bCs/>
          <w:sz w:val="24"/>
          <w:szCs w:val="24"/>
          <w:u w:val="single"/>
          <w:lang w:val="en-GB"/>
        </w:rPr>
        <w:t>Hypothesis</w:t>
      </w:r>
      <w:r w:rsidR="008D2652">
        <w:rPr>
          <w:rFonts w:ascii="Times New Roman" w:eastAsia="Calibri" w:hAnsi="Times New Roman" w:cs="Times New Roman"/>
          <w:b/>
          <w:bCs/>
          <w:sz w:val="24"/>
          <w:szCs w:val="24"/>
          <w:lang w:val="en-GB"/>
        </w:rPr>
        <w:t xml:space="preserve">: </w:t>
      </w:r>
      <w:r w:rsidRPr="008D2652">
        <w:rPr>
          <w:rFonts w:ascii="Times New Roman" w:eastAsia="Calibri" w:hAnsi="Times New Roman" w:cs="Times New Roman"/>
          <w:sz w:val="24"/>
          <w:szCs w:val="24"/>
          <w:lang w:val="en-GB"/>
        </w:rPr>
        <w:t>The</w:t>
      </w:r>
      <w:r w:rsidRPr="00437A19">
        <w:rPr>
          <w:rFonts w:ascii="Times New Roman" w:eastAsia="Calibri" w:hAnsi="Times New Roman" w:cs="Times New Roman"/>
          <w:sz w:val="24"/>
          <w:szCs w:val="24"/>
          <w:lang w:val="en-GB"/>
        </w:rPr>
        <w:t xml:space="preserve"> CFA Franc has not fostered economic growth in the Franc zone since its inception, particularly in recent times.</w:t>
      </w:r>
    </w:p>
    <w:p w14:paraId="765808AC" w14:textId="3DCA0663" w:rsidR="000B222C" w:rsidRPr="000B222C" w:rsidRDefault="000B222C" w:rsidP="008A4CF8">
      <w:pPr>
        <w:jc w:val="center"/>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lastRenderedPageBreak/>
        <w:t>LITERATURE REVIEW</w:t>
      </w:r>
    </w:p>
    <w:p w14:paraId="18AD7E73" w14:textId="53D7729F" w:rsidR="000B222C" w:rsidRDefault="000B222C" w:rsidP="000B222C">
      <w:pPr>
        <w:jc w:val="both"/>
        <w:rPr>
          <w:rFonts w:ascii="Times New Roman" w:eastAsia="Calibri" w:hAnsi="Times New Roman" w:cs="Times New Roman"/>
          <w:sz w:val="24"/>
          <w:szCs w:val="24"/>
          <w:lang w:val="en-GB"/>
        </w:rPr>
      </w:pPr>
    </w:p>
    <w:p w14:paraId="5D2081F7" w14:textId="0A92E65C" w:rsidR="00C56821" w:rsidRPr="000B222C" w:rsidRDefault="00C56821" w:rsidP="000B222C">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The theory of currency</w:t>
      </w:r>
    </w:p>
    <w:p w14:paraId="52D8B82D" w14:textId="7B4E0EA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According to Aristode, currency is the property that is at the same time means of payments, unit of account and reserve of values. Moreover, perceived by Hicks (1967), currency is what currency does. Furthermore, currency represents a timeless invention, the traces of which date back to the very birth of humanity and which, surprisingly, is not attributable to any society (Théret, 2008). It is, de facto, a privileged instrument guaranteeing trade. At least it is the universal aspect that it presents since everywhere it acts as operator of social belonging, mediation in the most diverse social exchanges within which it operates as a representative of the social totality (Ibid). However, to limit its definition to this aspect would be to underestimate one of the most complex terms in the economy. Given the multiplicity of these characters, it seems difficult to conceptuali</w:t>
      </w:r>
      <w:r w:rsidR="00C56821">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e it without failing to remove some of these fundamental constituents. This is what Charles Rist (1938) claimed by refusing to comment on a possible definition to be given to the term. For him, to try to give a definition to currency would be to discard so many characteristics of real currencies, that it will no longer represent much interest.</w:t>
      </w:r>
    </w:p>
    <w:p w14:paraId="14BE3B96" w14:textId="77777777" w:rsidR="0052519F" w:rsidRPr="0052519F" w:rsidRDefault="0052519F" w:rsidP="0052519F">
      <w:pPr>
        <w:jc w:val="both"/>
        <w:rPr>
          <w:rFonts w:ascii="Times New Roman" w:eastAsia="Calibri" w:hAnsi="Times New Roman" w:cs="Times New Roman"/>
          <w:sz w:val="24"/>
          <w:szCs w:val="24"/>
          <w:lang w:val="en-GB"/>
        </w:rPr>
      </w:pPr>
      <w:r w:rsidRPr="0052519F">
        <w:rPr>
          <w:rFonts w:ascii="Times New Roman" w:eastAsia="Calibri" w:hAnsi="Times New Roman" w:cs="Times New Roman"/>
          <w:sz w:val="24"/>
          <w:szCs w:val="24"/>
          <w:lang w:val="en-GB"/>
        </w:rPr>
        <w:t>Lacking a universally accepted definition and to maintain logical consistency, this discussion adopts the definition from Diallo (2002), which identifies currency as legal tender, a medium of payment sanctioned by a legal system as valid for settling a financial obligation. Currency typically encompasses both notes and coins, issued by a country's sovereign authority and obligatory for acceptance when offered in repayment of a debt within the jurisdiction of that authority. This definition underscores that a significant aspect of state sovereignty is embodied in its currency. The domestic control of currency thus becomes a fundamental expression of a state's sovereignty. Furthermore, it is a common practice for a state to claim exclusive control over monetary privileges. Globally, states establish their own currencies, exclusively determining their value and deciding on their participation in the foreign exchange market.</w:t>
      </w:r>
    </w:p>
    <w:p w14:paraId="434014AB" w14:textId="4732C3A3" w:rsidR="0052519F" w:rsidRPr="0052519F" w:rsidRDefault="0052519F" w:rsidP="0052519F">
      <w:pPr>
        <w:jc w:val="both"/>
        <w:rPr>
          <w:rFonts w:ascii="Times New Roman" w:eastAsia="Calibri" w:hAnsi="Times New Roman" w:cs="Times New Roman"/>
          <w:sz w:val="24"/>
          <w:szCs w:val="24"/>
          <w:lang w:val="en-GB"/>
        </w:rPr>
      </w:pPr>
      <w:r w:rsidRPr="0052519F">
        <w:rPr>
          <w:rFonts w:ascii="Times New Roman" w:eastAsia="Calibri" w:hAnsi="Times New Roman" w:cs="Times New Roman"/>
          <w:sz w:val="24"/>
          <w:szCs w:val="24"/>
          <w:lang w:val="en-GB"/>
        </w:rPr>
        <w:t>Regarding the CFA</w:t>
      </w:r>
      <w:r w:rsidR="009F44B9">
        <w:rPr>
          <w:rFonts w:ascii="Times New Roman" w:eastAsia="Calibri" w:hAnsi="Times New Roman" w:cs="Times New Roman"/>
          <w:sz w:val="24"/>
          <w:szCs w:val="24"/>
          <w:lang w:val="en-GB"/>
        </w:rPr>
        <w:t xml:space="preserve"> </w:t>
      </w:r>
      <w:r w:rsidRPr="0052519F">
        <w:rPr>
          <w:rFonts w:ascii="Times New Roman" w:eastAsia="Calibri" w:hAnsi="Times New Roman" w:cs="Times New Roman"/>
          <w:sz w:val="24"/>
          <w:szCs w:val="24"/>
          <w:lang w:val="en-GB"/>
        </w:rPr>
        <w:t>F</w:t>
      </w:r>
      <w:r w:rsidR="009F44B9">
        <w:rPr>
          <w:rFonts w:ascii="Times New Roman" w:eastAsia="Calibri" w:hAnsi="Times New Roman" w:cs="Times New Roman"/>
          <w:sz w:val="24"/>
          <w:szCs w:val="24"/>
          <w:lang w:val="en-GB"/>
        </w:rPr>
        <w:t>ranc</w:t>
      </w:r>
      <w:r w:rsidRPr="0052519F">
        <w:rPr>
          <w:rFonts w:ascii="Times New Roman" w:eastAsia="Calibri" w:hAnsi="Times New Roman" w:cs="Times New Roman"/>
          <w:sz w:val="24"/>
          <w:szCs w:val="24"/>
          <w:lang w:val="en-GB"/>
        </w:rPr>
        <w:t>, the scenario is distinct. All fourteen nations utilising this currency have chosen to relinquish its management and entrust it to the treasury of their previous coloniser. However, a nation cannot surrender control of its currency without also ceding a substantial part of its sovereignty (Ibid). Consequently, several authors, identifying as pan-African or neo-pan-African, have portrayed the CFA</w:t>
      </w:r>
      <w:r w:rsidR="009F44B9">
        <w:rPr>
          <w:rFonts w:ascii="Times New Roman" w:eastAsia="Calibri" w:hAnsi="Times New Roman" w:cs="Times New Roman"/>
          <w:sz w:val="24"/>
          <w:szCs w:val="24"/>
          <w:lang w:val="en-GB"/>
        </w:rPr>
        <w:t xml:space="preserve"> </w:t>
      </w:r>
      <w:r w:rsidRPr="0052519F">
        <w:rPr>
          <w:rFonts w:ascii="Times New Roman" w:eastAsia="Calibri" w:hAnsi="Times New Roman" w:cs="Times New Roman"/>
          <w:sz w:val="24"/>
          <w:szCs w:val="24"/>
          <w:lang w:val="en-GB"/>
        </w:rPr>
        <w:t>F</w:t>
      </w:r>
      <w:r w:rsidR="009F44B9">
        <w:rPr>
          <w:rFonts w:ascii="Times New Roman" w:eastAsia="Calibri" w:hAnsi="Times New Roman" w:cs="Times New Roman"/>
          <w:sz w:val="24"/>
          <w:szCs w:val="24"/>
          <w:lang w:val="en-GB"/>
        </w:rPr>
        <w:t>ranc</w:t>
      </w:r>
      <w:r w:rsidRPr="0052519F">
        <w:rPr>
          <w:rFonts w:ascii="Times New Roman" w:eastAsia="Calibri" w:hAnsi="Times New Roman" w:cs="Times New Roman"/>
          <w:sz w:val="24"/>
          <w:szCs w:val="24"/>
          <w:lang w:val="en-GB"/>
        </w:rPr>
        <w:t xml:space="preserve"> as a colonial currency designed to maintain the status quo from 1960. The body of literature on the CFA</w:t>
      </w:r>
      <w:r w:rsidR="009F44B9">
        <w:rPr>
          <w:rFonts w:ascii="Times New Roman" w:eastAsia="Calibri" w:hAnsi="Times New Roman" w:cs="Times New Roman"/>
          <w:sz w:val="24"/>
          <w:szCs w:val="24"/>
          <w:lang w:val="en-GB"/>
        </w:rPr>
        <w:t xml:space="preserve"> </w:t>
      </w:r>
      <w:r w:rsidRPr="0052519F">
        <w:rPr>
          <w:rFonts w:ascii="Times New Roman" w:eastAsia="Calibri" w:hAnsi="Times New Roman" w:cs="Times New Roman"/>
          <w:sz w:val="24"/>
          <w:szCs w:val="24"/>
          <w:lang w:val="en-GB"/>
        </w:rPr>
        <w:t>F</w:t>
      </w:r>
      <w:r w:rsidR="009F44B9">
        <w:rPr>
          <w:rFonts w:ascii="Times New Roman" w:eastAsia="Calibri" w:hAnsi="Times New Roman" w:cs="Times New Roman"/>
          <w:sz w:val="24"/>
          <w:szCs w:val="24"/>
          <w:lang w:val="en-GB"/>
        </w:rPr>
        <w:t>ranc</w:t>
      </w:r>
      <w:r w:rsidRPr="0052519F">
        <w:rPr>
          <w:rFonts w:ascii="Times New Roman" w:eastAsia="Calibri" w:hAnsi="Times New Roman" w:cs="Times New Roman"/>
          <w:sz w:val="24"/>
          <w:szCs w:val="24"/>
          <w:lang w:val="en-GB"/>
        </w:rPr>
        <w:t xml:space="preserve"> is diverse, reflecting the subject's complexity through its multi-disciplinary critiques.</w:t>
      </w:r>
    </w:p>
    <w:p w14:paraId="1E62300A" w14:textId="232DE511" w:rsidR="006211CD" w:rsidRDefault="0052519F" w:rsidP="000B222C">
      <w:pPr>
        <w:jc w:val="both"/>
        <w:rPr>
          <w:rFonts w:ascii="Times New Roman" w:eastAsia="Calibri" w:hAnsi="Times New Roman" w:cs="Times New Roman"/>
          <w:sz w:val="24"/>
          <w:szCs w:val="24"/>
          <w:lang w:val="en-GB"/>
        </w:rPr>
      </w:pPr>
      <w:r w:rsidRPr="0052519F">
        <w:rPr>
          <w:rFonts w:ascii="Times New Roman" w:eastAsia="Calibri" w:hAnsi="Times New Roman" w:cs="Times New Roman"/>
          <w:sz w:val="24"/>
          <w:szCs w:val="24"/>
          <w:lang w:val="en-GB"/>
        </w:rPr>
        <w:t>Economically, the CFA</w:t>
      </w:r>
      <w:r w:rsidR="00EF50A0">
        <w:rPr>
          <w:rFonts w:ascii="Times New Roman" w:eastAsia="Calibri" w:hAnsi="Times New Roman" w:cs="Times New Roman"/>
          <w:sz w:val="24"/>
          <w:szCs w:val="24"/>
          <w:lang w:val="en-GB"/>
        </w:rPr>
        <w:t xml:space="preserve"> </w:t>
      </w:r>
      <w:r w:rsidRPr="0052519F">
        <w:rPr>
          <w:rFonts w:ascii="Times New Roman" w:eastAsia="Calibri" w:hAnsi="Times New Roman" w:cs="Times New Roman"/>
          <w:sz w:val="24"/>
          <w:szCs w:val="24"/>
          <w:lang w:val="en-GB"/>
        </w:rPr>
        <w:t>F</w:t>
      </w:r>
      <w:r w:rsidR="00EF50A0">
        <w:rPr>
          <w:rFonts w:ascii="Times New Roman" w:eastAsia="Calibri" w:hAnsi="Times New Roman" w:cs="Times New Roman"/>
          <w:sz w:val="24"/>
          <w:szCs w:val="24"/>
          <w:lang w:val="en-GB"/>
        </w:rPr>
        <w:t>ranc</w:t>
      </w:r>
      <w:r w:rsidRPr="0052519F">
        <w:rPr>
          <w:rFonts w:ascii="Times New Roman" w:eastAsia="Calibri" w:hAnsi="Times New Roman" w:cs="Times New Roman"/>
          <w:sz w:val="24"/>
          <w:szCs w:val="24"/>
          <w:lang w:val="en-GB"/>
        </w:rPr>
        <w:t xml:space="preserve"> is seen as a factor stalling the economies within its zone (Nubukpo, </w:t>
      </w:r>
      <w:r w:rsidR="00382E0B">
        <w:rPr>
          <w:rFonts w:ascii="Times New Roman" w:eastAsia="Calibri" w:hAnsi="Times New Roman" w:cs="Times New Roman"/>
          <w:sz w:val="24"/>
          <w:szCs w:val="24"/>
          <w:lang w:val="en-GB"/>
        </w:rPr>
        <w:t xml:space="preserve">K. </w:t>
      </w:r>
      <w:r w:rsidRPr="0052519F">
        <w:rPr>
          <w:rFonts w:ascii="Times New Roman" w:eastAsia="Calibri" w:hAnsi="Times New Roman" w:cs="Times New Roman"/>
          <w:sz w:val="24"/>
          <w:szCs w:val="24"/>
          <w:lang w:val="en-GB"/>
        </w:rPr>
        <w:t xml:space="preserve">2015). Proponents of this view have </w:t>
      </w:r>
      <w:r w:rsidR="00372C59" w:rsidRPr="0052519F">
        <w:rPr>
          <w:rFonts w:ascii="Times New Roman" w:eastAsia="Calibri" w:hAnsi="Times New Roman" w:cs="Times New Roman"/>
          <w:sz w:val="24"/>
          <w:szCs w:val="24"/>
          <w:lang w:val="en-GB"/>
        </w:rPr>
        <w:t>levelled</w:t>
      </w:r>
      <w:r w:rsidRPr="0052519F">
        <w:rPr>
          <w:rFonts w:ascii="Times New Roman" w:eastAsia="Calibri" w:hAnsi="Times New Roman" w:cs="Times New Roman"/>
          <w:sz w:val="24"/>
          <w:szCs w:val="24"/>
          <w:lang w:val="en-GB"/>
        </w:rPr>
        <w:t xml:space="preserve"> criticism based on the Optimal Currency Area theory, sparking a debate over the necessity of an Africa-exit.</w:t>
      </w:r>
    </w:p>
    <w:p w14:paraId="6FD9AF87" w14:textId="0431EAB0" w:rsidR="000B222C" w:rsidRPr="006211CD"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b/>
          <w:bCs/>
          <w:sz w:val="24"/>
          <w:szCs w:val="24"/>
          <w:u w:val="single"/>
          <w:lang w:val="en-GB"/>
        </w:rPr>
        <w:lastRenderedPageBreak/>
        <w:t xml:space="preserve">The </w:t>
      </w:r>
      <w:r w:rsidR="00C56821">
        <w:rPr>
          <w:rFonts w:ascii="Times New Roman" w:eastAsia="Calibri" w:hAnsi="Times New Roman" w:cs="Times New Roman"/>
          <w:b/>
          <w:bCs/>
          <w:sz w:val="24"/>
          <w:szCs w:val="24"/>
          <w:u w:val="single"/>
          <w:lang w:val="en-GB"/>
        </w:rPr>
        <w:t xml:space="preserve">theory of the </w:t>
      </w:r>
      <w:r w:rsidRPr="000B222C">
        <w:rPr>
          <w:rFonts w:ascii="Times New Roman" w:eastAsia="Calibri" w:hAnsi="Times New Roman" w:cs="Times New Roman"/>
          <w:b/>
          <w:bCs/>
          <w:sz w:val="24"/>
          <w:szCs w:val="24"/>
          <w:u w:val="single"/>
          <w:lang w:val="en-GB"/>
        </w:rPr>
        <w:t>O</w:t>
      </w:r>
      <w:r w:rsidR="00EF50A0">
        <w:rPr>
          <w:rFonts w:ascii="Times New Roman" w:eastAsia="Calibri" w:hAnsi="Times New Roman" w:cs="Times New Roman"/>
          <w:b/>
          <w:bCs/>
          <w:sz w:val="24"/>
          <w:szCs w:val="24"/>
          <w:u w:val="single"/>
          <w:lang w:val="en-GB"/>
        </w:rPr>
        <w:t xml:space="preserve">ptimal </w:t>
      </w:r>
      <w:r w:rsidR="006211CD">
        <w:rPr>
          <w:rFonts w:ascii="Times New Roman" w:eastAsia="Calibri" w:hAnsi="Times New Roman" w:cs="Times New Roman"/>
          <w:b/>
          <w:bCs/>
          <w:sz w:val="24"/>
          <w:szCs w:val="24"/>
          <w:u w:val="single"/>
          <w:lang w:val="en-GB"/>
        </w:rPr>
        <w:t>C</w:t>
      </w:r>
      <w:r w:rsidR="00EF50A0">
        <w:rPr>
          <w:rFonts w:ascii="Times New Roman" w:eastAsia="Calibri" w:hAnsi="Times New Roman" w:cs="Times New Roman"/>
          <w:b/>
          <w:bCs/>
          <w:sz w:val="24"/>
          <w:szCs w:val="24"/>
          <w:u w:val="single"/>
          <w:lang w:val="en-GB"/>
        </w:rPr>
        <w:t xml:space="preserve">urrency </w:t>
      </w:r>
      <w:r w:rsidR="006211CD">
        <w:rPr>
          <w:rFonts w:ascii="Times New Roman" w:eastAsia="Calibri" w:hAnsi="Times New Roman" w:cs="Times New Roman"/>
          <w:b/>
          <w:bCs/>
          <w:sz w:val="24"/>
          <w:szCs w:val="24"/>
          <w:u w:val="single"/>
          <w:lang w:val="en-GB"/>
        </w:rPr>
        <w:t>A</w:t>
      </w:r>
      <w:r w:rsidR="00EF50A0">
        <w:rPr>
          <w:rFonts w:ascii="Times New Roman" w:eastAsia="Calibri" w:hAnsi="Times New Roman" w:cs="Times New Roman"/>
          <w:b/>
          <w:bCs/>
          <w:sz w:val="24"/>
          <w:szCs w:val="24"/>
          <w:u w:val="single"/>
          <w:lang w:val="en-GB"/>
        </w:rPr>
        <w:t>rea</w:t>
      </w:r>
    </w:p>
    <w:p w14:paraId="5839D845" w14:textId="3599A8B1" w:rsidR="00E90FD0" w:rsidRPr="00E90FD0" w:rsidRDefault="00E90FD0" w:rsidP="00E90FD0">
      <w:pPr>
        <w:jc w:val="both"/>
        <w:rPr>
          <w:rFonts w:ascii="Times New Roman" w:eastAsia="Calibri" w:hAnsi="Times New Roman" w:cs="Times New Roman"/>
          <w:sz w:val="24"/>
          <w:szCs w:val="24"/>
          <w:lang w:val="en-GB"/>
        </w:rPr>
      </w:pPr>
      <w:r w:rsidRPr="00E90FD0">
        <w:rPr>
          <w:rFonts w:ascii="Times New Roman" w:eastAsia="Calibri" w:hAnsi="Times New Roman" w:cs="Times New Roman"/>
          <w:sz w:val="24"/>
          <w:szCs w:val="24"/>
          <w:lang w:val="en-GB"/>
        </w:rPr>
        <w:t xml:space="preserve">The theory, formulated by Robert Mundell in the 1960s and revisited by Ott and Vignolles in 2012, assesses a region's readiness for a monetary union. It uses criteria to evaluate the advantages for nations and multinational entities adopting a shared currency or fixed exchange rate. Mundell asserted in 1961 that the level of benefits each state receives from the union is a crucial factor for a region's optimality. He maintained that if a fixed exchange rate or a common currency provides more benefits than the primary macroeconomic adjustment mechanism, the exchange rate, the region could be considered an Optimal Monetary Zone. He highlighted the necessity of </w:t>
      </w:r>
      <w:r w:rsidR="00481226" w:rsidRPr="00E90FD0">
        <w:rPr>
          <w:rFonts w:ascii="Times New Roman" w:eastAsia="Calibri" w:hAnsi="Times New Roman" w:cs="Times New Roman"/>
          <w:sz w:val="24"/>
          <w:szCs w:val="24"/>
          <w:lang w:val="en-GB"/>
        </w:rPr>
        <w:t>labour</w:t>
      </w:r>
      <w:r w:rsidRPr="00E90FD0">
        <w:rPr>
          <w:rFonts w:ascii="Times New Roman" w:eastAsia="Calibri" w:hAnsi="Times New Roman" w:cs="Times New Roman"/>
          <w:sz w:val="24"/>
          <w:szCs w:val="24"/>
          <w:lang w:val="en-GB"/>
        </w:rPr>
        <w:t xml:space="preserve"> mobility to compensate for the lost opportunity of adjusting the exchange rate.</w:t>
      </w:r>
    </w:p>
    <w:p w14:paraId="3E2AC168" w14:textId="2C662D52" w:rsidR="00E90FD0" w:rsidRPr="00E90FD0" w:rsidRDefault="00E90FD0" w:rsidP="00E90FD0">
      <w:pPr>
        <w:jc w:val="both"/>
        <w:rPr>
          <w:rFonts w:ascii="Times New Roman" w:eastAsia="Calibri" w:hAnsi="Times New Roman" w:cs="Times New Roman"/>
          <w:sz w:val="24"/>
          <w:szCs w:val="24"/>
          <w:lang w:val="en-GB"/>
        </w:rPr>
      </w:pPr>
      <w:r w:rsidRPr="00E90FD0">
        <w:rPr>
          <w:rFonts w:ascii="Times New Roman" w:eastAsia="Calibri" w:hAnsi="Times New Roman" w:cs="Times New Roman"/>
          <w:sz w:val="24"/>
          <w:szCs w:val="24"/>
          <w:lang w:val="en-GB"/>
        </w:rPr>
        <w:t>The O</w:t>
      </w:r>
      <w:r w:rsidR="00DA7552">
        <w:rPr>
          <w:rFonts w:ascii="Times New Roman" w:eastAsia="Calibri" w:hAnsi="Times New Roman" w:cs="Times New Roman"/>
          <w:sz w:val="24"/>
          <w:szCs w:val="24"/>
          <w:lang w:val="en-GB"/>
        </w:rPr>
        <w:t xml:space="preserve">ptimal </w:t>
      </w:r>
      <w:r w:rsidRPr="00E90FD0">
        <w:rPr>
          <w:rFonts w:ascii="Times New Roman" w:eastAsia="Calibri" w:hAnsi="Times New Roman" w:cs="Times New Roman"/>
          <w:sz w:val="24"/>
          <w:szCs w:val="24"/>
          <w:lang w:val="en-GB"/>
        </w:rPr>
        <w:t>M</w:t>
      </w:r>
      <w:r w:rsidR="00DA7552">
        <w:rPr>
          <w:rFonts w:ascii="Times New Roman" w:eastAsia="Calibri" w:hAnsi="Times New Roman" w:cs="Times New Roman"/>
          <w:sz w:val="24"/>
          <w:szCs w:val="24"/>
          <w:lang w:val="en-GB"/>
        </w:rPr>
        <w:t xml:space="preserve">onetary </w:t>
      </w:r>
      <w:r w:rsidRPr="00E90FD0">
        <w:rPr>
          <w:rFonts w:ascii="Times New Roman" w:eastAsia="Calibri" w:hAnsi="Times New Roman" w:cs="Times New Roman"/>
          <w:sz w:val="24"/>
          <w:szCs w:val="24"/>
          <w:lang w:val="en-GB"/>
        </w:rPr>
        <w:t>Z</w:t>
      </w:r>
      <w:r w:rsidR="00DA7552">
        <w:rPr>
          <w:rFonts w:ascii="Times New Roman" w:eastAsia="Calibri" w:hAnsi="Times New Roman" w:cs="Times New Roman"/>
          <w:sz w:val="24"/>
          <w:szCs w:val="24"/>
          <w:lang w:val="en-GB"/>
        </w:rPr>
        <w:t>one</w:t>
      </w:r>
      <w:r w:rsidRPr="00E90FD0">
        <w:rPr>
          <w:rFonts w:ascii="Times New Roman" w:eastAsia="Calibri" w:hAnsi="Times New Roman" w:cs="Times New Roman"/>
          <w:sz w:val="24"/>
          <w:szCs w:val="24"/>
          <w:lang w:val="en-GB"/>
        </w:rPr>
        <w:t xml:space="preserve"> theory, which will be expanded upon by authors following Mundell's lead, includes Mackinnon's 1963 contribution to this traditional line of thought. He broadens the criteria for optimality by introducing the degree of openness—the ratio of exchangeable to non-exchangeable goods—as a crucial factor in the decision to form a monetary union. He also posits that the volume of trade between states should affect this decision. Essentially, the more open a state is, indicated by a higher ratio, the greater the benefits it reaps from a fixed exchange rate regime (Bourginat, 1992). On the other hand, closed states with a lower ratio find more advantage in a flexible exchange rate regime. His reasoning stems from the idea that in an open economy, exchange rate fluctuations can significantly impact the overall price level (Laurent Joye, 2014). These fluctuations can shift the relative prices of tradable and non-exchangeable goods, leading to potential disruptions in resource distribution. Furthermore, in such economies, a fall in the exchange rate that diminishes the demand for external goods would require a significant increase in demand for non-exchangeable goods to sustain the same real income level. This could lead to substantial price and wage adjustments, detrimental to the economy's competitive edge (Ibid). Mackinnon's conclusion is that the more open economies are and the more they engage in trade with each other, the stronger the case for them to form a monetary union, which would provide a buffer against the negative impacts of exchange rate fluctuations.</w:t>
      </w:r>
    </w:p>
    <w:p w14:paraId="094A93AB" w14:textId="7A2F3910" w:rsidR="00E90FD0" w:rsidRPr="00E90FD0" w:rsidRDefault="00E90FD0" w:rsidP="00E90FD0">
      <w:pPr>
        <w:jc w:val="both"/>
        <w:rPr>
          <w:rFonts w:ascii="Times New Roman" w:eastAsia="Calibri" w:hAnsi="Times New Roman" w:cs="Times New Roman"/>
          <w:sz w:val="24"/>
          <w:szCs w:val="24"/>
          <w:lang w:val="en-GB"/>
        </w:rPr>
      </w:pPr>
      <w:r w:rsidRPr="00E90FD0">
        <w:rPr>
          <w:rFonts w:ascii="Times New Roman" w:eastAsia="Calibri" w:hAnsi="Times New Roman" w:cs="Times New Roman"/>
          <w:sz w:val="24"/>
          <w:szCs w:val="24"/>
          <w:lang w:val="en-GB"/>
        </w:rPr>
        <w:t xml:space="preserve">Kenen (1969) posits that a monetary union is feasible when there is significant diversification in the production structures of countries. He critiques Mundell's model (1961) and expands on McKinnon's (1963) work. Kenen contends that factor mobility alone should not determine the suitability of a region for a monetary union, as other factors can compensate for the costs of foregone exchange rate adjustments (Bamba, 2004). His diversification theory is grounded in the </w:t>
      </w:r>
      <w:r w:rsidRPr="00613ABD">
        <w:rPr>
          <w:rFonts w:ascii="Times New Roman" w:eastAsia="Calibri" w:hAnsi="Times New Roman" w:cs="Times New Roman"/>
          <w:i/>
          <w:iCs/>
          <w:sz w:val="24"/>
          <w:szCs w:val="24"/>
          <w:lang w:val="en-GB"/>
        </w:rPr>
        <w:t>Law of Large Numbers</w:t>
      </w:r>
      <w:r w:rsidRPr="00E90FD0">
        <w:rPr>
          <w:rFonts w:ascii="Times New Roman" w:eastAsia="Calibri" w:hAnsi="Times New Roman" w:cs="Times New Roman"/>
          <w:sz w:val="24"/>
          <w:szCs w:val="24"/>
          <w:lang w:val="en-GB"/>
        </w:rPr>
        <w:t xml:space="preserve"> (Kenen, 1998), which he asserts is effective in mitigating macroeconomic disturbances.</w:t>
      </w:r>
    </w:p>
    <w:p w14:paraId="726F9FD8" w14:textId="0D0FB548" w:rsidR="000B222C" w:rsidRDefault="00E90FD0" w:rsidP="00E90FD0">
      <w:pPr>
        <w:jc w:val="both"/>
        <w:rPr>
          <w:rFonts w:ascii="Times New Roman" w:eastAsia="Calibri" w:hAnsi="Times New Roman" w:cs="Times New Roman"/>
          <w:sz w:val="24"/>
          <w:szCs w:val="24"/>
          <w:lang w:val="en-GB"/>
        </w:rPr>
      </w:pPr>
      <w:r w:rsidRPr="00E90FD0">
        <w:rPr>
          <w:rFonts w:ascii="Times New Roman" w:eastAsia="Calibri" w:hAnsi="Times New Roman" w:cs="Times New Roman"/>
          <w:sz w:val="24"/>
          <w:szCs w:val="24"/>
          <w:lang w:val="en-GB"/>
        </w:rPr>
        <w:t xml:space="preserve">Cooper (1977) and Kindleberger (1986) advanced this theory by suggesting that a modern measure of a monetary union's viability is the homogeneity of national preferences. They argue that the alignment of economic preferences among nations, including both consumer choices and </w:t>
      </w:r>
      <w:r w:rsidRPr="00E90FD0">
        <w:rPr>
          <w:rFonts w:ascii="Times New Roman" w:eastAsia="Calibri" w:hAnsi="Times New Roman" w:cs="Times New Roman"/>
          <w:sz w:val="24"/>
          <w:szCs w:val="24"/>
          <w:lang w:val="en-GB"/>
        </w:rPr>
        <w:lastRenderedPageBreak/>
        <w:t>joint economic policies, should gauge the optimality of a currency union. According to Bamba (2004), countries with robust trade relationships and common preferences for private and public goods are more inclined to establish an optimal currency area.</w:t>
      </w:r>
    </w:p>
    <w:p w14:paraId="3ABC5436" w14:textId="77777777" w:rsidR="00A14D52" w:rsidRPr="000B222C" w:rsidRDefault="00A14D52" w:rsidP="00E90FD0">
      <w:pPr>
        <w:jc w:val="both"/>
        <w:rPr>
          <w:rFonts w:ascii="Times New Roman" w:eastAsia="Calibri" w:hAnsi="Times New Roman" w:cs="Times New Roman"/>
          <w:sz w:val="24"/>
          <w:szCs w:val="24"/>
          <w:lang w:val="en-GB"/>
        </w:rPr>
      </w:pPr>
    </w:p>
    <w:p w14:paraId="3F540D84" w14:textId="7D1FAEB0" w:rsidR="000B222C" w:rsidRPr="000B222C" w:rsidRDefault="003816ED" w:rsidP="000B222C">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Limitations</w:t>
      </w:r>
      <w:r w:rsidR="000B222C" w:rsidRPr="000B222C">
        <w:rPr>
          <w:rFonts w:ascii="Times New Roman" w:eastAsia="Calibri" w:hAnsi="Times New Roman" w:cs="Times New Roman"/>
          <w:b/>
          <w:bCs/>
          <w:sz w:val="24"/>
          <w:szCs w:val="24"/>
          <w:u w:val="single"/>
          <w:lang w:val="en-GB"/>
        </w:rPr>
        <w:t xml:space="preserve"> </w:t>
      </w:r>
      <w:r>
        <w:rPr>
          <w:rFonts w:ascii="Times New Roman" w:eastAsia="Calibri" w:hAnsi="Times New Roman" w:cs="Times New Roman"/>
          <w:b/>
          <w:bCs/>
          <w:sz w:val="24"/>
          <w:szCs w:val="24"/>
          <w:u w:val="single"/>
          <w:lang w:val="en-GB"/>
        </w:rPr>
        <w:t>of the theory of the O</w:t>
      </w:r>
      <w:r w:rsidR="00F037E1">
        <w:rPr>
          <w:rFonts w:ascii="Times New Roman" w:eastAsia="Calibri" w:hAnsi="Times New Roman" w:cs="Times New Roman"/>
          <w:b/>
          <w:bCs/>
          <w:sz w:val="24"/>
          <w:szCs w:val="24"/>
          <w:u w:val="single"/>
          <w:lang w:val="en-GB"/>
        </w:rPr>
        <w:t xml:space="preserve">ptimal </w:t>
      </w:r>
      <w:r>
        <w:rPr>
          <w:rFonts w:ascii="Times New Roman" w:eastAsia="Calibri" w:hAnsi="Times New Roman" w:cs="Times New Roman"/>
          <w:b/>
          <w:bCs/>
          <w:sz w:val="24"/>
          <w:szCs w:val="24"/>
          <w:u w:val="single"/>
          <w:lang w:val="en-GB"/>
        </w:rPr>
        <w:t>M</w:t>
      </w:r>
      <w:r w:rsidR="00F037E1">
        <w:rPr>
          <w:rFonts w:ascii="Times New Roman" w:eastAsia="Calibri" w:hAnsi="Times New Roman" w:cs="Times New Roman"/>
          <w:b/>
          <w:bCs/>
          <w:sz w:val="24"/>
          <w:szCs w:val="24"/>
          <w:u w:val="single"/>
          <w:lang w:val="en-GB"/>
        </w:rPr>
        <w:t xml:space="preserve">onetary </w:t>
      </w:r>
      <w:r>
        <w:rPr>
          <w:rFonts w:ascii="Times New Roman" w:eastAsia="Calibri" w:hAnsi="Times New Roman" w:cs="Times New Roman"/>
          <w:b/>
          <w:bCs/>
          <w:sz w:val="24"/>
          <w:szCs w:val="24"/>
          <w:u w:val="single"/>
          <w:lang w:val="en-GB"/>
        </w:rPr>
        <w:t>Z</w:t>
      </w:r>
      <w:r w:rsidR="00F037E1">
        <w:rPr>
          <w:rFonts w:ascii="Times New Roman" w:eastAsia="Calibri" w:hAnsi="Times New Roman" w:cs="Times New Roman"/>
          <w:b/>
          <w:bCs/>
          <w:sz w:val="24"/>
          <w:szCs w:val="24"/>
          <w:u w:val="single"/>
          <w:lang w:val="en-GB"/>
        </w:rPr>
        <w:t>one</w:t>
      </w:r>
    </w:p>
    <w:p w14:paraId="3D012308" w14:textId="306991F3" w:rsidR="00730A8C" w:rsidRPr="00730A8C" w:rsidRDefault="00730A8C" w:rsidP="00730A8C">
      <w:pPr>
        <w:jc w:val="both"/>
        <w:rPr>
          <w:rFonts w:ascii="Times New Roman" w:eastAsia="Calibri" w:hAnsi="Times New Roman" w:cs="Times New Roman"/>
          <w:sz w:val="24"/>
          <w:szCs w:val="24"/>
          <w:lang w:val="en-GB"/>
        </w:rPr>
      </w:pPr>
      <w:r w:rsidRPr="00730A8C">
        <w:rPr>
          <w:rFonts w:ascii="Times New Roman" w:eastAsia="Calibri" w:hAnsi="Times New Roman" w:cs="Times New Roman"/>
          <w:sz w:val="24"/>
          <w:szCs w:val="24"/>
          <w:lang w:val="en-GB"/>
        </w:rPr>
        <w:t>Empirical evidence from the F</w:t>
      </w:r>
      <w:r w:rsidR="00F037E1">
        <w:rPr>
          <w:rFonts w:ascii="Times New Roman" w:eastAsia="Calibri" w:hAnsi="Times New Roman" w:cs="Times New Roman"/>
          <w:sz w:val="24"/>
          <w:szCs w:val="24"/>
          <w:lang w:val="en-GB"/>
        </w:rPr>
        <w:t>ranc zone</w:t>
      </w:r>
      <w:r w:rsidRPr="00730A8C">
        <w:rPr>
          <w:rFonts w:ascii="Times New Roman" w:eastAsia="Calibri" w:hAnsi="Times New Roman" w:cs="Times New Roman"/>
          <w:sz w:val="24"/>
          <w:szCs w:val="24"/>
          <w:lang w:val="en-GB"/>
        </w:rPr>
        <w:t xml:space="preserve"> indicates a lack of genuine mobility of production factors within the region, as shown by certain economists (Ondo Ossa, 2000). They argue that insufficient legislation and regulations hinder labo</w:t>
      </w:r>
      <w:r w:rsidR="00481226">
        <w:rPr>
          <w:rFonts w:ascii="Times New Roman" w:eastAsia="Calibri" w:hAnsi="Times New Roman" w:cs="Times New Roman"/>
          <w:sz w:val="24"/>
          <w:szCs w:val="24"/>
          <w:lang w:val="en-GB"/>
        </w:rPr>
        <w:t>u</w:t>
      </w:r>
      <w:r w:rsidRPr="00730A8C">
        <w:rPr>
          <w:rFonts w:ascii="Times New Roman" w:eastAsia="Calibri" w:hAnsi="Times New Roman" w:cs="Times New Roman"/>
          <w:sz w:val="24"/>
          <w:szCs w:val="24"/>
          <w:lang w:val="en-GB"/>
        </w:rPr>
        <w:t>r mobility (Nubukpo, 2013). This contrasts with Musugaie (2010), who takes a broader view of labo</w:t>
      </w:r>
      <w:r w:rsidR="00481226">
        <w:rPr>
          <w:rFonts w:ascii="Times New Roman" w:eastAsia="Calibri" w:hAnsi="Times New Roman" w:cs="Times New Roman"/>
          <w:sz w:val="24"/>
          <w:szCs w:val="24"/>
          <w:lang w:val="en-GB"/>
        </w:rPr>
        <w:t>u</w:t>
      </w:r>
      <w:r w:rsidRPr="00730A8C">
        <w:rPr>
          <w:rFonts w:ascii="Times New Roman" w:eastAsia="Calibri" w:hAnsi="Times New Roman" w:cs="Times New Roman"/>
          <w:sz w:val="24"/>
          <w:szCs w:val="24"/>
          <w:lang w:val="en-GB"/>
        </w:rPr>
        <w:t>r mobility, concluding that the F</w:t>
      </w:r>
      <w:r w:rsidR="00F037E1">
        <w:rPr>
          <w:rFonts w:ascii="Times New Roman" w:eastAsia="Calibri" w:hAnsi="Times New Roman" w:cs="Times New Roman"/>
          <w:sz w:val="24"/>
          <w:szCs w:val="24"/>
          <w:lang w:val="en-GB"/>
        </w:rPr>
        <w:t>ranc zone</w:t>
      </w:r>
      <w:r w:rsidRPr="00730A8C">
        <w:rPr>
          <w:rFonts w:ascii="Times New Roman" w:eastAsia="Calibri" w:hAnsi="Times New Roman" w:cs="Times New Roman"/>
          <w:sz w:val="24"/>
          <w:szCs w:val="24"/>
          <w:lang w:val="en-GB"/>
        </w:rPr>
        <w:t xml:space="preserve"> only partially and unsatisfactorily meets the mobility criterion, despite significant mobility in West Africa. He also notes that military conflicts, social and political unrest, and economic changes, along with bureaucratic barriers, obstruct this mobility (Ibid). </w:t>
      </w:r>
    </w:p>
    <w:p w14:paraId="57FA2EB8" w14:textId="67F037BE" w:rsidR="00730A8C" w:rsidRPr="00730A8C" w:rsidRDefault="00730A8C" w:rsidP="00730A8C">
      <w:pPr>
        <w:jc w:val="both"/>
        <w:rPr>
          <w:rFonts w:ascii="Times New Roman" w:eastAsia="Calibri" w:hAnsi="Times New Roman" w:cs="Times New Roman"/>
          <w:sz w:val="24"/>
          <w:szCs w:val="24"/>
          <w:lang w:val="en-GB"/>
        </w:rPr>
      </w:pPr>
      <w:r w:rsidRPr="00730A8C">
        <w:rPr>
          <w:rFonts w:ascii="Times New Roman" w:eastAsia="Calibri" w:hAnsi="Times New Roman" w:cs="Times New Roman"/>
          <w:sz w:val="24"/>
          <w:szCs w:val="24"/>
          <w:lang w:val="en-GB"/>
        </w:rPr>
        <w:t>The McKinnon model, when applied to the F</w:t>
      </w:r>
      <w:r w:rsidR="00F037E1">
        <w:rPr>
          <w:rFonts w:ascii="Times New Roman" w:eastAsia="Calibri" w:hAnsi="Times New Roman" w:cs="Times New Roman"/>
          <w:sz w:val="24"/>
          <w:szCs w:val="24"/>
          <w:lang w:val="en-GB"/>
        </w:rPr>
        <w:t>ranc zone</w:t>
      </w:r>
      <w:r w:rsidRPr="00730A8C">
        <w:rPr>
          <w:rFonts w:ascii="Times New Roman" w:eastAsia="Calibri" w:hAnsi="Times New Roman" w:cs="Times New Roman"/>
          <w:sz w:val="24"/>
          <w:szCs w:val="24"/>
          <w:lang w:val="en-GB"/>
        </w:rPr>
        <w:t>, suggests incompatibility. Ondo Ossa (2000) showed that the ratios of external trade to GDP and intra-zonal trade to external trade were low between 1995 and 1996, before the Euro's introduction, advocating for a flexible exchange rate. Diop (2017) observed that the F</w:t>
      </w:r>
      <w:r w:rsidR="005C0D4F">
        <w:rPr>
          <w:rFonts w:ascii="Times New Roman" w:eastAsia="Calibri" w:hAnsi="Times New Roman" w:cs="Times New Roman"/>
          <w:sz w:val="24"/>
          <w:szCs w:val="24"/>
          <w:lang w:val="en-GB"/>
        </w:rPr>
        <w:t>ranc zone</w:t>
      </w:r>
      <w:r w:rsidRPr="00730A8C">
        <w:rPr>
          <w:rFonts w:ascii="Times New Roman" w:eastAsia="Calibri" w:hAnsi="Times New Roman" w:cs="Times New Roman"/>
          <w:sz w:val="24"/>
          <w:szCs w:val="24"/>
          <w:lang w:val="en-GB"/>
        </w:rPr>
        <w:t xml:space="preserve">'s homogenous productive structures result in a lack of export diversification, hindering intra-regional trade development. Kenkouo (2014) examined the effects of external shocks on </w:t>
      </w:r>
      <w:r w:rsidR="005C0D4F" w:rsidRPr="005C0D4F">
        <w:rPr>
          <w:rFonts w:ascii="Times New Roman" w:eastAsia="Calibri" w:hAnsi="Times New Roman" w:cs="Times New Roman"/>
          <w:sz w:val="24"/>
          <w:szCs w:val="24"/>
          <w:lang w:val="en-GB"/>
        </w:rPr>
        <w:t>the Central African Economic and Monetary Union</w:t>
      </w:r>
      <w:r w:rsidRPr="00730A8C">
        <w:rPr>
          <w:rFonts w:ascii="Times New Roman" w:eastAsia="Calibri" w:hAnsi="Times New Roman" w:cs="Times New Roman"/>
          <w:sz w:val="24"/>
          <w:szCs w:val="24"/>
          <w:lang w:val="en-GB"/>
        </w:rPr>
        <w:t xml:space="preserve"> economies, particularly inflation driven by oil production and exports, finding that short-term global oil price increases had minimal impact on the region. </w:t>
      </w:r>
    </w:p>
    <w:p w14:paraId="0B5FB242" w14:textId="1A6D1A13" w:rsidR="00730A8C" w:rsidRDefault="00730A8C" w:rsidP="00730A8C">
      <w:pPr>
        <w:jc w:val="both"/>
        <w:rPr>
          <w:rFonts w:ascii="Times New Roman" w:eastAsia="Calibri" w:hAnsi="Times New Roman" w:cs="Times New Roman"/>
          <w:sz w:val="24"/>
          <w:szCs w:val="24"/>
          <w:lang w:val="en-GB"/>
        </w:rPr>
      </w:pPr>
      <w:r w:rsidRPr="00730A8C">
        <w:rPr>
          <w:rFonts w:ascii="Times New Roman" w:eastAsia="Calibri" w:hAnsi="Times New Roman" w:cs="Times New Roman"/>
          <w:sz w:val="24"/>
          <w:szCs w:val="24"/>
          <w:lang w:val="en-GB"/>
        </w:rPr>
        <w:t xml:space="preserve">In the long term, however, inflation is expected to spread throughout the region. Guillaumont and Jeanneney (2017) studied the effects of a reverse shock, supporting their theory with empirical research on the </w:t>
      </w:r>
      <w:r w:rsidR="002D0FA6" w:rsidRPr="002D0FA6">
        <w:rPr>
          <w:rFonts w:ascii="Times New Roman" w:eastAsia="Calibri" w:hAnsi="Times New Roman" w:cs="Times New Roman"/>
          <w:sz w:val="24"/>
          <w:szCs w:val="24"/>
          <w:lang w:val="en-GB"/>
        </w:rPr>
        <w:t>Central African Economic and Monetary Union</w:t>
      </w:r>
      <w:r w:rsidRPr="00730A8C">
        <w:rPr>
          <w:rFonts w:ascii="Times New Roman" w:eastAsia="Calibri" w:hAnsi="Times New Roman" w:cs="Times New Roman"/>
          <w:sz w:val="24"/>
          <w:szCs w:val="24"/>
          <w:lang w:val="en-GB"/>
        </w:rPr>
        <w:t xml:space="preserve"> countries.</w:t>
      </w:r>
    </w:p>
    <w:p w14:paraId="162DBF87" w14:textId="77777777" w:rsidR="006C782B" w:rsidRDefault="006C782B" w:rsidP="00730A8C">
      <w:pPr>
        <w:jc w:val="both"/>
        <w:rPr>
          <w:rFonts w:ascii="Times New Roman" w:eastAsia="Calibri" w:hAnsi="Times New Roman" w:cs="Times New Roman"/>
          <w:sz w:val="24"/>
          <w:szCs w:val="24"/>
          <w:lang w:val="en-GB"/>
        </w:rPr>
      </w:pPr>
    </w:p>
    <w:p w14:paraId="27D2E9EA" w14:textId="77777777" w:rsidR="00C403CA" w:rsidRDefault="009B5CB0" w:rsidP="000B222C">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 xml:space="preserve">The theory of neo-colonialism </w:t>
      </w:r>
    </w:p>
    <w:p w14:paraId="3F0B10EC" w14:textId="37121529" w:rsidR="00C403CA" w:rsidRPr="00C403CA" w:rsidRDefault="00C403CA" w:rsidP="00C403CA">
      <w:pPr>
        <w:jc w:val="both"/>
        <w:rPr>
          <w:rFonts w:ascii="Times New Roman" w:eastAsia="Calibri" w:hAnsi="Times New Roman" w:cs="Times New Roman"/>
          <w:sz w:val="24"/>
          <w:szCs w:val="24"/>
          <w:lang w:val="en-GB"/>
        </w:rPr>
      </w:pPr>
      <w:r w:rsidRPr="00C403CA">
        <w:rPr>
          <w:rFonts w:ascii="Times New Roman" w:eastAsia="Calibri" w:hAnsi="Times New Roman" w:cs="Times New Roman"/>
          <w:sz w:val="24"/>
          <w:szCs w:val="24"/>
          <w:lang w:val="en-GB"/>
        </w:rPr>
        <w:t xml:space="preserve">The term </w:t>
      </w:r>
      <w:r w:rsidR="006420FA" w:rsidRPr="006420FA">
        <w:rPr>
          <w:rFonts w:ascii="Times New Roman" w:eastAsia="Calibri" w:hAnsi="Times New Roman" w:cs="Times New Roman"/>
          <w:i/>
          <w:iCs/>
          <w:sz w:val="24"/>
          <w:szCs w:val="24"/>
          <w:lang w:val="en-GB"/>
        </w:rPr>
        <w:t>“</w:t>
      </w:r>
      <w:r w:rsidRPr="006420FA">
        <w:rPr>
          <w:rFonts w:ascii="Times New Roman" w:eastAsia="Calibri" w:hAnsi="Times New Roman" w:cs="Times New Roman"/>
          <w:i/>
          <w:iCs/>
          <w:sz w:val="24"/>
          <w:szCs w:val="24"/>
          <w:lang w:val="en-GB"/>
        </w:rPr>
        <w:t>France-Africa</w:t>
      </w:r>
      <w:r w:rsidR="009B7017" w:rsidRPr="006420FA">
        <w:rPr>
          <w:rFonts w:ascii="Times New Roman" w:eastAsia="Calibri" w:hAnsi="Times New Roman" w:cs="Times New Roman"/>
          <w:i/>
          <w:iCs/>
          <w:sz w:val="24"/>
          <w:szCs w:val="24"/>
          <w:lang w:val="en-GB"/>
        </w:rPr>
        <w:t>”</w:t>
      </w:r>
      <w:r w:rsidRPr="00C403CA">
        <w:rPr>
          <w:rFonts w:ascii="Times New Roman" w:eastAsia="Calibri" w:hAnsi="Times New Roman" w:cs="Times New Roman"/>
          <w:sz w:val="24"/>
          <w:szCs w:val="24"/>
          <w:lang w:val="en-GB"/>
        </w:rPr>
        <w:t xml:space="preserve"> epitomi</w:t>
      </w:r>
      <w:r w:rsidR="000129BB">
        <w:rPr>
          <w:rFonts w:ascii="Times New Roman" w:eastAsia="Calibri" w:hAnsi="Times New Roman" w:cs="Times New Roman"/>
          <w:sz w:val="24"/>
          <w:szCs w:val="24"/>
          <w:lang w:val="en-GB"/>
        </w:rPr>
        <w:t>s</w:t>
      </w:r>
      <w:r w:rsidRPr="00C403CA">
        <w:rPr>
          <w:rFonts w:ascii="Times New Roman" w:eastAsia="Calibri" w:hAnsi="Times New Roman" w:cs="Times New Roman"/>
          <w:sz w:val="24"/>
          <w:szCs w:val="24"/>
          <w:lang w:val="en-GB"/>
        </w:rPr>
        <w:t xml:space="preserve">es the complex and evolving relationship between France and its former colonies, which were on the brink of inevitable independence. This transitioned from the direct control by the metropolis over its colonies to a collaborative form of domination, with independence still tethered to the motherland. </w:t>
      </w:r>
      <w:r w:rsidR="006420FA" w:rsidRPr="00EF4EA7">
        <w:rPr>
          <w:rFonts w:ascii="Times New Roman" w:eastAsia="Calibri" w:hAnsi="Times New Roman" w:cs="Times New Roman"/>
          <w:i/>
          <w:iCs/>
          <w:sz w:val="24"/>
          <w:szCs w:val="24"/>
          <w:lang w:val="en-GB"/>
        </w:rPr>
        <w:t>“</w:t>
      </w:r>
      <w:r w:rsidRPr="00EF4EA7">
        <w:rPr>
          <w:rFonts w:ascii="Times New Roman" w:eastAsia="Calibri" w:hAnsi="Times New Roman" w:cs="Times New Roman"/>
          <w:i/>
          <w:iCs/>
          <w:sz w:val="24"/>
          <w:szCs w:val="24"/>
          <w:lang w:val="en-GB"/>
        </w:rPr>
        <w:t>France-Africa</w:t>
      </w:r>
      <w:r w:rsidR="006420FA" w:rsidRPr="00EF4EA7">
        <w:rPr>
          <w:rFonts w:ascii="Times New Roman" w:eastAsia="Calibri" w:hAnsi="Times New Roman" w:cs="Times New Roman"/>
          <w:i/>
          <w:iCs/>
          <w:sz w:val="24"/>
          <w:szCs w:val="24"/>
          <w:lang w:val="en-GB"/>
        </w:rPr>
        <w:t>”</w:t>
      </w:r>
      <w:r w:rsidRPr="00C403CA">
        <w:rPr>
          <w:rFonts w:ascii="Times New Roman" w:eastAsia="Calibri" w:hAnsi="Times New Roman" w:cs="Times New Roman"/>
          <w:sz w:val="24"/>
          <w:szCs w:val="24"/>
          <w:lang w:val="en-GB"/>
        </w:rPr>
        <w:t xml:space="preserve"> signifies the unseen bond that persists between France and its ex-colonies, a byproduct of colonial detachment initiated at the dawn of their independence in 1960. Traditionally overseen by the legendary African cell of the Élysée, which lacked legal status (Gounin, </w:t>
      </w:r>
      <w:r w:rsidR="0033001F">
        <w:rPr>
          <w:rFonts w:ascii="Times New Roman" w:eastAsia="Calibri" w:hAnsi="Times New Roman" w:cs="Times New Roman"/>
          <w:sz w:val="24"/>
          <w:szCs w:val="24"/>
          <w:lang w:val="en-GB"/>
        </w:rPr>
        <w:t>Y</w:t>
      </w:r>
      <w:r w:rsidR="00250032">
        <w:rPr>
          <w:rFonts w:ascii="Times New Roman" w:eastAsia="Calibri" w:hAnsi="Times New Roman" w:cs="Times New Roman"/>
          <w:sz w:val="24"/>
          <w:szCs w:val="24"/>
          <w:lang w:val="en-GB"/>
        </w:rPr>
        <w:t xml:space="preserve">. </w:t>
      </w:r>
      <w:r w:rsidRPr="00C403CA">
        <w:rPr>
          <w:rFonts w:ascii="Times New Roman" w:eastAsia="Calibri" w:hAnsi="Times New Roman" w:cs="Times New Roman"/>
          <w:sz w:val="24"/>
          <w:szCs w:val="24"/>
          <w:lang w:val="en-GB"/>
        </w:rPr>
        <w:t xml:space="preserve">2009), it was under Jacques Foccart, the renowned </w:t>
      </w:r>
      <w:r w:rsidR="006420FA" w:rsidRPr="006420FA">
        <w:rPr>
          <w:rFonts w:ascii="Times New Roman" w:eastAsia="Calibri" w:hAnsi="Times New Roman" w:cs="Times New Roman"/>
          <w:i/>
          <w:iCs/>
          <w:sz w:val="24"/>
          <w:szCs w:val="24"/>
          <w:lang w:val="en-GB"/>
        </w:rPr>
        <w:t>“</w:t>
      </w:r>
      <w:r w:rsidRPr="006420FA">
        <w:rPr>
          <w:rFonts w:ascii="Times New Roman" w:eastAsia="Calibri" w:hAnsi="Times New Roman" w:cs="Times New Roman"/>
          <w:i/>
          <w:iCs/>
          <w:sz w:val="24"/>
          <w:szCs w:val="24"/>
          <w:lang w:val="en-GB"/>
        </w:rPr>
        <w:t>Mr. Africa,</w:t>
      </w:r>
      <w:r w:rsidR="006420FA" w:rsidRPr="006420FA">
        <w:rPr>
          <w:rFonts w:ascii="Times New Roman" w:eastAsia="Calibri" w:hAnsi="Times New Roman" w:cs="Times New Roman"/>
          <w:i/>
          <w:iCs/>
          <w:sz w:val="24"/>
          <w:szCs w:val="24"/>
          <w:lang w:val="en-GB"/>
        </w:rPr>
        <w:t>”</w:t>
      </w:r>
      <w:r w:rsidRPr="00C403CA">
        <w:rPr>
          <w:rFonts w:ascii="Times New Roman" w:eastAsia="Calibri" w:hAnsi="Times New Roman" w:cs="Times New Roman"/>
          <w:sz w:val="24"/>
          <w:szCs w:val="24"/>
          <w:lang w:val="en-GB"/>
        </w:rPr>
        <w:t xml:space="preserve"> that this cell became instrumental in shaping France's policy towards Africa.</w:t>
      </w:r>
    </w:p>
    <w:p w14:paraId="3B81C468" w14:textId="1CB0BC3B" w:rsidR="00C403CA" w:rsidRPr="00C403CA" w:rsidRDefault="00C403CA" w:rsidP="00C403CA">
      <w:pPr>
        <w:jc w:val="both"/>
        <w:rPr>
          <w:rFonts w:ascii="Times New Roman" w:eastAsia="Calibri" w:hAnsi="Times New Roman" w:cs="Times New Roman"/>
          <w:sz w:val="24"/>
          <w:szCs w:val="24"/>
          <w:lang w:val="en-GB"/>
        </w:rPr>
      </w:pPr>
      <w:r w:rsidRPr="00C403CA">
        <w:rPr>
          <w:rFonts w:ascii="Times New Roman" w:eastAsia="Calibri" w:hAnsi="Times New Roman" w:cs="Times New Roman"/>
          <w:sz w:val="24"/>
          <w:szCs w:val="24"/>
          <w:lang w:val="en-GB"/>
        </w:rPr>
        <w:lastRenderedPageBreak/>
        <w:t>The rationale for this term was to maintain the old colonial hierarchy, which was predominantly advantageous to France, while ensuring that the elites of these decoloni</w:t>
      </w:r>
      <w:r w:rsidR="004450EA">
        <w:rPr>
          <w:rFonts w:ascii="Times New Roman" w:eastAsia="Calibri" w:hAnsi="Times New Roman" w:cs="Times New Roman"/>
          <w:sz w:val="24"/>
          <w:szCs w:val="24"/>
          <w:lang w:val="en-GB"/>
        </w:rPr>
        <w:t>s</w:t>
      </w:r>
      <w:r w:rsidRPr="00C403CA">
        <w:rPr>
          <w:rFonts w:ascii="Times New Roman" w:eastAsia="Calibri" w:hAnsi="Times New Roman" w:cs="Times New Roman"/>
          <w:sz w:val="24"/>
          <w:szCs w:val="24"/>
          <w:lang w:val="en-GB"/>
        </w:rPr>
        <w:t xml:space="preserve">ed nations had a share in the national cake. </w:t>
      </w:r>
      <w:r w:rsidR="00C24CC3">
        <w:rPr>
          <w:rFonts w:ascii="Times New Roman" w:eastAsia="Calibri" w:hAnsi="Times New Roman" w:cs="Times New Roman"/>
          <w:i/>
          <w:iCs/>
          <w:sz w:val="24"/>
          <w:szCs w:val="24"/>
          <w:lang w:val="en-GB"/>
        </w:rPr>
        <w:t>“</w:t>
      </w:r>
      <w:r w:rsidRPr="004450EA">
        <w:rPr>
          <w:rFonts w:ascii="Times New Roman" w:eastAsia="Calibri" w:hAnsi="Times New Roman" w:cs="Times New Roman"/>
          <w:i/>
          <w:iCs/>
          <w:sz w:val="24"/>
          <w:szCs w:val="24"/>
          <w:lang w:val="en-GB"/>
        </w:rPr>
        <w:t>Access to the State as a prerequisite for direct access to economic resources</w:t>
      </w:r>
      <w:r w:rsidR="00C24CC3">
        <w:rPr>
          <w:rFonts w:ascii="Times New Roman" w:eastAsia="Calibri" w:hAnsi="Times New Roman" w:cs="Times New Roman"/>
          <w:i/>
          <w:iCs/>
          <w:sz w:val="24"/>
          <w:szCs w:val="24"/>
          <w:lang w:val="en-GB"/>
        </w:rPr>
        <w:t xml:space="preserve">” </w:t>
      </w:r>
      <w:r w:rsidRPr="00C403CA">
        <w:rPr>
          <w:rFonts w:ascii="Times New Roman" w:eastAsia="Calibri" w:hAnsi="Times New Roman" w:cs="Times New Roman"/>
          <w:sz w:val="24"/>
          <w:szCs w:val="24"/>
          <w:lang w:val="en-GB"/>
        </w:rPr>
        <w:t>(Médard</w:t>
      </w:r>
      <w:r w:rsidR="00691B6A">
        <w:rPr>
          <w:rFonts w:ascii="Times New Roman" w:eastAsia="Calibri" w:hAnsi="Times New Roman" w:cs="Times New Roman"/>
          <w:sz w:val="24"/>
          <w:szCs w:val="24"/>
          <w:lang w:val="en-GB"/>
        </w:rPr>
        <w:t>, J. F</w:t>
      </w:r>
      <w:r w:rsidR="002079F2">
        <w:rPr>
          <w:rFonts w:ascii="Times New Roman" w:eastAsia="Calibri" w:hAnsi="Times New Roman" w:cs="Times New Roman"/>
          <w:sz w:val="24"/>
          <w:szCs w:val="24"/>
          <w:lang w:val="en-GB"/>
        </w:rPr>
        <w:t xml:space="preserve">. </w:t>
      </w:r>
      <w:r w:rsidRPr="00C403CA">
        <w:rPr>
          <w:rFonts w:ascii="Times New Roman" w:eastAsia="Calibri" w:hAnsi="Times New Roman" w:cs="Times New Roman"/>
          <w:sz w:val="24"/>
          <w:szCs w:val="24"/>
          <w:lang w:val="en-GB"/>
        </w:rPr>
        <w:t xml:space="preserve">1990: 93); hence, through Foccart, France installed and removed the leaders of these countries, strictly speaking, based on their alignment with French interests. Consequently, electoral fraud was orchestrated to ensure that the elected president was the candidate preferred by France. Robert </w:t>
      </w:r>
      <w:proofErr w:type="spellStart"/>
      <w:r w:rsidRPr="00C403CA">
        <w:rPr>
          <w:rFonts w:ascii="Times New Roman" w:eastAsia="Calibri" w:hAnsi="Times New Roman" w:cs="Times New Roman"/>
          <w:sz w:val="24"/>
          <w:szCs w:val="24"/>
          <w:lang w:val="en-GB"/>
        </w:rPr>
        <w:t>Bourgi</w:t>
      </w:r>
      <w:proofErr w:type="spellEnd"/>
      <w:r w:rsidRPr="00C403CA">
        <w:rPr>
          <w:rFonts w:ascii="Times New Roman" w:eastAsia="Calibri" w:hAnsi="Times New Roman" w:cs="Times New Roman"/>
          <w:sz w:val="24"/>
          <w:szCs w:val="24"/>
          <w:lang w:val="en-GB"/>
        </w:rPr>
        <w:t xml:space="preserve"> exposed a more secretive aspect of this network, revealing the use of tactics characteristic of clandestine organizations and societies: establishing intelligence networks, assessing the political stances of colonial administrators and officials, and efforts to penetrate the African business sector (Médard, </w:t>
      </w:r>
      <w:r w:rsidR="002079F2">
        <w:rPr>
          <w:rFonts w:ascii="Times New Roman" w:eastAsia="Calibri" w:hAnsi="Times New Roman" w:cs="Times New Roman"/>
          <w:sz w:val="24"/>
          <w:szCs w:val="24"/>
          <w:lang w:val="en-GB"/>
        </w:rPr>
        <w:t xml:space="preserve">J. F. </w:t>
      </w:r>
      <w:r w:rsidRPr="00C403CA">
        <w:rPr>
          <w:rFonts w:ascii="Times New Roman" w:eastAsia="Calibri" w:hAnsi="Times New Roman" w:cs="Times New Roman"/>
          <w:sz w:val="24"/>
          <w:szCs w:val="24"/>
          <w:lang w:val="en-GB"/>
        </w:rPr>
        <w:t>2002).</w:t>
      </w:r>
    </w:p>
    <w:p w14:paraId="6EA3E6C7" w14:textId="374E12D5" w:rsidR="00C403CA" w:rsidRPr="00C403CA" w:rsidRDefault="00C403CA" w:rsidP="00C403CA">
      <w:pPr>
        <w:jc w:val="both"/>
        <w:rPr>
          <w:rFonts w:ascii="Times New Roman" w:eastAsia="Calibri" w:hAnsi="Times New Roman" w:cs="Times New Roman"/>
          <w:sz w:val="24"/>
          <w:szCs w:val="24"/>
          <w:lang w:val="en-GB"/>
        </w:rPr>
      </w:pPr>
      <w:r w:rsidRPr="00C403CA">
        <w:rPr>
          <w:rFonts w:ascii="Times New Roman" w:eastAsia="Calibri" w:hAnsi="Times New Roman" w:cs="Times New Roman"/>
          <w:sz w:val="24"/>
          <w:szCs w:val="24"/>
          <w:lang w:val="en-GB"/>
        </w:rPr>
        <w:t xml:space="preserve">These strategies not only enabled control over the African political landscape but also, more importantly, oversight of all potential markets within it. Consequently, anyone opposing this system was systematically removed in the most severe manner. Thomas Sankara of Burkina Faso experienced this when he chose to align with Gaddafi, who was notably distant from France (Verschave 1999). The </w:t>
      </w:r>
      <w:r w:rsidR="00AF798B" w:rsidRPr="00AF798B">
        <w:rPr>
          <w:rFonts w:ascii="Times New Roman" w:eastAsia="Calibri" w:hAnsi="Times New Roman" w:cs="Times New Roman"/>
          <w:i/>
          <w:iCs/>
          <w:sz w:val="24"/>
          <w:szCs w:val="24"/>
          <w:lang w:val="en-GB"/>
        </w:rPr>
        <w:t>“</w:t>
      </w:r>
      <w:r w:rsidRPr="00AF798B">
        <w:rPr>
          <w:rFonts w:ascii="Times New Roman" w:eastAsia="Calibri" w:hAnsi="Times New Roman" w:cs="Times New Roman"/>
          <w:i/>
          <w:iCs/>
          <w:sz w:val="24"/>
          <w:szCs w:val="24"/>
          <w:lang w:val="en-GB"/>
        </w:rPr>
        <w:t>France-Africa</w:t>
      </w:r>
      <w:r w:rsidR="00AF798B" w:rsidRPr="00AF798B">
        <w:rPr>
          <w:rFonts w:ascii="Times New Roman" w:eastAsia="Calibri" w:hAnsi="Times New Roman" w:cs="Times New Roman"/>
          <w:i/>
          <w:iCs/>
          <w:sz w:val="24"/>
          <w:szCs w:val="24"/>
          <w:lang w:val="en-GB"/>
        </w:rPr>
        <w:t>”</w:t>
      </w:r>
      <w:r w:rsidRPr="00C403CA">
        <w:rPr>
          <w:rFonts w:ascii="Times New Roman" w:eastAsia="Calibri" w:hAnsi="Times New Roman" w:cs="Times New Roman"/>
          <w:sz w:val="24"/>
          <w:szCs w:val="24"/>
          <w:lang w:val="en-GB"/>
        </w:rPr>
        <w:t xml:space="preserve"> power brokers indeed preferred his removal, welcoming his successor into their fold (Ibid). </w:t>
      </w:r>
    </w:p>
    <w:p w14:paraId="7D9054FB" w14:textId="4881DF50" w:rsidR="00C403CA" w:rsidRPr="00C403CA" w:rsidRDefault="00C403CA" w:rsidP="00C403CA">
      <w:pPr>
        <w:jc w:val="both"/>
        <w:rPr>
          <w:rFonts w:ascii="Times New Roman" w:eastAsia="Calibri" w:hAnsi="Times New Roman" w:cs="Times New Roman"/>
          <w:sz w:val="24"/>
          <w:szCs w:val="24"/>
          <w:lang w:val="en-GB"/>
        </w:rPr>
      </w:pPr>
      <w:r w:rsidRPr="00C403CA">
        <w:rPr>
          <w:rFonts w:ascii="Times New Roman" w:eastAsia="Calibri" w:hAnsi="Times New Roman" w:cs="Times New Roman"/>
          <w:sz w:val="24"/>
          <w:szCs w:val="24"/>
          <w:lang w:val="en-GB"/>
        </w:rPr>
        <w:t xml:space="preserve">Given the </w:t>
      </w:r>
      <w:r w:rsidR="002C6439" w:rsidRPr="00C403CA">
        <w:rPr>
          <w:rFonts w:ascii="Times New Roman" w:eastAsia="Calibri" w:hAnsi="Times New Roman" w:cs="Times New Roman"/>
          <w:sz w:val="24"/>
          <w:szCs w:val="24"/>
          <w:lang w:val="en-GB"/>
        </w:rPr>
        <w:t>French</w:t>
      </w:r>
      <w:r w:rsidRPr="00C403CA">
        <w:rPr>
          <w:rFonts w:ascii="Times New Roman" w:eastAsia="Calibri" w:hAnsi="Times New Roman" w:cs="Times New Roman"/>
          <w:sz w:val="24"/>
          <w:szCs w:val="24"/>
          <w:lang w:val="en-GB"/>
        </w:rPr>
        <w:t xml:space="preserve"> interests, it is pertinent to discuss them as they are crucial in understanding France's role in Africa. As a colonial ruler, France's economy was partially developed through the exploitation of inexpensive raw materials and wealth from its controlled territories (Capron, 2009). Thus, the establishment of a French pre-square acted as a continuum, enabling the operation of its economy by procuring raw materials at reduced costs, with a focus on energy sources. Subsequently, numerous economic agreements were established, ensuring that metropolitan </w:t>
      </w:r>
      <w:r w:rsidR="002C6439" w:rsidRPr="00C403CA">
        <w:rPr>
          <w:rFonts w:ascii="Times New Roman" w:eastAsia="Calibri" w:hAnsi="Times New Roman" w:cs="Times New Roman"/>
          <w:sz w:val="24"/>
          <w:szCs w:val="24"/>
          <w:lang w:val="en-GB"/>
        </w:rPr>
        <w:t>companies-maintained</w:t>
      </w:r>
      <w:r w:rsidRPr="00C403CA">
        <w:rPr>
          <w:rFonts w:ascii="Times New Roman" w:eastAsia="Calibri" w:hAnsi="Times New Roman" w:cs="Times New Roman"/>
          <w:sz w:val="24"/>
          <w:szCs w:val="24"/>
          <w:lang w:val="en-GB"/>
        </w:rPr>
        <w:t xml:space="preserve"> control over the market for exploiting such resources (Noirot, </w:t>
      </w:r>
      <w:r w:rsidR="00F53705">
        <w:rPr>
          <w:rFonts w:ascii="Times New Roman" w:eastAsia="Calibri" w:hAnsi="Times New Roman" w:cs="Times New Roman"/>
          <w:sz w:val="24"/>
          <w:szCs w:val="24"/>
          <w:lang w:val="en-GB"/>
        </w:rPr>
        <w:t xml:space="preserve">T. </w:t>
      </w:r>
      <w:r w:rsidRPr="00C403CA">
        <w:rPr>
          <w:rFonts w:ascii="Times New Roman" w:eastAsia="Calibri" w:hAnsi="Times New Roman" w:cs="Times New Roman"/>
          <w:sz w:val="24"/>
          <w:szCs w:val="24"/>
          <w:lang w:val="en-GB"/>
        </w:rPr>
        <w:t>2012). These companies included Elf, AREVA, and CFAO, speciali</w:t>
      </w:r>
      <w:r w:rsidR="002C6439">
        <w:rPr>
          <w:rFonts w:ascii="Times New Roman" w:eastAsia="Calibri" w:hAnsi="Times New Roman" w:cs="Times New Roman"/>
          <w:sz w:val="24"/>
          <w:szCs w:val="24"/>
          <w:lang w:val="en-GB"/>
        </w:rPr>
        <w:t>s</w:t>
      </w:r>
      <w:r w:rsidRPr="00C403CA">
        <w:rPr>
          <w:rFonts w:ascii="Times New Roman" w:eastAsia="Calibri" w:hAnsi="Times New Roman" w:cs="Times New Roman"/>
          <w:sz w:val="24"/>
          <w:szCs w:val="24"/>
          <w:lang w:val="en-GB"/>
        </w:rPr>
        <w:t>ing in the sectors of mining, oil, distribution, and trade.</w:t>
      </w:r>
    </w:p>
    <w:p w14:paraId="50BAFDC8" w14:textId="31500E57" w:rsidR="00C403CA" w:rsidRPr="00C403CA" w:rsidRDefault="00C403CA" w:rsidP="00C403CA">
      <w:pPr>
        <w:jc w:val="both"/>
        <w:rPr>
          <w:rFonts w:ascii="Times New Roman" w:eastAsia="Calibri" w:hAnsi="Times New Roman" w:cs="Times New Roman"/>
          <w:sz w:val="24"/>
          <w:szCs w:val="24"/>
          <w:lang w:val="en-GB"/>
        </w:rPr>
      </w:pPr>
      <w:r w:rsidRPr="00C403CA">
        <w:rPr>
          <w:rFonts w:ascii="Times New Roman" w:eastAsia="Calibri" w:hAnsi="Times New Roman" w:cs="Times New Roman"/>
          <w:sz w:val="24"/>
          <w:szCs w:val="24"/>
          <w:lang w:val="en-GB"/>
        </w:rPr>
        <w:t xml:space="preserve">During this era, economic nationalism flourished, intertwining the triumphs of French corporations with the nation's success (Capron, </w:t>
      </w:r>
      <w:r w:rsidR="00F53705">
        <w:rPr>
          <w:rFonts w:ascii="Times New Roman" w:eastAsia="Calibri" w:hAnsi="Times New Roman" w:cs="Times New Roman"/>
          <w:sz w:val="24"/>
          <w:szCs w:val="24"/>
          <w:lang w:val="en-GB"/>
        </w:rPr>
        <w:t xml:space="preserve">M. </w:t>
      </w:r>
      <w:r w:rsidRPr="00C403CA">
        <w:rPr>
          <w:rFonts w:ascii="Times New Roman" w:eastAsia="Calibri" w:hAnsi="Times New Roman" w:cs="Times New Roman"/>
          <w:sz w:val="24"/>
          <w:szCs w:val="24"/>
          <w:lang w:val="en-GB"/>
        </w:rPr>
        <w:t xml:space="preserve">2009). Amidst the Cold War, the Gaullist Republic sought dominance, viewing its African influence as a strategic asset akin to the atomic bomb (Gounin, </w:t>
      </w:r>
      <w:r w:rsidR="00085CCF">
        <w:rPr>
          <w:rFonts w:ascii="Times New Roman" w:eastAsia="Calibri" w:hAnsi="Times New Roman" w:cs="Times New Roman"/>
          <w:sz w:val="24"/>
          <w:szCs w:val="24"/>
          <w:lang w:val="en-GB"/>
        </w:rPr>
        <w:t xml:space="preserve">Y. </w:t>
      </w:r>
      <w:r w:rsidRPr="00C403CA">
        <w:rPr>
          <w:rFonts w:ascii="Times New Roman" w:eastAsia="Calibri" w:hAnsi="Times New Roman" w:cs="Times New Roman"/>
          <w:sz w:val="24"/>
          <w:szCs w:val="24"/>
          <w:lang w:val="en-GB"/>
        </w:rPr>
        <w:t>2009), a tool for rebalancing global power. The CFA</w:t>
      </w:r>
      <w:r w:rsidR="0032747F">
        <w:rPr>
          <w:rFonts w:ascii="Times New Roman" w:eastAsia="Calibri" w:hAnsi="Times New Roman" w:cs="Times New Roman"/>
          <w:sz w:val="24"/>
          <w:szCs w:val="24"/>
          <w:lang w:val="en-GB"/>
        </w:rPr>
        <w:t>F</w:t>
      </w:r>
      <w:r w:rsidRPr="00C403CA">
        <w:rPr>
          <w:rFonts w:ascii="Times New Roman" w:eastAsia="Calibri" w:hAnsi="Times New Roman" w:cs="Times New Roman"/>
          <w:sz w:val="24"/>
          <w:szCs w:val="24"/>
          <w:lang w:val="en-GB"/>
        </w:rPr>
        <w:t>, pegged first to the French Franc and later the Euro, aimed to curb the influence of other powers in S</w:t>
      </w:r>
      <w:r w:rsidR="0038375C">
        <w:rPr>
          <w:rFonts w:ascii="Times New Roman" w:eastAsia="Calibri" w:hAnsi="Times New Roman" w:cs="Times New Roman"/>
          <w:sz w:val="24"/>
          <w:szCs w:val="24"/>
          <w:lang w:val="en-GB"/>
        </w:rPr>
        <w:t>ub-</w:t>
      </w:r>
      <w:r w:rsidRPr="00C403CA">
        <w:rPr>
          <w:rFonts w:ascii="Times New Roman" w:eastAsia="Calibri" w:hAnsi="Times New Roman" w:cs="Times New Roman"/>
          <w:sz w:val="24"/>
          <w:szCs w:val="24"/>
          <w:lang w:val="en-GB"/>
        </w:rPr>
        <w:t>S</w:t>
      </w:r>
      <w:r w:rsidR="00C43763">
        <w:rPr>
          <w:rFonts w:ascii="Times New Roman" w:eastAsia="Calibri" w:hAnsi="Times New Roman" w:cs="Times New Roman"/>
          <w:sz w:val="24"/>
          <w:szCs w:val="24"/>
          <w:lang w:val="en-GB"/>
        </w:rPr>
        <w:t xml:space="preserve">aharan </w:t>
      </w:r>
      <w:r w:rsidRPr="00C403CA">
        <w:rPr>
          <w:rFonts w:ascii="Times New Roman" w:eastAsia="Calibri" w:hAnsi="Times New Roman" w:cs="Times New Roman"/>
          <w:sz w:val="24"/>
          <w:szCs w:val="24"/>
          <w:lang w:val="en-GB"/>
        </w:rPr>
        <w:t>A</w:t>
      </w:r>
      <w:r w:rsidR="00C43763">
        <w:rPr>
          <w:rFonts w:ascii="Times New Roman" w:eastAsia="Calibri" w:hAnsi="Times New Roman" w:cs="Times New Roman"/>
          <w:sz w:val="24"/>
          <w:szCs w:val="24"/>
          <w:lang w:val="en-GB"/>
        </w:rPr>
        <w:t>frica</w:t>
      </w:r>
      <w:r w:rsidRPr="00C403CA">
        <w:rPr>
          <w:rFonts w:ascii="Times New Roman" w:eastAsia="Calibri" w:hAnsi="Times New Roman" w:cs="Times New Roman"/>
          <w:sz w:val="24"/>
          <w:szCs w:val="24"/>
          <w:lang w:val="en-GB"/>
        </w:rPr>
        <w:t xml:space="preserve"> (Migani, </w:t>
      </w:r>
      <w:r w:rsidR="00F53705">
        <w:rPr>
          <w:rFonts w:ascii="Times New Roman" w:eastAsia="Calibri" w:hAnsi="Times New Roman" w:cs="Times New Roman"/>
          <w:sz w:val="24"/>
          <w:szCs w:val="24"/>
          <w:lang w:val="en-GB"/>
        </w:rPr>
        <w:t xml:space="preserve">G. </w:t>
      </w:r>
      <w:r w:rsidRPr="00C403CA">
        <w:rPr>
          <w:rFonts w:ascii="Times New Roman" w:eastAsia="Calibri" w:hAnsi="Times New Roman" w:cs="Times New Roman"/>
          <w:sz w:val="24"/>
          <w:szCs w:val="24"/>
          <w:lang w:val="en-GB"/>
        </w:rPr>
        <w:t>2012).</w:t>
      </w:r>
    </w:p>
    <w:p w14:paraId="2410D1DD" w14:textId="3EDE9BA7" w:rsidR="00396671" w:rsidRDefault="00C403CA" w:rsidP="000B222C">
      <w:pPr>
        <w:jc w:val="both"/>
        <w:rPr>
          <w:rFonts w:ascii="Times New Roman" w:eastAsia="Calibri" w:hAnsi="Times New Roman" w:cs="Times New Roman"/>
          <w:sz w:val="24"/>
          <w:szCs w:val="24"/>
          <w:lang w:val="en-GB"/>
        </w:rPr>
      </w:pPr>
      <w:r w:rsidRPr="00C403CA">
        <w:rPr>
          <w:rFonts w:ascii="Times New Roman" w:eastAsia="Calibri" w:hAnsi="Times New Roman" w:cs="Times New Roman"/>
          <w:sz w:val="24"/>
          <w:szCs w:val="24"/>
          <w:lang w:val="en-GB"/>
        </w:rPr>
        <w:t>Furthermore, this currency offered French firms a competitive edge, as countries within the F</w:t>
      </w:r>
      <w:r w:rsidR="00C43763">
        <w:rPr>
          <w:rFonts w:ascii="Times New Roman" w:eastAsia="Calibri" w:hAnsi="Times New Roman" w:cs="Times New Roman"/>
          <w:sz w:val="24"/>
          <w:szCs w:val="24"/>
          <w:lang w:val="en-GB"/>
        </w:rPr>
        <w:t>ranc zone</w:t>
      </w:r>
      <w:r w:rsidRPr="00C403CA">
        <w:rPr>
          <w:rFonts w:ascii="Times New Roman" w:eastAsia="Calibri" w:hAnsi="Times New Roman" w:cs="Times New Roman"/>
          <w:sz w:val="24"/>
          <w:szCs w:val="24"/>
          <w:lang w:val="en-GB"/>
        </w:rPr>
        <w:t xml:space="preserve"> prioritized them for international orders. Described by Noirot (2012) as a straitjacket, it effectively granted French businesses a monopoly in African markets. French economic nationalism blurred the lines between corporate and national success and was intolerant of foreign firms gaining an upper hand. Such scenarios were seen as assaults on national sovereignty, prompting governmental countermeasures reminiscent of Thomas Sankara's approach. In the 1990s, French companies expanded in Africa, leveraging structural adjustment </w:t>
      </w:r>
      <w:r w:rsidRPr="00C403CA">
        <w:rPr>
          <w:rFonts w:ascii="Times New Roman" w:eastAsia="Calibri" w:hAnsi="Times New Roman" w:cs="Times New Roman"/>
          <w:sz w:val="24"/>
          <w:szCs w:val="24"/>
          <w:lang w:val="en-GB"/>
        </w:rPr>
        <w:lastRenderedPageBreak/>
        <w:t>programs initiated by Bretton Woods institutions to cement their presence. The privati</w:t>
      </w:r>
      <w:r w:rsidR="00812C71">
        <w:rPr>
          <w:rFonts w:ascii="Times New Roman" w:eastAsia="Calibri" w:hAnsi="Times New Roman" w:cs="Times New Roman"/>
          <w:sz w:val="24"/>
          <w:szCs w:val="24"/>
          <w:lang w:val="en-GB"/>
        </w:rPr>
        <w:t>s</w:t>
      </w:r>
      <w:r w:rsidRPr="00C403CA">
        <w:rPr>
          <w:rFonts w:ascii="Times New Roman" w:eastAsia="Calibri" w:hAnsi="Times New Roman" w:cs="Times New Roman"/>
          <w:sz w:val="24"/>
          <w:szCs w:val="24"/>
          <w:lang w:val="en-GB"/>
        </w:rPr>
        <w:t>ation wave that followed saw a significant influx of French companies and capital in the F</w:t>
      </w:r>
      <w:r w:rsidR="00C43763">
        <w:rPr>
          <w:rFonts w:ascii="Times New Roman" w:eastAsia="Calibri" w:hAnsi="Times New Roman" w:cs="Times New Roman"/>
          <w:sz w:val="24"/>
          <w:szCs w:val="24"/>
          <w:lang w:val="en-GB"/>
        </w:rPr>
        <w:t>ranc zone</w:t>
      </w:r>
      <w:r w:rsidRPr="00C403CA">
        <w:rPr>
          <w:rFonts w:ascii="Times New Roman" w:eastAsia="Calibri" w:hAnsi="Times New Roman" w:cs="Times New Roman"/>
          <w:sz w:val="24"/>
          <w:szCs w:val="24"/>
          <w:lang w:val="en-GB"/>
        </w:rPr>
        <w:t>. In Ivory Coast, for instance, this enabled the Bouygues group to secure major economic sectors, such as the Ivorian Electricity.</w:t>
      </w:r>
    </w:p>
    <w:p w14:paraId="3D2C012D" w14:textId="77777777" w:rsidR="00C92917" w:rsidRDefault="00C92917" w:rsidP="000B222C">
      <w:pPr>
        <w:jc w:val="both"/>
        <w:rPr>
          <w:rFonts w:ascii="Times New Roman" w:eastAsia="Calibri" w:hAnsi="Times New Roman" w:cs="Times New Roman"/>
          <w:sz w:val="24"/>
          <w:szCs w:val="24"/>
          <w:lang w:val="en-GB"/>
        </w:rPr>
      </w:pPr>
    </w:p>
    <w:p w14:paraId="73E14F0A" w14:textId="2BA640CD" w:rsidR="000B222C" w:rsidRPr="00396671"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b/>
          <w:bCs/>
          <w:sz w:val="24"/>
          <w:szCs w:val="24"/>
          <w:u w:val="single"/>
          <w:lang w:val="en-GB"/>
        </w:rPr>
        <w:t xml:space="preserve">The </w:t>
      </w:r>
      <w:r w:rsidR="00A81CDD">
        <w:rPr>
          <w:rFonts w:ascii="Times New Roman" w:eastAsia="Calibri" w:hAnsi="Times New Roman" w:cs="Times New Roman"/>
          <w:b/>
          <w:bCs/>
          <w:sz w:val="24"/>
          <w:szCs w:val="24"/>
          <w:u w:val="single"/>
          <w:lang w:val="en-GB"/>
        </w:rPr>
        <w:t>system of</w:t>
      </w:r>
      <w:r w:rsidRPr="000B222C">
        <w:rPr>
          <w:rFonts w:ascii="Times New Roman" w:eastAsia="Calibri" w:hAnsi="Times New Roman" w:cs="Times New Roman"/>
          <w:b/>
          <w:bCs/>
          <w:sz w:val="24"/>
          <w:szCs w:val="24"/>
          <w:u w:val="single"/>
          <w:lang w:val="en-GB"/>
        </w:rPr>
        <w:t xml:space="preserve"> the monetary servitude</w:t>
      </w:r>
    </w:p>
    <w:p w14:paraId="5D94826B" w14:textId="0ABE845A" w:rsidR="00F83C72" w:rsidRPr="00F83C72" w:rsidRDefault="00F83C72" w:rsidP="00F83C72">
      <w:pPr>
        <w:jc w:val="both"/>
        <w:rPr>
          <w:rFonts w:ascii="Times New Roman" w:eastAsia="Calibri" w:hAnsi="Times New Roman" w:cs="Times New Roman"/>
          <w:sz w:val="24"/>
          <w:szCs w:val="24"/>
          <w:lang w:val="en-GB"/>
        </w:rPr>
      </w:pPr>
      <w:r w:rsidRPr="00F83C72">
        <w:rPr>
          <w:rFonts w:ascii="Times New Roman" w:eastAsia="Calibri" w:hAnsi="Times New Roman" w:cs="Times New Roman"/>
          <w:sz w:val="24"/>
          <w:szCs w:val="24"/>
          <w:lang w:val="en-GB"/>
        </w:rPr>
        <w:t>Initially, the principles behind the CFA</w:t>
      </w:r>
      <w:r w:rsidR="00805719">
        <w:rPr>
          <w:rFonts w:ascii="Times New Roman" w:eastAsia="Calibri" w:hAnsi="Times New Roman" w:cs="Times New Roman"/>
          <w:sz w:val="24"/>
          <w:szCs w:val="24"/>
          <w:lang w:val="en-GB"/>
        </w:rPr>
        <w:t xml:space="preserve"> </w:t>
      </w:r>
      <w:r w:rsidRPr="00F83C72">
        <w:rPr>
          <w:rFonts w:ascii="Times New Roman" w:eastAsia="Calibri" w:hAnsi="Times New Roman" w:cs="Times New Roman"/>
          <w:sz w:val="24"/>
          <w:szCs w:val="24"/>
          <w:lang w:val="en-GB"/>
        </w:rPr>
        <w:t>F</w:t>
      </w:r>
      <w:r w:rsidR="00805719">
        <w:rPr>
          <w:rFonts w:ascii="Times New Roman" w:eastAsia="Calibri" w:hAnsi="Times New Roman" w:cs="Times New Roman"/>
          <w:sz w:val="24"/>
          <w:szCs w:val="24"/>
          <w:lang w:val="en-GB"/>
        </w:rPr>
        <w:t>ranc</w:t>
      </w:r>
      <w:r w:rsidRPr="00F83C72">
        <w:rPr>
          <w:rFonts w:ascii="Times New Roman" w:eastAsia="Calibri" w:hAnsi="Times New Roman" w:cs="Times New Roman"/>
          <w:sz w:val="24"/>
          <w:szCs w:val="24"/>
          <w:lang w:val="en-GB"/>
        </w:rPr>
        <w:t xml:space="preserve"> were intended to significantly benefit the economies of its member countries. Yet, some studies have shown that they might have the opposite effect. A stark difference is seen in the policies the F</w:t>
      </w:r>
      <w:r w:rsidR="00831201">
        <w:rPr>
          <w:rFonts w:ascii="Times New Roman" w:eastAsia="Calibri" w:hAnsi="Times New Roman" w:cs="Times New Roman"/>
          <w:sz w:val="24"/>
          <w:szCs w:val="24"/>
          <w:lang w:val="en-GB"/>
        </w:rPr>
        <w:t>ranc zone</w:t>
      </w:r>
      <w:r w:rsidRPr="00F83C72">
        <w:rPr>
          <w:rFonts w:ascii="Times New Roman" w:eastAsia="Calibri" w:hAnsi="Times New Roman" w:cs="Times New Roman"/>
          <w:sz w:val="24"/>
          <w:szCs w:val="24"/>
          <w:lang w:val="en-GB"/>
        </w:rPr>
        <w:t xml:space="preserve"> has adopted to maintain this currency. To ensure a fixed parity with the Euro and unrestricted convertibility, the F</w:t>
      </w:r>
      <w:r w:rsidR="00831201">
        <w:rPr>
          <w:rFonts w:ascii="Times New Roman" w:eastAsia="Calibri" w:hAnsi="Times New Roman" w:cs="Times New Roman"/>
          <w:sz w:val="24"/>
          <w:szCs w:val="24"/>
          <w:lang w:val="en-GB"/>
        </w:rPr>
        <w:t>ranc zone</w:t>
      </w:r>
      <w:r w:rsidRPr="00F83C72">
        <w:rPr>
          <w:rFonts w:ascii="Times New Roman" w:eastAsia="Calibri" w:hAnsi="Times New Roman" w:cs="Times New Roman"/>
          <w:sz w:val="24"/>
          <w:szCs w:val="24"/>
          <w:lang w:val="en-GB"/>
        </w:rPr>
        <w:t xml:space="preserve"> has enacted a series of public policies that predominantly </w:t>
      </w:r>
      <w:r w:rsidR="00831201" w:rsidRPr="00F83C72">
        <w:rPr>
          <w:rFonts w:ascii="Times New Roman" w:eastAsia="Calibri" w:hAnsi="Times New Roman" w:cs="Times New Roman"/>
          <w:sz w:val="24"/>
          <w:szCs w:val="24"/>
          <w:lang w:val="en-GB"/>
        </w:rPr>
        <w:t>favour</w:t>
      </w:r>
      <w:r w:rsidRPr="00F83C72">
        <w:rPr>
          <w:rFonts w:ascii="Times New Roman" w:eastAsia="Calibri" w:hAnsi="Times New Roman" w:cs="Times New Roman"/>
          <w:sz w:val="24"/>
          <w:szCs w:val="24"/>
          <w:lang w:val="en-GB"/>
        </w:rPr>
        <w:t xml:space="preserve"> Northern countries. Among these, liquidity management policy stands out. </w:t>
      </w:r>
      <w:r w:rsidR="00C92917" w:rsidRPr="00C92917">
        <w:rPr>
          <w:rFonts w:ascii="Times New Roman" w:eastAsia="Calibri" w:hAnsi="Times New Roman" w:cs="Times New Roman"/>
          <w:sz w:val="24"/>
          <w:szCs w:val="24"/>
          <w:lang w:val="en-GB"/>
        </w:rPr>
        <w:t>The West African Economic and Monetary Union</w:t>
      </w:r>
      <w:r w:rsidRPr="00F83C72">
        <w:rPr>
          <w:rFonts w:ascii="Times New Roman" w:eastAsia="Calibri" w:hAnsi="Times New Roman" w:cs="Times New Roman"/>
          <w:sz w:val="24"/>
          <w:szCs w:val="24"/>
          <w:lang w:val="en-GB"/>
        </w:rPr>
        <w:t xml:space="preserve">'s approach exemplifies this mechanism, which largely benefits European companies. According to Nubukpo (2011), since 1989, </w:t>
      </w:r>
      <w:r w:rsidR="009A43AE">
        <w:rPr>
          <w:rFonts w:ascii="Times New Roman" w:eastAsia="Calibri" w:hAnsi="Times New Roman" w:cs="Times New Roman"/>
          <w:sz w:val="24"/>
          <w:szCs w:val="24"/>
          <w:lang w:val="en-GB"/>
        </w:rPr>
        <w:t>t</w:t>
      </w:r>
      <w:r w:rsidR="009A43AE" w:rsidRPr="009A43AE">
        <w:rPr>
          <w:rFonts w:ascii="Times New Roman" w:eastAsia="Calibri" w:hAnsi="Times New Roman" w:cs="Times New Roman"/>
          <w:sz w:val="24"/>
          <w:szCs w:val="24"/>
          <w:lang w:val="en-GB"/>
        </w:rPr>
        <w:t xml:space="preserve">he West African Economic and Monetary Union </w:t>
      </w:r>
      <w:r w:rsidRPr="00F83C72">
        <w:rPr>
          <w:rFonts w:ascii="Times New Roman" w:eastAsia="Calibri" w:hAnsi="Times New Roman" w:cs="Times New Roman"/>
          <w:sz w:val="24"/>
          <w:szCs w:val="24"/>
          <w:lang w:val="en-GB"/>
        </w:rPr>
        <w:t>has been pursuing a competitive disinflation policy aimed at maintaining the currency's internal and external stability, primarily through key interest rates. The goal is to adjust interest rates to align actual inflation with the target inflation rate. For instance, raising the interest rate is expected to reduce the inflation rate, with a target set at 2% (Tadenyo,</w:t>
      </w:r>
      <w:r w:rsidR="00BC3F1D">
        <w:rPr>
          <w:rFonts w:ascii="Times New Roman" w:eastAsia="Calibri" w:hAnsi="Times New Roman" w:cs="Times New Roman"/>
          <w:sz w:val="24"/>
          <w:szCs w:val="24"/>
          <w:lang w:val="en-GB"/>
        </w:rPr>
        <w:t xml:space="preserve"> Y.D.</w:t>
      </w:r>
      <w:r w:rsidRPr="00F83C72">
        <w:rPr>
          <w:rFonts w:ascii="Times New Roman" w:eastAsia="Calibri" w:hAnsi="Times New Roman" w:cs="Times New Roman"/>
          <w:sz w:val="24"/>
          <w:szCs w:val="24"/>
          <w:lang w:val="en-GB"/>
        </w:rPr>
        <w:t xml:space="preserve"> 2015).</w:t>
      </w:r>
    </w:p>
    <w:p w14:paraId="255C1AEA" w14:textId="2C2C9B5A" w:rsidR="00F83C72" w:rsidRPr="00F83C72" w:rsidRDefault="00F83C72" w:rsidP="00F83C72">
      <w:pPr>
        <w:jc w:val="both"/>
        <w:rPr>
          <w:rFonts w:ascii="Times New Roman" w:eastAsia="Calibri" w:hAnsi="Times New Roman" w:cs="Times New Roman"/>
          <w:sz w:val="24"/>
          <w:szCs w:val="24"/>
          <w:lang w:val="en-GB"/>
        </w:rPr>
      </w:pPr>
      <w:r w:rsidRPr="00F83C72">
        <w:rPr>
          <w:rFonts w:ascii="Times New Roman" w:eastAsia="Calibri" w:hAnsi="Times New Roman" w:cs="Times New Roman"/>
          <w:sz w:val="24"/>
          <w:szCs w:val="24"/>
          <w:lang w:val="en-GB"/>
        </w:rPr>
        <w:t xml:space="preserve">The rationale for this policy stems from a monetary perspective on inflation, which posits a direct link between changes in the money supply and inflation rates (Sall, </w:t>
      </w:r>
      <w:r w:rsidR="00BC3F1D">
        <w:rPr>
          <w:rFonts w:ascii="Times New Roman" w:eastAsia="Calibri" w:hAnsi="Times New Roman" w:cs="Times New Roman"/>
          <w:sz w:val="24"/>
          <w:szCs w:val="24"/>
          <w:lang w:val="en-GB"/>
        </w:rPr>
        <w:t>A.K</w:t>
      </w:r>
      <w:r w:rsidR="002D6C4C">
        <w:rPr>
          <w:rFonts w:ascii="Times New Roman" w:eastAsia="Calibri" w:hAnsi="Times New Roman" w:cs="Times New Roman"/>
          <w:sz w:val="24"/>
          <w:szCs w:val="24"/>
          <w:lang w:val="en-GB"/>
        </w:rPr>
        <w:t xml:space="preserve">. </w:t>
      </w:r>
      <w:r w:rsidRPr="00F83C72">
        <w:rPr>
          <w:rFonts w:ascii="Times New Roman" w:eastAsia="Calibri" w:hAnsi="Times New Roman" w:cs="Times New Roman"/>
          <w:sz w:val="24"/>
          <w:szCs w:val="24"/>
          <w:lang w:val="en-GB"/>
        </w:rPr>
        <w:t>2016). Specifically, an increase in liquidity is believed to fuel inflation, while a decrease should help maintain lower inflation levels. In line with this theory, the central bank implemented a restrictive monetary policy (Dembo Toe and Hounkpatin, 2007) aimed at reducing liquidity within the union. To curb the money supply, it targeted the primary sources of its expansion: net external assets and, predominantly, domestic credit (Ibid). Consequently, banks in the region have become more stringent in their lending criteria. This has led to a restrictive monetary policy that curtails the banks' role in funding economic development in the area. Evidence of this is seen in the credit-to-economy-to-GDP ratio, which measures the proportion of bank lending in the zone's GDP, increasing from 14% in 2000 to 18% in 2009 (Trinnou and Igue, 2015).</w:t>
      </w:r>
    </w:p>
    <w:p w14:paraId="598146E4" w14:textId="23263B1C" w:rsidR="00F83C72" w:rsidRPr="00F83C72" w:rsidRDefault="00F83C72" w:rsidP="00F83C72">
      <w:pPr>
        <w:jc w:val="both"/>
        <w:rPr>
          <w:rFonts w:ascii="Times New Roman" w:eastAsia="Calibri" w:hAnsi="Times New Roman" w:cs="Times New Roman"/>
          <w:sz w:val="24"/>
          <w:szCs w:val="24"/>
          <w:lang w:val="en-GB"/>
        </w:rPr>
      </w:pPr>
      <w:r w:rsidRPr="00F83C72">
        <w:rPr>
          <w:rFonts w:ascii="Times New Roman" w:eastAsia="Calibri" w:hAnsi="Times New Roman" w:cs="Times New Roman"/>
          <w:sz w:val="24"/>
          <w:szCs w:val="24"/>
          <w:lang w:val="en-GB"/>
        </w:rPr>
        <w:t xml:space="preserve">Empirical studies (Tadenyo, </w:t>
      </w:r>
      <w:r w:rsidR="00AE05AC">
        <w:rPr>
          <w:rFonts w:ascii="Times New Roman" w:eastAsia="Calibri" w:hAnsi="Times New Roman" w:cs="Times New Roman"/>
          <w:sz w:val="24"/>
          <w:szCs w:val="24"/>
          <w:lang w:val="en-GB"/>
        </w:rPr>
        <w:t xml:space="preserve">Y.D. </w:t>
      </w:r>
      <w:r w:rsidRPr="00F83C72">
        <w:rPr>
          <w:rFonts w:ascii="Times New Roman" w:eastAsia="Calibri" w:hAnsi="Times New Roman" w:cs="Times New Roman"/>
          <w:sz w:val="24"/>
          <w:szCs w:val="24"/>
          <w:lang w:val="en-GB"/>
        </w:rPr>
        <w:t>2015) indicate that economic growth in the</w:t>
      </w:r>
      <w:r w:rsidR="00E04A8E" w:rsidRPr="00E04A8E">
        <w:rPr>
          <w:rFonts w:ascii="Times New Roman" w:eastAsia="Calibri" w:hAnsi="Times New Roman" w:cs="Times New Roman"/>
          <w:sz w:val="24"/>
          <w:szCs w:val="24"/>
          <w:lang w:val="en-GB"/>
        </w:rPr>
        <w:t xml:space="preserve"> West African Economic and Monetary Union</w:t>
      </w:r>
      <w:r w:rsidRPr="00F83C72">
        <w:rPr>
          <w:rFonts w:ascii="Times New Roman" w:eastAsia="Calibri" w:hAnsi="Times New Roman" w:cs="Times New Roman"/>
          <w:sz w:val="24"/>
          <w:szCs w:val="24"/>
          <w:lang w:val="en-GB"/>
        </w:rPr>
        <w:t xml:space="preserve"> region, both short-term and long-term, is largely driven by investment, primarily sourced from credit within the economy (Nubukpo, </w:t>
      </w:r>
      <w:r w:rsidR="00AE05AC">
        <w:rPr>
          <w:rFonts w:ascii="Times New Roman" w:eastAsia="Calibri" w:hAnsi="Times New Roman" w:cs="Times New Roman"/>
          <w:sz w:val="24"/>
          <w:szCs w:val="24"/>
          <w:lang w:val="en-GB"/>
        </w:rPr>
        <w:t xml:space="preserve">K. </w:t>
      </w:r>
      <w:r w:rsidRPr="00F83C72">
        <w:rPr>
          <w:rFonts w:ascii="Times New Roman" w:eastAsia="Calibri" w:hAnsi="Times New Roman" w:cs="Times New Roman"/>
          <w:sz w:val="24"/>
          <w:szCs w:val="24"/>
          <w:lang w:val="en-GB"/>
        </w:rPr>
        <w:t>2012). Consequently, stricter credit conditions result in diminished local investment, thereby hindering</w:t>
      </w:r>
      <w:r w:rsidR="00E04A8E" w:rsidRPr="00E04A8E">
        <w:t xml:space="preserve"> </w:t>
      </w:r>
      <w:r w:rsidR="00E04A8E" w:rsidRPr="00E04A8E">
        <w:rPr>
          <w:rFonts w:ascii="Times New Roman" w:eastAsia="Calibri" w:hAnsi="Times New Roman" w:cs="Times New Roman"/>
          <w:sz w:val="24"/>
          <w:szCs w:val="24"/>
          <w:lang w:val="en-GB"/>
        </w:rPr>
        <w:t>West African Economic and Monetary Union</w:t>
      </w:r>
      <w:r w:rsidRPr="00F83C72">
        <w:rPr>
          <w:rFonts w:ascii="Times New Roman" w:eastAsia="Calibri" w:hAnsi="Times New Roman" w:cs="Times New Roman"/>
          <w:sz w:val="24"/>
          <w:szCs w:val="24"/>
          <w:lang w:val="en-GB"/>
        </w:rPr>
        <w:t>'s development. The Central Bank of the</w:t>
      </w:r>
      <w:r w:rsidR="00E04A8E" w:rsidRPr="00E04A8E">
        <w:rPr>
          <w:rFonts w:ascii="Times New Roman" w:eastAsia="Calibri" w:hAnsi="Times New Roman" w:cs="Times New Roman"/>
          <w:sz w:val="24"/>
          <w:szCs w:val="24"/>
          <w:lang w:val="en-GB"/>
        </w:rPr>
        <w:t xml:space="preserve"> West African Economic and Monetary Union</w:t>
      </w:r>
      <w:r w:rsidRPr="00F83C72">
        <w:rPr>
          <w:rFonts w:ascii="Times New Roman" w:eastAsia="Calibri" w:hAnsi="Times New Roman" w:cs="Times New Roman"/>
          <w:sz w:val="24"/>
          <w:szCs w:val="24"/>
          <w:lang w:val="en-GB"/>
        </w:rPr>
        <w:t xml:space="preserve">, by enforcing this policy, opts to compromise the economic growth of </w:t>
      </w:r>
      <w:r w:rsidR="008A14C3">
        <w:rPr>
          <w:rFonts w:ascii="Times New Roman" w:eastAsia="Calibri" w:hAnsi="Times New Roman" w:cs="Times New Roman"/>
          <w:sz w:val="24"/>
          <w:szCs w:val="24"/>
          <w:lang w:val="en-GB"/>
        </w:rPr>
        <w:t>t</w:t>
      </w:r>
      <w:r w:rsidR="008A14C3" w:rsidRPr="008A14C3">
        <w:rPr>
          <w:rFonts w:ascii="Times New Roman" w:eastAsia="Calibri" w:hAnsi="Times New Roman" w:cs="Times New Roman"/>
          <w:sz w:val="24"/>
          <w:szCs w:val="24"/>
          <w:lang w:val="en-GB"/>
        </w:rPr>
        <w:t>he West African Economic and Monetary Union</w:t>
      </w:r>
      <w:r w:rsidRPr="00F83C72">
        <w:rPr>
          <w:rFonts w:ascii="Times New Roman" w:eastAsia="Calibri" w:hAnsi="Times New Roman" w:cs="Times New Roman"/>
          <w:sz w:val="24"/>
          <w:szCs w:val="24"/>
          <w:lang w:val="en-GB"/>
        </w:rPr>
        <w:t xml:space="preserve"> economies for the sake of monetary stability, prioriti</w:t>
      </w:r>
      <w:r w:rsidR="008A14C3">
        <w:rPr>
          <w:rFonts w:ascii="Times New Roman" w:eastAsia="Calibri" w:hAnsi="Times New Roman" w:cs="Times New Roman"/>
          <w:sz w:val="24"/>
          <w:szCs w:val="24"/>
          <w:lang w:val="en-GB"/>
        </w:rPr>
        <w:t>s</w:t>
      </w:r>
      <w:r w:rsidRPr="00F83C72">
        <w:rPr>
          <w:rFonts w:ascii="Times New Roman" w:eastAsia="Calibri" w:hAnsi="Times New Roman" w:cs="Times New Roman"/>
          <w:sz w:val="24"/>
          <w:szCs w:val="24"/>
          <w:lang w:val="en-GB"/>
        </w:rPr>
        <w:t xml:space="preserve">ing stability </w:t>
      </w:r>
      <w:r w:rsidR="006F54E3" w:rsidRPr="00F83C72">
        <w:rPr>
          <w:rFonts w:ascii="Times New Roman" w:eastAsia="Calibri" w:hAnsi="Times New Roman" w:cs="Times New Roman"/>
          <w:sz w:val="24"/>
          <w:szCs w:val="24"/>
          <w:lang w:val="en-GB"/>
        </w:rPr>
        <w:t>overgrowth</w:t>
      </w:r>
      <w:r w:rsidRPr="00F83C72">
        <w:rPr>
          <w:rFonts w:ascii="Times New Roman" w:eastAsia="Calibri" w:hAnsi="Times New Roman" w:cs="Times New Roman"/>
          <w:sz w:val="24"/>
          <w:szCs w:val="24"/>
          <w:lang w:val="en-GB"/>
        </w:rPr>
        <w:t xml:space="preserve"> </w:t>
      </w:r>
      <w:r w:rsidR="006F54E3" w:rsidRPr="00F83C72">
        <w:rPr>
          <w:rFonts w:ascii="Times New Roman" w:eastAsia="Calibri" w:hAnsi="Times New Roman" w:cs="Times New Roman"/>
          <w:sz w:val="24"/>
          <w:szCs w:val="24"/>
          <w:lang w:val="en-GB"/>
        </w:rPr>
        <w:t>fuelled</w:t>
      </w:r>
      <w:r w:rsidRPr="00F83C72">
        <w:rPr>
          <w:rFonts w:ascii="Times New Roman" w:eastAsia="Calibri" w:hAnsi="Times New Roman" w:cs="Times New Roman"/>
          <w:sz w:val="24"/>
          <w:szCs w:val="24"/>
          <w:lang w:val="en-GB"/>
        </w:rPr>
        <w:t xml:space="preserve"> by domestic investment. This policy </w:t>
      </w:r>
      <w:r w:rsidRPr="00F83C72">
        <w:rPr>
          <w:rFonts w:ascii="Times New Roman" w:eastAsia="Calibri" w:hAnsi="Times New Roman" w:cs="Times New Roman"/>
          <w:sz w:val="24"/>
          <w:szCs w:val="24"/>
          <w:lang w:val="en-GB"/>
        </w:rPr>
        <w:lastRenderedPageBreak/>
        <w:t xml:space="preserve">disproportionately benefits foreign investors who, with substantial financial resources, can directly invest in </w:t>
      </w:r>
      <w:r w:rsidR="008A14C3">
        <w:rPr>
          <w:rFonts w:ascii="Times New Roman" w:eastAsia="Calibri" w:hAnsi="Times New Roman" w:cs="Times New Roman"/>
          <w:sz w:val="24"/>
          <w:szCs w:val="24"/>
          <w:lang w:val="en-GB"/>
        </w:rPr>
        <w:t>t</w:t>
      </w:r>
      <w:r w:rsidR="008A14C3" w:rsidRPr="008A14C3">
        <w:rPr>
          <w:rFonts w:ascii="Times New Roman" w:eastAsia="Calibri" w:hAnsi="Times New Roman" w:cs="Times New Roman"/>
          <w:sz w:val="24"/>
          <w:szCs w:val="24"/>
          <w:lang w:val="en-GB"/>
        </w:rPr>
        <w:t xml:space="preserve">he West African Economic and Monetary Union </w:t>
      </w:r>
      <w:r w:rsidRPr="00F83C72">
        <w:rPr>
          <w:rFonts w:ascii="Times New Roman" w:eastAsia="Calibri" w:hAnsi="Times New Roman" w:cs="Times New Roman"/>
          <w:sz w:val="24"/>
          <w:szCs w:val="24"/>
          <w:lang w:val="en-GB"/>
        </w:rPr>
        <w:t>nations. Thus, the region's development becomes heavily reliant on external factors, notably foreign direct investment, especially from the Euro area due to exchange rate parity and free transferability, as well as public development assistance.</w:t>
      </w:r>
    </w:p>
    <w:p w14:paraId="7BBAEEAD" w14:textId="39A83EBC" w:rsidR="000B222C" w:rsidRDefault="00F83C72" w:rsidP="00F83C72">
      <w:pPr>
        <w:jc w:val="both"/>
        <w:rPr>
          <w:rFonts w:ascii="Times New Roman" w:eastAsia="Calibri" w:hAnsi="Times New Roman" w:cs="Times New Roman"/>
          <w:sz w:val="24"/>
          <w:szCs w:val="24"/>
          <w:lang w:val="en-GB"/>
        </w:rPr>
      </w:pPr>
      <w:r w:rsidRPr="00F83C72">
        <w:rPr>
          <w:rFonts w:ascii="Times New Roman" w:eastAsia="Calibri" w:hAnsi="Times New Roman" w:cs="Times New Roman"/>
          <w:sz w:val="24"/>
          <w:szCs w:val="24"/>
          <w:lang w:val="en-GB"/>
        </w:rPr>
        <w:t>Official Development Assistance differs from Foreign Direct Investment, highlighting the neo-colonial aspect of financial aid, or more specifically, the dependency it creates for recipient countries. O</w:t>
      </w:r>
      <w:r w:rsidR="00447EC0">
        <w:rPr>
          <w:rFonts w:ascii="Times New Roman" w:eastAsia="Calibri" w:hAnsi="Times New Roman" w:cs="Times New Roman"/>
          <w:sz w:val="24"/>
          <w:szCs w:val="24"/>
          <w:lang w:val="en-GB"/>
        </w:rPr>
        <w:t xml:space="preserve">fficial </w:t>
      </w:r>
      <w:r w:rsidRPr="00F83C72">
        <w:rPr>
          <w:rFonts w:ascii="Times New Roman" w:eastAsia="Calibri" w:hAnsi="Times New Roman" w:cs="Times New Roman"/>
          <w:sz w:val="24"/>
          <w:szCs w:val="24"/>
          <w:lang w:val="en-GB"/>
        </w:rPr>
        <w:t>D</w:t>
      </w:r>
      <w:r w:rsidR="00447EC0">
        <w:rPr>
          <w:rFonts w:ascii="Times New Roman" w:eastAsia="Calibri" w:hAnsi="Times New Roman" w:cs="Times New Roman"/>
          <w:sz w:val="24"/>
          <w:szCs w:val="24"/>
          <w:lang w:val="en-GB"/>
        </w:rPr>
        <w:t xml:space="preserve">evelopment </w:t>
      </w:r>
      <w:r w:rsidRPr="00F83C72">
        <w:rPr>
          <w:rFonts w:ascii="Times New Roman" w:eastAsia="Calibri" w:hAnsi="Times New Roman" w:cs="Times New Roman"/>
          <w:sz w:val="24"/>
          <w:szCs w:val="24"/>
          <w:lang w:val="en-GB"/>
        </w:rPr>
        <w:t>A</w:t>
      </w:r>
      <w:r w:rsidR="00447EC0">
        <w:rPr>
          <w:rFonts w:ascii="Times New Roman" w:eastAsia="Calibri" w:hAnsi="Times New Roman" w:cs="Times New Roman"/>
          <w:sz w:val="24"/>
          <w:szCs w:val="24"/>
          <w:lang w:val="en-GB"/>
        </w:rPr>
        <w:t>id</w:t>
      </w:r>
      <w:r w:rsidRPr="00F83C72">
        <w:rPr>
          <w:rFonts w:ascii="Times New Roman" w:eastAsia="Calibri" w:hAnsi="Times New Roman" w:cs="Times New Roman"/>
          <w:sz w:val="24"/>
          <w:szCs w:val="24"/>
          <w:lang w:val="en-GB"/>
        </w:rPr>
        <w:t xml:space="preserve">, as argued by dependency theorists, incorporates a tied-aid mechanism in the financial interactions between France and its former colonies, ensuring France's control over the African nations receiving this aid. Thomas Noirot (2012) described this aid as a tool for France to secure contract execution by its companies in the aid-receiving countries. This practice was evidenced by the funding of projects like the Ivorian metro. During the Cold War, France increased aid to allied regimes in Francophone Africa (Hugon, </w:t>
      </w:r>
      <w:r w:rsidR="009A63D0">
        <w:rPr>
          <w:rFonts w:ascii="Times New Roman" w:eastAsia="Calibri" w:hAnsi="Times New Roman" w:cs="Times New Roman"/>
          <w:sz w:val="24"/>
          <w:szCs w:val="24"/>
          <w:lang w:val="en-GB"/>
        </w:rPr>
        <w:t xml:space="preserve">P. </w:t>
      </w:r>
      <w:r w:rsidRPr="00F83C72">
        <w:rPr>
          <w:rFonts w:ascii="Times New Roman" w:eastAsia="Calibri" w:hAnsi="Times New Roman" w:cs="Times New Roman"/>
          <w:sz w:val="24"/>
          <w:szCs w:val="24"/>
          <w:lang w:val="en-GB"/>
        </w:rPr>
        <w:t>2007) to deter them from engaging with the Soviets or Americans. This aid often took the form of conditional loans tied to the procurement of French goods and services.</w:t>
      </w:r>
    </w:p>
    <w:p w14:paraId="798CF9D1" w14:textId="77777777" w:rsidR="0080022E" w:rsidRDefault="0080022E" w:rsidP="00F83C72">
      <w:pPr>
        <w:jc w:val="both"/>
        <w:rPr>
          <w:rFonts w:ascii="Times New Roman" w:eastAsia="Calibri" w:hAnsi="Times New Roman" w:cs="Times New Roman"/>
          <w:sz w:val="24"/>
          <w:szCs w:val="24"/>
          <w:lang w:val="en-GB"/>
        </w:rPr>
      </w:pPr>
    </w:p>
    <w:p w14:paraId="598E46B7" w14:textId="77777777" w:rsidR="0080022E" w:rsidRDefault="0080022E" w:rsidP="00F83C72">
      <w:pPr>
        <w:jc w:val="both"/>
        <w:rPr>
          <w:rFonts w:ascii="Times New Roman" w:eastAsia="Calibri" w:hAnsi="Times New Roman" w:cs="Times New Roman"/>
          <w:sz w:val="24"/>
          <w:szCs w:val="24"/>
          <w:lang w:val="en-GB"/>
        </w:rPr>
      </w:pPr>
    </w:p>
    <w:p w14:paraId="0A6FBDB6" w14:textId="77777777" w:rsidR="0080022E" w:rsidRDefault="0080022E" w:rsidP="00F83C72">
      <w:pPr>
        <w:jc w:val="both"/>
        <w:rPr>
          <w:rFonts w:ascii="Times New Roman" w:eastAsia="Calibri" w:hAnsi="Times New Roman" w:cs="Times New Roman"/>
          <w:sz w:val="24"/>
          <w:szCs w:val="24"/>
          <w:lang w:val="en-GB"/>
        </w:rPr>
      </w:pPr>
    </w:p>
    <w:p w14:paraId="1A9B9620" w14:textId="77777777" w:rsidR="0080022E" w:rsidRDefault="0080022E" w:rsidP="00F83C72">
      <w:pPr>
        <w:jc w:val="both"/>
        <w:rPr>
          <w:rFonts w:ascii="Times New Roman" w:eastAsia="Calibri" w:hAnsi="Times New Roman" w:cs="Times New Roman"/>
          <w:sz w:val="24"/>
          <w:szCs w:val="24"/>
          <w:lang w:val="en-GB"/>
        </w:rPr>
      </w:pPr>
    </w:p>
    <w:p w14:paraId="390F335F" w14:textId="77777777" w:rsidR="0080022E" w:rsidRDefault="0080022E" w:rsidP="00F83C72">
      <w:pPr>
        <w:jc w:val="both"/>
        <w:rPr>
          <w:rFonts w:ascii="Times New Roman" w:eastAsia="Calibri" w:hAnsi="Times New Roman" w:cs="Times New Roman"/>
          <w:sz w:val="24"/>
          <w:szCs w:val="24"/>
          <w:lang w:val="en-GB"/>
        </w:rPr>
      </w:pPr>
    </w:p>
    <w:p w14:paraId="0AC2E345" w14:textId="77777777" w:rsidR="0080022E" w:rsidRDefault="0080022E" w:rsidP="00F83C72">
      <w:pPr>
        <w:jc w:val="both"/>
        <w:rPr>
          <w:rFonts w:ascii="Times New Roman" w:eastAsia="Calibri" w:hAnsi="Times New Roman" w:cs="Times New Roman"/>
          <w:sz w:val="24"/>
          <w:szCs w:val="24"/>
          <w:lang w:val="en-GB"/>
        </w:rPr>
      </w:pPr>
    </w:p>
    <w:p w14:paraId="0ED9CBB5" w14:textId="77777777" w:rsidR="0080022E" w:rsidRDefault="0080022E" w:rsidP="00F83C72">
      <w:pPr>
        <w:jc w:val="both"/>
        <w:rPr>
          <w:rFonts w:ascii="Times New Roman" w:eastAsia="Calibri" w:hAnsi="Times New Roman" w:cs="Times New Roman"/>
          <w:sz w:val="24"/>
          <w:szCs w:val="24"/>
          <w:lang w:val="en-GB"/>
        </w:rPr>
      </w:pPr>
    </w:p>
    <w:p w14:paraId="4B31ADEF" w14:textId="77777777" w:rsidR="0080022E" w:rsidRDefault="0080022E" w:rsidP="00F83C72">
      <w:pPr>
        <w:jc w:val="both"/>
        <w:rPr>
          <w:rFonts w:ascii="Times New Roman" w:eastAsia="Calibri" w:hAnsi="Times New Roman" w:cs="Times New Roman"/>
          <w:sz w:val="24"/>
          <w:szCs w:val="24"/>
          <w:lang w:val="en-GB"/>
        </w:rPr>
      </w:pPr>
    </w:p>
    <w:p w14:paraId="7D03B6DC" w14:textId="77777777" w:rsidR="0080022E" w:rsidRDefault="0080022E" w:rsidP="00F83C72">
      <w:pPr>
        <w:jc w:val="both"/>
        <w:rPr>
          <w:rFonts w:ascii="Times New Roman" w:eastAsia="Calibri" w:hAnsi="Times New Roman" w:cs="Times New Roman"/>
          <w:sz w:val="24"/>
          <w:szCs w:val="24"/>
          <w:lang w:val="en-GB"/>
        </w:rPr>
      </w:pPr>
    </w:p>
    <w:p w14:paraId="7CA31DF4" w14:textId="77777777" w:rsidR="0080022E" w:rsidRDefault="0080022E" w:rsidP="00F83C72">
      <w:pPr>
        <w:jc w:val="both"/>
        <w:rPr>
          <w:rFonts w:ascii="Times New Roman" w:eastAsia="Calibri" w:hAnsi="Times New Roman" w:cs="Times New Roman"/>
          <w:sz w:val="24"/>
          <w:szCs w:val="24"/>
          <w:lang w:val="en-GB"/>
        </w:rPr>
      </w:pPr>
    </w:p>
    <w:p w14:paraId="44DDD036" w14:textId="77777777" w:rsidR="0080022E" w:rsidRDefault="0080022E" w:rsidP="00F83C72">
      <w:pPr>
        <w:jc w:val="both"/>
        <w:rPr>
          <w:rFonts w:ascii="Times New Roman" w:eastAsia="Calibri" w:hAnsi="Times New Roman" w:cs="Times New Roman"/>
          <w:sz w:val="24"/>
          <w:szCs w:val="24"/>
          <w:lang w:val="en-GB"/>
        </w:rPr>
      </w:pPr>
    </w:p>
    <w:p w14:paraId="114F61A8" w14:textId="77777777" w:rsidR="0080022E" w:rsidRDefault="0080022E" w:rsidP="00F83C72">
      <w:pPr>
        <w:jc w:val="both"/>
        <w:rPr>
          <w:rFonts w:ascii="Times New Roman" w:eastAsia="Calibri" w:hAnsi="Times New Roman" w:cs="Times New Roman"/>
          <w:sz w:val="24"/>
          <w:szCs w:val="24"/>
          <w:lang w:val="en-GB"/>
        </w:rPr>
      </w:pPr>
    </w:p>
    <w:p w14:paraId="187146C2" w14:textId="77777777" w:rsidR="0080022E" w:rsidRDefault="0080022E" w:rsidP="00F83C72">
      <w:pPr>
        <w:jc w:val="both"/>
        <w:rPr>
          <w:rFonts w:ascii="Times New Roman" w:eastAsia="Calibri" w:hAnsi="Times New Roman" w:cs="Times New Roman"/>
          <w:sz w:val="24"/>
          <w:szCs w:val="24"/>
          <w:lang w:val="en-GB"/>
        </w:rPr>
      </w:pPr>
    </w:p>
    <w:p w14:paraId="56BD691D" w14:textId="77777777" w:rsidR="0080022E" w:rsidRDefault="0080022E" w:rsidP="00F83C72">
      <w:pPr>
        <w:jc w:val="both"/>
        <w:rPr>
          <w:rFonts w:ascii="Times New Roman" w:eastAsia="Calibri" w:hAnsi="Times New Roman" w:cs="Times New Roman"/>
          <w:sz w:val="24"/>
          <w:szCs w:val="24"/>
          <w:lang w:val="en-GB"/>
        </w:rPr>
      </w:pPr>
    </w:p>
    <w:p w14:paraId="78C1DCB5" w14:textId="77777777" w:rsidR="000B222C" w:rsidRDefault="000B222C" w:rsidP="000B222C">
      <w:pPr>
        <w:jc w:val="both"/>
        <w:rPr>
          <w:rFonts w:ascii="Times New Roman" w:eastAsia="Calibri" w:hAnsi="Times New Roman" w:cs="Times New Roman"/>
          <w:sz w:val="24"/>
          <w:szCs w:val="24"/>
          <w:lang w:val="en-GB"/>
        </w:rPr>
      </w:pPr>
    </w:p>
    <w:p w14:paraId="4C986F63" w14:textId="77777777" w:rsidR="000B222C" w:rsidRDefault="000B222C" w:rsidP="000B222C">
      <w:pPr>
        <w:jc w:val="both"/>
        <w:rPr>
          <w:rFonts w:ascii="Times New Roman" w:eastAsia="Calibri" w:hAnsi="Times New Roman" w:cs="Times New Roman"/>
          <w:sz w:val="24"/>
          <w:szCs w:val="24"/>
          <w:lang w:val="en-GB"/>
        </w:rPr>
      </w:pPr>
    </w:p>
    <w:p w14:paraId="52BFBF23" w14:textId="77777777" w:rsidR="000B222C" w:rsidRDefault="000B222C" w:rsidP="000B222C">
      <w:pPr>
        <w:jc w:val="center"/>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RESEARCH PHYPLOSOPHY</w:t>
      </w:r>
    </w:p>
    <w:p w14:paraId="45EBD095" w14:textId="77777777" w:rsidR="0080022E" w:rsidRPr="000B222C" w:rsidRDefault="0080022E" w:rsidP="000B222C">
      <w:pPr>
        <w:jc w:val="center"/>
        <w:rPr>
          <w:rFonts w:ascii="Times New Roman" w:eastAsia="Calibri" w:hAnsi="Times New Roman" w:cs="Times New Roman"/>
          <w:b/>
          <w:bCs/>
          <w:sz w:val="24"/>
          <w:szCs w:val="24"/>
          <w:u w:val="single"/>
          <w:lang w:val="en-GB"/>
        </w:rPr>
      </w:pPr>
    </w:p>
    <w:p w14:paraId="5869D722" w14:textId="6A47A65A" w:rsidR="00BA252C" w:rsidRPr="00BA252C" w:rsidRDefault="00BA252C" w:rsidP="00BA252C">
      <w:pPr>
        <w:jc w:val="both"/>
        <w:rPr>
          <w:rFonts w:ascii="Times New Roman" w:eastAsia="Calibri" w:hAnsi="Times New Roman" w:cs="Times New Roman"/>
          <w:sz w:val="24"/>
          <w:szCs w:val="24"/>
          <w:lang w:val="en-GB"/>
        </w:rPr>
      </w:pPr>
      <w:r w:rsidRPr="004C5610">
        <w:rPr>
          <w:rFonts w:ascii="Times New Roman" w:eastAsia="Calibri" w:hAnsi="Times New Roman" w:cs="Times New Roman"/>
          <w:b/>
          <w:bCs/>
          <w:sz w:val="24"/>
          <w:szCs w:val="24"/>
          <w:lang w:val="en-GB"/>
        </w:rPr>
        <w:t>The Ontology Approach</w:t>
      </w:r>
      <w:r w:rsidRPr="00BA252C">
        <w:rPr>
          <w:rFonts w:ascii="Times New Roman" w:eastAsia="Calibri" w:hAnsi="Times New Roman" w:cs="Times New Roman"/>
          <w:sz w:val="24"/>
          <w:szCs w:val="24"/>
          <w:lang w:val="en-GB"/>
        </w:rPr>
        <w:t xml:space="preserve"> relates to diverse opinions on the validity of the F</w:t>
      </w:r>
      <w:r w:rsidR="004C5610">
        <w:rPr>
          <w:rFonts w:ascii="Times New Roman" w:eastAsia="Calibri" w:hAnsi="Times New Roman" w:cs="Times New Roman"/>
          <w:sz w:val="24"/>
          <w:szCs w:val="24"/>
          <w:lang w:val="en-GB"/>
        </w:rPr>
        <w:t>ranc zone</w:t>
      </w:r>
      <w:r w:rsidRPr="00BA252C">
        <w:rPr>
          <w:rFonts w:ascii="Times New Roman" w:eastAsia="Calibri" w:hAnsi="Times New Roman" w:cs="Times New Roman"/>
          <w:sz w:val="24"/>
          <w:szCs w:val="24"/>
          <w:lang w:val="en-GB"/>
        </w:rPr>
        <w:t xml:space="preserve"> and the CFA</w:t>
      </w:r>
      <w:r w:rsidR="004C5610">
        <w:rPr>
          <w:rFonts w:ascii="Times New Roman" w:eastAsia="Calibri" w:hAnsi="Times New Roman" w:cs="Times New Roman"/>
          <w:sz w:val="24"/>
          <w:szCs w:val="24"/>
          <w:lang w:val="en-GB"/>
        </w:rPr>
        <w:t xml:space="preserve"> </w:t>
      </w:r>
      <w:r w:rsidRPr="00BA252C">
        <w:rPr>
          <w:rFonts w:ascii="Times New Roman" w:eastAsia="Calibri" w:hAnsi="Times New Roman" w:cs="Times New Roman"/>
          <w:sz w:val="24"/>
          <w:szCs w:val="24"/>
          <w:lang w:val="en-GB"/>
        </w:rPr>
        <w:t>F</w:t>
      </w:r>
      <w:r w:rsidR="004C5610">
        <w:rPr>
          <w:rFonts w:ascii="Times New Roman" w:eastAsia="Calibri" w:hAnsi="Times New Roman" w:cs="Times New Roman"/>
          <w:sz w:val="24"/>
          <w:szCs w:val="24"/>
          <w:lang w:val="en-GB"/>
        </w:rPr>
        <w:t>ranc</w:t>
      </w:r>
      <w:r w:rsidRPr="00BA252C">
        <w:rPr>
          <w:rFonts w:ascii="Times New Roman" w:eastAsia="Calibri" w:hAnsi="Times New Roman" w:cs="Times New Roman"/>
          <w:sz w:val="24"/>
          <w:szCs w:val="24"/>
          <w:lang w:val="en-GB"/>
        </w:rPr>
        <w:t>. Regarding the F</w:t>
      </w:r>
      <w:r w:rsidR="004C5610">
        <w:rPr>
          <w:rFonts w:ascii="Times New Roman" w:eastAsia="Calibri" w:hAnsi="Times New Roman" w:cs="Times New Roman"/>
          <w:sz w:val="24"/>
          <w:szCs w:val="24"/>
          <w:lang w:val="en-GB"/>
        </w:rPr>
        <w:t>ranc zone</w:t>
      </w:r>
      <w:r w:rsidRPr="00BA252C">
        <w:rPr>
          <w:rFonts w:ascii="Times New Roman" w:eastAsia="Calibri" w:hAnsi="Times New Roman" w:cs="Times New Roman"/>
          <w:sz w:val="24"/>
          <w:szCs w:val="24"/>
          <w:lang w:val="en-GB"/>
        </w:rPr>
        <w:t xml:space="preserve">, debate </w:t>
      </w:r>
      <w:r w:rsidR="004C5610" w:rsidRPr="00BA252C">
        <w:rPr>
          <w:rFonts w:ascii="Times New Roman" w:eastAsia="Calibri" w:hAnsi="Times New Roman" w:cs="Times New Roman"/>
          <w:sz w:val="24"/>
          <w:szCs w:val="24"/>
          <w:lang w:val="en-GB"/>
        </w:rPr>
        <w:t>centres</w:t>
      </w:r>
      <w:r w:rsidRPr="00BA252C">
        <w:rPr>
          <w:rFonts w:ascii="Times New Roman" w:eastAsia="Calibri" w:hAnsi="Times New Roman" w:cs="Times New Roman"/>
          <w:sz w:val="24"/>
          <w:szCs w:val="24"/>
          <w:lang w:val="en-GB"/>
        </w:rPr>
        <w:t xml:space="preserve"> on its role, with some scholars considering it an OMZ and others challenging this notion. The CFAF is perceived by some as a remnant of colonialism, while others see it as a sign of multilateral cooperation. This part of the study will employ qualitative methods and adopt interpretivism as its philosophical framework.</w:t>
      </w:r>
    </w:p>
    <w:p w14:paraId="6C297415" w14:textId="53803841" w:rsidR="00BA252C" w:rsidRPr="00BA252C" w:rsidRDefault="00BA252C" w:rsidP="00BA252C">
      <w:pPr>
        <w:jc w:val="both"/>
        <w:rPr>
          <w:rFonts w:ascii="Times New Roman" w:eastAsia="Calibri" w:hAnsi="Times New Roman" w:cs="Times New Roman"/>
          <w:sz w:val="24"/>
          <w:szCs w:val="24"/>
          <w:lang w:val="en-GB"/>
        </w:rPr>
      </w:pPr>
      <w:r w:rsidRPr="004C5610">
        <w:rPr>
          <w:rFonts w:ascii="Times New Roman" w:eastAsia="Calibri" w:hAnsi="Times New Roman" w:cs="Times New Roman"/>
          <w:b/>
          <w:bCs/>
          <w:sz w:val="24"/>
          <w:szCs w:val="24"/>
          <w:lang w:val="en-GB"/>
        </w:rPr>
        <w:t>The Epistemology Approach</w:t>
      </w:r>
      <w:r w:rsidRPr="00BA252C">
        <w:rPr>
          <w:rFonts w:ascii="Times New Roman" w:eastAsia="Calibri" w:hAnsi="Times New Roman" w:cs="Times New Roman"/>
          <w:sz w:val="24"/>
          <w:szCs w:val="24"/>
          <w:lang w:val="en-GB"/>
        </w:rPr>
        <w:t xml:space="preserve"> deals with authors' varying views based on data about the CFA</w:t>
      </w:r>
      <w:r w:rsidR="00B25E6F">
        <w:rPr>
          <w:rFonts w:ascii="Times New Roman" w:eastAsia="Calibri" w:hAnsi="Times New Roman" w:cs="Times New Roman"/>
          <w:sz w:val="24"/>
          <w:szCs w:val="24"/>
          <w:lang w:val="en-GB"/>
        </w:rPr>
        <w:t xml:space="preserve"> </w:t>
      </w:r>
      <w:r w:rsidRPr="00BA252C">
        <w:rPr>
          <w:rFonts w:ascii="Times New Roman" w:eastAsia="Calibri" w:hAnsi="Times New Roman" w:cs="Times New Roman"/>
          <w:sz w:val="24"/>
          <w:szCs w:val="24"/>
          <w:lang w:val="en-GB"/>
        </w:rPr>
        <w:t>F</w:t>
      </w:r>
      <w:r w:rsidR="00B25E6F">
        <w:rPr>
          <w:rFonts w:ascii="Times New Roman" w:eastAsia="Calibri" w:hAnsi="Times New Roman" w:cs="Times New Roman"/>
          <w:sz w:val="24"/>
          <w:szCs w:val="24"/>
          <w:lang w:val="en-GB"/>
        </w:rPr>
        <w:t>ranc</w:t>
      </w:r>
      <w:r w:rsidRPr="00BA252C">
        <w:rPr>
          <w:rFonts w:ascii="Times New Roman" w:eastAsia="Calibri" w:hAnsi="Times New Roman" w:cs="Times New Roman"/>
          <w:sz w:val="24"/>
          <w:szCs w:val="24"/>
          <w:lang w:val="en-GB"/>
        </w:rPr>
        <w:t>'s capacity to promote development in the F</w:t>
      </w:r>
      <w:r w:rsidR="00B25E6F">
        <w:rPr>
          <w:rFonts w:ascii="Times New Roman" w:eastAsia="Calibri" w:hAnsi="Times New Roman" w:cs="Times New Roman"/>
          <w:sz w:val="24"/>
          <w:szCs w:val="24"/>
          <w:lang w:val="en-GB"/>
        </w:rPr>
        <w:t>ranc zone</w:t>
      </w:r>
      <w:r w:rsidRPr="00BA252C">
        <w:rPr>
          <w:rFonts w:ascii="Times New Roman" w:eastAsia="Calibri" w:hAnsi="Times New Roman" w:cs="Times New Roman"/>
          <w:sz w:val="24"/>
          <w:szCs w:val="24"/>
          <w:lang w:val="en-GB"/>
        </w:rPr>
        <w:t>, marked by conflicting opinions of the CFA</w:t>
      </w:r>
      <w:r w:rsidR="00B25E6F">
        <w:rPr>
          <w:rFonts w:ascii="Times New Roman" w:eastAsia="Calibri" w:hAnsi="Times New Roman" w:cs="Times New Roman"/>
          <w:sz w:val="24"/>
          <w:szCs w:val="24"/>
          <w:lang w:val="en-GB"/>
        </w:rPr>
        <w:t xml:space="preserve"> Franc</w:t>
      </w:r>
      <w:r w:rsidRPr="00BA252C">
        <w:rPr>
          <w:rFonts w:ascii="Times New Roman" w:eastAsia="Calibri" w:hAnsi="Times New Roman" w:cs="Times New Roman"/>
          <w:sz w:val="24"/>
          <w:szCs w:val="24"/>
          <w:lang w:val="en-GB"/>
        </w:rPr>
        <w:t xml:space="preserve"> as either a cause of macroeconomic instability or a factor of stability. The research questions will be tackled using quantitative methods and a positivist philosophical outlook.</w:t>
      </w:r>
    </w:p>
    <w:p w14:paraId="6BACB700" w14:textId="65D2F293" w:rsidR="00BA252C" w:rsidRDefault="00BA252C" w:rsidP="00BA252C">
      <w:pPr>
        <w:jc w:val="both"/>
        <w:rPr>
          <w:rFonts w:ascii="Times New Roman" w:eastAsia="Calibri" w:hAnsi="Times New Roman" w:cs="Times New Roman"/>
          <w:sz w:val="24"/>
          <w:szCs w:val="24"/>
          <w:lang w:val="en-GB"/>
        </w:rPr>
      </w:pPr>
      <w:r w:rsidRPr="00B25E6F">
        <w:rPr>
          <w:rFonts w:ascii="Times New Roman" w:eastAsia="Calibri" w:hAnsi="Times New Roman" w:cs="Times New Roman"/>
          <w:b/>
          <w:bCs/>
          <w:sz w:val="24"/>
          <w:szCs w:val="24"/>
          <w:lang w:val="en-GB"/>
        </w:rPr>
        <w:t>The Axiology Approach</w:t>
      </w:r>
      <w:r w:rsidRPr="00BA252C">
        <w:rPr>
          <w:rFonts w:ascii="Times New Roman" w:eastAsia="Calibri" w:hAnsi="Times New Roman" w:cs="Times New Roman"/>
          <w:sz w:val="24"/>
          <w:szCs w:val="24"/>
          <w:lang w:val="en-GB"/>
        </w:rPr>
        <w:t xml:space="preserve"> focuses on the study's ability to inform African governments, traders, and economists that the F</w:t>
      </w:r>
      <w:r w:rsidR="00CE7992">
        <w:rPr>
          <w:rFonts w:ascii="Times New Roman" w:eastAsia="Calibri" w:hAnsi="Times New Roman" w:cs="Times New Roman"/>
          <w:sz w:val="24"/>
          <w:szCs w:val="24"/>
          <w:lang w:val="en-GB"/>
        </w:rPr>
        <w:t>ranc zone</w:t>
      </w:r>
      <w:r w:rsidRPr="00BA252C">
        <w:rPr>
          <w:rFonts w:ascii="Times New Roman" w:eastAsia="Calibri" w:hAnsi="Times New Roman" w:cs="Times New Roman"/>
          <w:sz w:val="24"/>
          <w:szCs w:val="24"/>
          <w:lang w:val="en-GB"/>
        </w:rPr>
        <w:t xml:space="preserve"> needs to adapt to survive the global financial shifts threatening its existence. This adaptation should acknowledge and address the system's shortcomings </w:t>
      </w:r>
      <w:r w:rsidR="00CE7992" w:rsidRPr="00BA252C">
        <w:rPr>
          <w:rFonts w:ascii="Times New Roman" w:eastAsia="Calibri" w:hAnsi="Times New Roman" w:cs="Times New Roman"/>
          <w:sz w:val="24"/>
          <w:szCs w:val="24"/>
          <w:lang w:val="en-GB"/>
        </w:rPr>
        <w:t>considering</w:t>
      </w:r>
      <w:r w:rsidRPr="00BA252C">
        <w:rPr>
          <w:rFonts w:ascii="Times New Roman" w:eastAsia="Calibri" w:hAnsi="Times New Roman" w:cs="Times New Roman"/>
          <w:sz w:val="24"/>
          <w:szCs w:val="24"/>
          <w:lang w:val="en-GB"/>
        </w:rPr>
        <w:t xml:space="preserve"> continuous contextual changes.</w:t>
      </w:r>
    </w:p>
    <w:p w14:paraId="6506D1F0" w14:textId="77777777" w:rsidR="00CE7992" w:rsidRPr="00BA252C" w:rsidRDefault="00CE7992" w:rsidP="00BA252C">
      <w:pPr>
        <w:jc w:val="both"/>
        <w:rPr>
          <w:rFonts w:ascii="Times New Roman" w:eastAsia="Calibri" w:hAnsi="Times New Roman" w:cs="Times New Roman"/>
          <w:sz w:val="24"/>
          <w:szCs w:val="24"/>
          <w:lang w:val="en-GB"/>
        </w:rPr>
      </w:pPr>
    </w:p>
    <w:p w14:paraId="3BABC1E1" w14:textId="2ABE9025" w:rsidR="000B222C" w:rsidRPr="000B222C" w:rsidRDefault="000B222C" w:rsidP="000B222C">
      <w:pPr>
        <w:jc w:val="both"/>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Methodology</w:t>
      </w:r>
    </w:p>
    <w:p w14:paraId="47399627"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Indeed, this thesis integrates both positivism and interpretivism as its research philosophies, applying quantitative and qualitative methods accordingly. Nonetheless, </w:t>
      </w:r>
      <w:r w:rsidRPr="000B222C">
        <w:rPr>
          <w:rFonts w:ascii="Times New Roman" w:eastAsia="Calibri" w:hAnsi="Times New Roman" w:cs="Times New Roman"/>
          <w:b/>
          <w:bCs/>
          <w:sz w:val="24"/>
          <w:szCs w:val="24"/>
          <w:lang w:val="en-GB"/>
        </w:rPr>
        <w:t>for this assignment, the study focuses on quantitative methods using SPSS and maintains positivism as its ideological approach to tackle the research issue</w:t>
      </w:r>
      <w:r w:rsidRPr="000B222C">
        <w:rPr>
          <w:rFonts w:ascii="Times New Roman" w:eastAsia="Calibri" w:hAnsi="Times New Roman" w:cs="Times New Roman"/>
          <w:sz w:val="24"/>
          <w:szCs w:val="24"/>
          <w:lang w:val="en-GB"/>
        </w:rPr>
        <w:t>.</w:t>
      </w:r>
    </w:p>
    <w:p w14:paraId="07421F9A" w14:textId="77777777" w:rsidR="000B222C" w:rsidRPr="000B222C" w:rsidRDefault="000B222C" w:rsidP="000B222C">
      <w:pPr>
        <w:jc w:val="both"/>
        <w:rPr>
          <w:rFonts w:ascii="Times New Roman" w:eastAsia="Calibri" w:hAnsi="Times New Roman" w:cs="Times New Roman"/>
          <w:sz w:val="24"/>
          <w:szCs w:val="24"/>
          <w:lang w:val="en-GB"/>
        </w:rPr>
      </w:pPr>
    </w:p>
    <w:p w14:paraId="0EC30AB9" w14:textId="77777777" w:rsidR="000B222C" w:rsidRPr="000B222C" w:rsidRDefault="000B222C" w:rsidP="000B222C">
      <w:pPr>
        <w:jc w:val="both"/>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Data collection</w:t>
      </w:r>
    </w:p>
    <w:p w14:paraId="5182CE03" w14:textId="712C4114" w:rsidR="00B17706" w:rsidRPr="00B17706" w:rsidRDefault="00B17706" w:rsidP="00B17706">
      <w:pPr>
        <w:jc w:val="both"/>
        <w:rPr>
          <w:rFonts w:ascii="Times New Roman" w:eastAsia="Calibri" w:hAnsi="Times New Roman" w:cs="Times New Roman"/>
          <w:sz w:val="24"/>
          <w:szCs w:val="24"/>
          <w:lang w:val="en-GB"/>
        </w:rPr>
      </w:pPr>
      <w:r w:rsidRPr="00B17706">
        <w:rPr>
          <w:rFonts w:ascii="Times New Roman" w:eastAsia="Calibri" w:hAnsi="Times New Roman" w:cs="Times New Roman"/>
          <w:sz w:val="24"/>
          <w:szCs w:val="24"/>
          <w:lang w:val="en-GB"/>
        </w:rPr>
        <w:t>The study employs secondary quantitative data over a twenty-year period, from 2003 to 2023, involving fourteen countries within the F</w:t>
      </w:r>
      <w:r>
        <w:rPr>
          <w:rFonts w:ascii="Times New Roman" w:eastAsia="Calibri" w:hAnsi="Times New Roman" w:cs="Times New Roman"/>
          <w:sz w:val="24"/>
          <w:szCs w:val="24"/>
          <w:lang w:val="en-GB"/>
        </w:rPr>
        <w:t>ranc zone</w:t>
      </w:r>
      <w:r w:rsidRPr="00B17706">
        <w:rPr>
          <w:rFonts w:ascii="Times New Roman" w:eastAsia="Calibri" w:hAnsi="Times New Roman" w:cs="Times New Roman"/>
          <w:sz w:val="24"/>
          <w:szCs w:val="24"/>
          <w:lang w:val="en-GB"/>
        </w:rPr>
        <w:t>, as obtained from the World Bank. The countries include Benin, Burkina Faso, Cameroon, Congo, Côte d'Ivoire, Central African Republic, Chad, Equatorial Guinea, Gabon, Guinea Bissau, Mali, Niger, Senegal, and Togo.</w:t>
      </w:r>
    </w:p>
    <w:p w14:paraId="2CCECDDB" w14:textId="756BFCF8" w:rsidR="00B17706" w:rsidRPr="00B17706" w:rsidRDefault="00B17706" w:rsidP="00B17706">
      <w:pPr>
        <w:jc w:val="both"/>
        <w:rPr>
          <w:rFonts w:ascii="Times New Roman" w:eastAsia="Calibri" w:hAnsi="Times New Roman" w:cs="Times New Roman"/>
          <w:sz w:val="24"/>
          <w:szCs w:val="24"/>
          <w:lang w:val="en-GB"/>
        </w:rPr>
      </w:pPr>
      <w:r w:rsidRPr="00B17706">
        <w:rPr>
          <w:rFonts w:ascii="Times New Roman" w:eastAsia="Calibri" w:hAnsi="Times New Roman" w:cs="Times New Roman"/>
          <w:sz w:val="24"/>
          <w:szCs w:val="24"/>
          <w:lang w:val="en-GB"/>
        </w:rPr>
        <w:t>It is essential to recogni</w:t>
      </w:r>
      <w:r w:rsidR="00DC4342">
        <w:rPr>
          <w:rFonts w:ascii="Times New Roman" w:eastAsia="Calibri" w:hAnsi="Times New Roman" w:cs="Times New Roman"/>
          <w:sz w:val="24"/>
          <w:szCs w:val="24"/>
          <w:lang w:val="en-GB"/>
        </w:rPr>
        <w:t>s</w:t>
      </w:r>
      <w:r w:rsidRPr="00B17706">
        <w:rPr>
          <w:rFonts w:ascii="Times New Roman" w:eastAsia="Calibri" w:hAnsi="Times New Roman" w:cs="Times New Roman"/>
          <w:sz w:val="24"/>
          <w:szCs w:val="24"/>
          <w:lang w:val="en-GB"/>
        </w:rPr>
        <w:t>e that this dataset encompasses twenty macroeconomic indicators for each of the fourteen member nations</w:t>
      </w:r>
      <w:r w:rsidR="00917760">
        <w:rPr>
          <w:rFonts w:ascii="Times New Roman" w:eastAsia="Calibri" w:hAnsi="Times New Roman" w:cs="Times New Roman"/>
          <w:sz w:val="24"/>
          <w:szCs w:val="24"/>
          <w:lang w:val="en-GB"/>
        </w:rPr>
        <w:t xml:space="preserve"> of the Franc zone</w:t>
      </w:r>
      <w:r w:rsidRPr="00B17706">
        <w:rPr>
          <w:rFonts w:ascii="Times New Roman" w:eastAsia="Calibri" w:hAnsi="Times New Roman" w:cs="Times New Roman"/>
          <w:sz w:val="24"/>
          <w:szCs w:val="24"/>
          <w:lang w:val="en-GB"/>
        </w:rPr>
        <w:t xml:space="preserve">, such as: Agriculture, forestry, and fishing, value added (% of GDP); Central government debt, total (% of GDP); Exports of goods and services (% of GDP); Final consumption expenditure (% of GDP); External balance on </w:t>
      </w:r>
      <w:r w:rsidRPr="00B17706">
        <w:rPr>
          <w:rFonts w:ascii="Times New Roman" w:eastAsia="Calibri" w:hAnsi="Times New Roman" w:cs="Times New Roman"/>
          <w:sz w:val="24"/>
          <w:szCs w:val="24"/>
          <w:lang w:val="en-GB"/>
        </w:rPr>
        <w:lastRenderedPageBreak/>
        <w:t>goods and services (% of GDP); Expense (% of GDP); Gross national expenditure (% of GDP); Industry (including construction), value added (% of GDP); Imports of goods and services (% of GDP); Merchandise trade (% of GDP); Net acquisition of financial assets (% of GDP); Revenue, excluding grants (% of GDP); Stocks traded, total value (% of GDP); Tax revenue (% of GDP); Trade (% of GDP); Trade in services (% of GDP); Current account balance (% of GDP); Net lending (+) / net borrowing (-) (% of GDP); Foreign direct investment, net inflows (% of GDP); and Foreign direct investment, net outflows (% of GDP).</w:t>
      </w:r>
    </w:p>
    <w:p w14:paraId="4C307813" w14:textId="2FF76E81" w:rsidR="00F43C0F" w:rsidRDefault="00B17706" w:rsidP="000B222C">
      <w:pPr>
        <w:jc w:val="both"/>
        <w:rPr>
          <w:rFonts w:ascii="Times New Roman" w:eastAsia="Calibri" w:hAnsi="Times New Roman" w:cs="Times New Roman"/>
          <w:sz w:val="24"/>
          <w:szCs w:val="24"/>
          <w:lang w:val="en-GB"/>
        </w:rPr>
      </w:pPr>
      <w:r w:rsidRPr="00B17706">
        <w:rPr>
          <w:rFonts w:ascii="Times New Roman" w:eastAsia="Calibri" w:hAnsi="Times New Roman" w:cs="Times New Roman"/>
          <w:sz w:val="24"/>
          <w:szCs w:val="24"/>
          <w:lang w:val="en-GB"/>
        </w:rPr>
        <w:t>Upon collecting the data, it was evident that some indicators were missing from the Excel file. This necessitated codification. For the absent indicators, a placeholder value (99) was designated, and a measurable scale was developed for the subsequent transfer of the Excel sheet to SPSS.</w:t>
      </w:r>
    </w:p>
    <w:p w14:paraId="53E55C08" w14:textId="77777777" w:rsidR="00FF0F40" w:rsidRDefault="00FF0F40" w:rsidP="000B222C">
      <w:pPr>
        <w:jc w:val="both"/>
        <w:rPr>
          <w:rFonts w:ascii="Times New Roman" w:eastAsia="Calibri" w:hAnsi="Times New Roman" w:cs="Times New Roman"/>
          <w:sz w:val="24"/>
          <w:szCs w:val="24"/>
          <w:lang w:val="en-GB"/>
        </w:rPr>
      </w:pPr>
    </w:p>
    <w:p w14:paraId="5F79ED1F" w14:textId="77777777" w:rsidR="00FF0F40" w:rsidRDefault="00FF0F40" w:rsidP="000B222C">
      <w:pPr>
        <w:jc w:val="both"/>
        <w:rPr>
          <w:rFonts w:ascii="Times New Roman" w:eastAsia="Calibri" w:hAnsi="Times New Roman" w:cs="Times New Roman"/>
          <w:sz w:val="24"/>
          <w:szCs w:val="24"/>
          <w:lang w:val="en-GB"/>
        </w:rPr>
      </w:pPr>
    </w:p>
    <w:p w14:paraId="5B7D7B20" w14:textId="77777777" w:rsidR="00FF0F40" w:rsidRDefault="00FF0F40" w:rsidP="000B222C">
      <w:pPr>
        <w:jc w:val="both"/>
        <w:rPr>
          <w:rFonts w:ascii="Times New Roman" w:eastAsia="Calibri" w:hAnsi="Times New Roman" w:cs="Times New Roman"/>
          <w:sz w:val="24"/>
          <w:szCs w:val="24"/>
          <w:lang w:val="en-GB"/>
        </w:rPr>
      </w:pPr>
    </w:p>
    <w:p w14:paraId="51FA759F" w14:textId="77777777" w:rsidR="00FF0F40" w:rsidRDefault="00FF0F40" w:rsidP="000B222C">
      <w:pPr>
        <w:jc w:val="both"/>
        <w:rPr>
          <w:rFonts w:ascii="Times New Roman" w:eastAsia="Calibri" w:hAnsi="Times New Roman" w:cs="Times New Roman"/>
          <w:sz w:val="24"/>
          <w:szCs w:val="24"/>
          <w:lang w:val="en-GB"/>
        </w:rPr>
      </w:pPr>
    </w:p>
    <w:p w14:paraId="78A4AD34" w14:textId="77777777" w:rsidR="00FF0F40" w:rsidRDefault="00FF0F40" w:rsidP="000B222C">
      <w:pPr>
        <w:jc w:val="both"/>
        <w:rPr>
          <w:rFonts w:ascii="Times New Roman" w:eastAsia="Calibri" w:hAnsi="Times New Roman" w:cs="Times New Roman"/>
          <w:sz w:val="24"/>
          <w:szCs w:val="24"/>
          <w:lang w:val="en-GB"/>
        </w:rPr>
      </w:pPr>
    </w:p>
    <w:p w14:paraId="6574D91B" w14:textId="77777777" w:rsidR="00FF0F40" w:rsidRDefault="00FF0F40" w:rsidP="000B222C">
      <w:pPr>
        <w:jc w:val="both"/>
        <w:rPr>
          <w:rFonts w:ascii="Times New Roman" w:eastAsia="Calibri" w:hAnsi="Times New Roman" w:cs="Times New Roman"/>
          <w:sz w:val="24"/>
          <w:szCs w:val="24"/>
          <w:lang w:val="en-GB"/>
        </w:rPr>
      </w:pPr>
    </w:p>
    <w:p w14:paraId="47F21031" w14:textId="77777777" w:rsidR="00FF0F40" w:rsidRDefault="00FF0F40" w:rsidP="000B222C">
      <w:pPr>
        <w:jc w:val="both"/>
        <w:rPr>
          <w:rFonts w:ascii="Times New Roman" w:eastAsia="Calibri" w:hAnsi="Times New Roman" w:cs="Times New Roman"/>
          <w:sz w:val="24"/>
          <w:szCs w:val="24"/>
          <w:lang w:val="en-GB"/>
        </w:rPr>
      </w:pPr>
    </w:p>
    <w:p w14:paraId="110D7FDE" w14:textId="77777777" w:rsidR="00FF0F40" w:rsidRDefault="00FF0F40" w:rsidP="000B222C">
      <w:pPr>
        <w:jc w:val="both"/>
        <w:rPr>
          <w:rFonts w:ascii="Times New Roman" w:eastAsia="Calibri" w:hAnsi="Times New Roman" w:cs="Times New Roman"/>
          <w:sz w:val="24"/>
          <w:szCs w:val="24"/>
          <w:lang w:val="en-GB"/>
        </w:rPr>
      </w:pPr>
    </w:p>
    <w:p w14:paraId="6C51A55E" w14:textId="77777777" w:rsidR="00FF0F40" w:rsidRDefault="00FF0F40" w:rsidP="000B222C">
      <w:pPr>
        <w:jc w:val="both"/>
        <w:rPr>
          <w:rFonts w:ascii="Times New Roman" w:eastAsia="Calibri" w:hAnsi="Times New Roman" w:cs="Times New Roman"/>
          <w:sz w:val="24"/>
          <w:szCs w:val="24"/>
          <w:lang w:val="en-GB"/>
        </w:rPr>
      </w:pPr>
    </w:p>
    <w:p w14:paraId="65241068" w14:textId="77777777" w:rsidR="00FF0F40" w:rsidRDefault="00FF0F40" w:rsidP="000B222C">
      <w:pPr>
        <w:jc w:val="both"/>
        <w:rPr>
          <w:rFonts w:ascii="Times New Roman" w:eastAsia="Calibri" w:hAnsi="Times New Roman" w:cs="Times New Roman"/>
          <w:sz w:val="24"/>
          <w:szCs w:val="24"/>
          <w:lang w:val="en-GB"/>
        </w:rPr>
      </w:pPr>
    </w:p>
    <w:p w14:paraId="282D1040" w14:textId="77777777" w:rsidR="00FF0F40" w:rsidRDefault="00FF0F40" w:rsidP="000B222C">
      <w:pPr>
        <w:jc w:val="both"/>
        <w:rPr>
          <w:rFonts w:ascii="Times New Roman" w:eastAsia="Calibri" w:hAnsi="Times New Roman" w:cs="Times New Roman"/>
          <w:sz w:val="24"/>
          <w:szCs w:val="24"/>
          <w:lang w:val="en-GB"/>
        </w:rPr>
      </w:pPr>
    </w:p>
    <w:p w14:paraId="069C47A0" w14:textId="77777777" w:rsidR="00FF0F40" w:rsidRDefault="00FF0F40" w:rsidP="000B222C">
      <w:pPr>
        <w:jc w:val="both"/>
        <w:rPr>
          <w:rFonts w:ascii="Times New Roman" w:eastAsia="Calibri" w:hAnsi="Times New Roman" w:cs="Times New Roman"/>
          <w:sz w:val="24"/>
          <w:szCs w:val="24"/>
          <w:lang w:val="en-GB"/>
        </w:rPr>
      </w:pPr>
    </w:p>
    <w:p w14:paraId="75F27EB5" w14:textId="77777777" w:rsidR="00FF0F40" w:rsidRDefault="00FF0F40" w:rsidP="000B222C">
      <w:pPr>
        <w:jc w:val="both"/>
        <w:rPr>
          <w:rFonts w:ascii="Times New Roman" w:eastAsia="Calibri" w:hAnsi="Times New Roman" w:cs="Times New Roman"/>
          <w:sz w:val="24"/>
          <w:szCs w:val="24"/>
          <w:lang w:val="en-GB"/>
        </w:rPr>
      </w:pPr>
    </w:p>
    <w:p w14:paraId="0DD8C713" w14:textId="77777777" w:rsidR="00FF0F40" w:rsidRDefault="00FF0F40" w:rsidP="000B222C">
      <w:pPr>
        <w:jc w:val="both"/>
        <w:rPr>
          <w:rFonts w:ascii="Times New Roman" w:eastAsia="Calibri" w:hAnsi="Times New Roman" w:cs="Times New Roman"/>
          <w:sz w:val="24"/>
          <w:szCs w:val="24"/>
          <w:lang w:val="en-GB"/>
        </w:rPr>
      </w:pPr>
    </w:p>
    <w:p w14:paraId="1FE80A16" w14:textId="77777777" w:rsidR="00FF0F40" w:rsidRDefault="00FF0F40" w:rsidP="000B222C">
      <w:pPr>
        <w:jc w:val="both"/>
        <w:rPr>
          <w:rFonts w:ascii="Times New Roman" w:eastAsia="Calibri" w:hAnsi="Times New Roman" w:cs="Times New Roman"/>
          <w:sz w:val="24"/>
          <w:szCs w:val="24"/>
          <w:lang w:val="en-GB"/>
        </w:rPr>
      </w:pPr>
    </w:p>
    <w:p w14:paraId="26A458DD" w14:textId="77777777" w:rsidR="00FF0F40" w:rsidRDefault="00FF0F40" w:rsidP="000B222C">
      <w:pPr>
        <w:jc w:val="both"/>
        <w:rPr>
          <w:rFonts w:ascii="Times New Roman" w:eastAsia="Calibri" w:hAnsi="Times New Roman" w:cs="Times New Roman"/>
          <w:sz w:val="24"/>
          <w:szCs w:val="24"/>
          <w:lang w:val="en-GB"/>
        </w:rPr>
      </w:pPr>
    </w:p>
    <w:p w14:paraId="5D10D850" w14:textId="77777777" w:rsidR="00481226" w:rsidRDefault="00481226" w:rsidP="00481226">
      <w:pPr>
        <w:spacing w:after="0"/>
        <w:rPr>
          <w:rFonts w:ascii="Times New Roman" w:eastAsia="Calibri" w:hAnsi="Times New Roman" w:cs="Times New Roman"/>
          <w:sz w:val="24"/>
          <w:szCs w:val="24"/>
          <w:lang w:val="en-GB"/>
        </w:rPr>
      </w:pPr>
    </w:p>
    <w:p w14:paraId="6A476860" w14:textId="77777777" w:rsidR="00481226" w:rsidRDefault="00481226" w:rsidP="00481226">
      <w:pPr>
        <w:spacing w:after="0"/>
        <w:rPr>
          <w:rFonts w:ascii="Times New Roman" w:eastAsia="Calibri" w:hAnsi="Times New Roman" w:cs="Times New Roman"/>
          <w:sz w:val="24"/>
          <w:szCs w:val="24"/>
          <w:lang w:val="en-GB"/>
        </w:rPr>
      </w:pPr>
    </w:p>
    <w:p w14:paraId="4ADF7743" w14:textId="0B55A8DE" w:rsidR="000B222C" w:rsidRDefault="00146533" w:rsidP="00481226">
      <w:pPr>
        <w:spacing w:after="0"/>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DATA INTERPRETATION</w:t>
      </w:r>
      <w:r w:rsidR="00F400E3">
        <w:rPr>
          <w:rFonts w:ascii="Times New Roman" w:eastAsia="Calibri" w:hAnsi="Times New Roman" w:cs="Times New Roman"/>
          <w:b/>
          <w:bCs/>
          <w:sz w:val="24"/>
          <w:szCs w:val="24"/>
          <w:u w:val="single"/>
          <w:lang w:val="en-GB"/>
        </w:rPr>
        <w:t xml:space="preserve"> – TESTS OF CORRELATION</w:t>
      </w:r>
    </w:p>
    <w:p w14:paraId="69C8BDB0" w14:textId="77777777" w:rsidR="00FF0F40" w:rsidRDefault="00FF0F40" w:rsidP="00146533">
      <w:pPr>
        <w:spacing w:after="0"/>
        <w:jc w:val="center"/>
        <w:rPr>
          <w:rFonts w:ascii="Times New Roman" w:eastAsia="Calibri" w:hAnsi="Times New Roman" w:cs="Times New Roman"/>
          <w:b/>
          <w:bCs/>
          <w:sz w:val="24"/>
          <w:szCs w:val="24"/>
          <w:u w:val="single"/>
          <w:lang w:val="en-GB"/>
        </w:rPr>
      </w:pPr>
    </w:p>
    <w:p w14:paraId="5F21EB00" w14:textId="77777777" w:rsidR="00D96F49" w:rsidRDefault="00D96F49" w:rsidP="00146533">
      <w:pPr>
        <w:spacing w:after="0"/>
        <w:jc w:val="both"/>
        <w:rPr>
          <w:rFonts w:ascii="Times New Roman" w:eastAsia="Calibri" w:hAnsi="Times New Roman" w:cs="Times New Roman"/>
          <w:sz w:val="24"/>
          <w:szCs w:val="24"/>
          <w:lang w:val="en-GB"/>
        </w:rPr>
      </w:pPr>
    </w:p>
    <w:p w14:paraId="2F5D2A08" w14:textId="77777777" w:rsidR="00190EAC" w:rsidRDefault="003B7C2E" w:rsidP="00146533">
      <w:pPr>
        <w:spacing w:after="0"/>
        <w:jc w:val="both"/>
        <w:rPr>
          <w:rFonts w:ascii="Times New Roman" w:eastAsia="Calibri" w:hAnsi="Times New Roman" w:cs="Times New Roman"/>
          <w:sz w:val="24"/>
          <w:szCs w:val="24"/>
          <w:lang w:val="en-GB"/>
        </w:rPr>
      </w:pPr>
      <w:r w:rsidRPr="003B7C2E">
        <w:rPr>
          <w:rFonts w:ascii="Times New Roman" w:eastAsia="Calibri" w:hAnsi="Times New Roman" w:cs="Times New Roman"/>
          <w:sz w:val="24"/>
          <w:szCs w:val="24"/>
          <w:lang w:val="en-GB"/>
        </w:rPr>
        <w:t>At this stage, it is crucial to reemphasi</w:t>
      </w:r>
      <w:r w:rsidR="001070EB">
        <w:rPr>
          <w:rFonts w:ascii="Times New Roman" w:eastAsia="Calibri" w:hAnsi="Times New Roman" w:cs="Times New Roman"/>
          <w:sz w:val="24"/>
          <w:szCs w:val="24"/>
          <w:lang w:val="en-GB"/>
        </w:rPr>
        <w:t>s</w:t>
      </w:r>
      <w:r w:rsidRPr="003B7C2E">
        <w:rPr>
          <w:rFonts w:ascii="Times New Roman" w:eastAsia="Calibri" w:hAnsi="Times New Roman" w:cs="Times New Roman"/>
          <w:sz w:val="24"/>
          <w:szCs w:val="24"/>
          <w:lang w:val="en-GB"/>
        </w:rPr>
        <w:t xml:space="preserve">e our distinct hypothesis: </w:t>
      </w:r>
      <w:r w:rsidR="00201598">
        <w:rPr>
          <w:rFonts w:ascii="Times New Roman" w:eastAsia="Calibri" w:hAnsi="Times New Roman" w:cs="Times New Roman"/>
          <w:sz w:val="24"/>
          <w:szCs w:val="24"/>
          <w:lang w:val="en-GB"/>
        </w:rPr>
        <w:t>t</w:t>
      </w:r>
      <w:r w:rsidRPr="003B7C2E">
        <w:rPr>
          <w:rFonts w:ascii="Times New Roman" w:eastAsia="Calibri" w:hAnsi="Times New Roman" w:cs="Times New Roman"/>
          <w:sz w:val="24"/>
          <w:szCs w:val="24"/>
          <w:lang w:val="en-GB"/>
        </w:rPr>
        <w:t>he CFA Franc has not promoted economic growth in the Franc zone since its creation, especially in recent times.</w:t>
      </w:r>
    </w:p>
    <w:p w14:paraId="01162537" w14:textId="6D60A314" w:rsidR="00371CA5" w:rsidRDefault="003B7C2E" w:rsidP="00146533">
      <w:pPr>
        <w:spacing w:after="0"/>
        <w:jc w:val="both"/>
        <w:rPr>
          <w:rFonts w:ascii="Times New Roman" w:eastAsia="Calibri" w:hAnsi="Times New Roman" w:cs="Times New Roman"/>
          <w:sz w:val="24"/>
          <w:szCs w:val="24"/>
          <w:lang w:val="en-GB"/>
        </w:rPr>
      </w:pPr>
      <w:r w:rsidRPr="003B7C2E">
        <w:rPr>
          <w:rFonts w:ascii="Times New Roman" w:eastAsia="Calibri" w:hAnsi="Times New Roman" w:cs="Times New Roman"/>
          <w:sz w:val="24"/>
          <w:szCs w:val="24"/>
          <w:lang w:val="en-GB"/>
        </w:rPr>
        <w:t xml:space="preserve"> </w:t>
      </w:r>
    </w:p>
    <w:p w14:paraId="52E25825" w14:textId="77777777" w:rsidR="00A10A3F" w:rsidRDefault="003B7C2E" w:rsidP="00146533">
      <w:pPr>
        <w:spacing w:after="0"/>
        <w:jc w:val="both"/>
        <w:rPr>
          <w:rFonts w:ascii="Times New Roman" w:eastAsia="Calibri" w:hAnsi="Times New Roman" w:cs="Times New Roman"/>
          <w:sz w:val="24"/>
          <w:szCs w:val="24"/>
          <w:lang w:val="en-GB"/>
        </w:rPr>
      </w:pPr>
      <w:r w:rsidRPr="003B7C2E">
        <w:rPr>
          <w:rFonts w:ascii="Times New Roman" w:eastAsia="Calibri" w:hAnsi="Times New Roman" w:cs="Times New Roman"/>
          <w:sz w:val="24"/>
          <w:szCs w:val="24"/>
          <w:lang w:val="en-GB"/>
        </w:rPr>
        <w:t xml:space="preserve">The objective of this study is to determine the validity of our hypothesis. Through subsequent correlation and regression analyses using SPSS, we will ascertain whether the CFA Franc has indeed failed to stimulate economic growth in the Franc zone since its establishment, particularly in contemporary periods. </w:t>
      </w:r>
    </w:p>
    <w:p w14:paraId="511D1F1D" w14:textId="77777777" w:rsidR="00190EAC" w:rsidRDefault="00190EAC" w:rsidP="00146533">
      <w:pPr>
        <w:spacing w:after="0"/>
        <w:jc w:val="both"/>
        <w:rPr>
          <w:rFonts w:ascii="Times New Roman" w:eastAsia="Calibri" w:hAnsi="Times New Roman" w:cs="Times New Roman"/>
          <w:sz w:val="24"/>
          <w:szCs w:val="24"/>
          <w:lang w:val="en-GB"/>
        </w:rPr>
      </w:pPr>
    </w:p>
    <w:p w14:paraId="1317FB78" w14:textId="3C15DCF4" w:rsidR="003B7C2E" w:rsidRDefault="003B7C2E" w:rsidP="00146533">
      <w:pPr>
        <w:spacing w:after="0"/>
        <w:jc w:val="both"/>
        <w:rPr>
          <w:rFonts w:ascii="Times New Roman" w:eastAsia="Calibri" w:hAnsi="Times New Roman" w:cs="Times New Roman"/>
          <w:sz w:val="24"/>
          <w:szCs w:val="24"/>
          <w:lang w:val="en-GB"/>
        </w:rPr>
      </w:pPr>
      <w:r w:rsidRPr="003B7C2E">
        <w:rPr>
          <w:rFonts w:ascii="Times New Roman" w:eastAsia="Calibri" w:hAnsi="Times New Roman" w:cs="Times New Roman"/>
          <w:sz w:val="24"/>
          <w:szCs w:val="24"/>
          <w:lang w:val="en-GB"/>
        </w:rPr>
        <w:t xml:space="preserve">Firstly, </w:t>
      </w:r>
      <w:r w:rsidR="00F153EF">
        <w:rPr>
          <w:rFonts w:ascii="Times New Roman" w:eastAsia="Calibri" w:hAnsi="Times New Roman" w:cs="Times New Roman"/>
          <w:sz w:val="24"/>
          <w:szCs w:val="24"/>
          <w:lang w:val="en-GB"/>
        </w:rPr>
        <w:t>let us</w:t>
      </w:r>
      <w:r w:rsidRPr="003B7C2E">
        <w:rPr>
          <w:rFonts w:ascii="Times New Roman" w:eastAsia="Calibri" w:hAnsi="Times New Roman" w:cs="Times New Roman"/>
          <w:sz w:val="24"/>
          <w:szCs w:val="24"/>
          <w:lang w:val="en-GB"/>
        </w:rPr>
        <w:t xml:space="preserve"> examine whether there is a correlation between the CFA Franc currency and the </w:t>
      </w:r>
      <w:r w:rsidR="009D3C9A">
        <w:rPr>
          <w:rFonts w:ascii="Times New Roman" w:eastAsia="Calibri" w:hAnsi="Times New Roman" w:cs="Times New Roman"/>
          <w:sz w:val="24"/>
          <w:szCs w:val="24"/>
          <w:lang w:val="en-GB"/>
        </w:rPr>
        <w:t>Franc zone</w:t>
      </w:r>
      <w:r w:rsidRPr="003B7C2E">
        <w:rPr>
          <w:rFonts w:ascii="Times New Roman" w:eastAsia="Calibri" w:hAnsi="Times New Roman" w:cs="Times New Roman"/>
          <w:sz w:val="24"/>
          <w:szCs w:val="24"/>
          <w:lang w:val="en-GB"/>
        </w:rPr>
        <w:t xml:space="preserve"> from 2003 to 2023.</w:t>
      </w:r>
    </w:p>
    <w:p w14:paraId="4E58B79E" w14:textId="77777777" w:rsidR="00190EAC" w:rsidRDefault="00190EAC" w:rsidP="00146533">
      <w:pPr>
        <w:spacing w:after="0"/>
        <w:jc w:val="both"/>
        <w:rPr>
          <w:rFonts w:ascii="Times New Roman" w:eastAsia="Calibri" w:hAnsi="Times New Roman" w:cs="Times New Roman"/>
          <w:sz w:val="24"/>
          <w:szCs w:val="24"/>
          <w:lang w:val="en-GB"/>
        </w:rPr>
      </w:pPr>
    </w:p>
    <w:p w14:paraId="44117920" w14:textId="77777777" w:rsidR="00190EAC" w:rsidRDefault="00190EAC" w:rsidP="00146533">
      <w:pPr>
        <w:spacing w:after="0"/>
        <w:jc w:val="both"/>
        <w:rPr>
          <w:rFonts w:ascii="Times New Roman" w:eastAsia="Calibri" w:hAnsi="Times New Roman" w:cs="Times New Roman"/>
          <w:sz w:val="24"/>
          <w:szCs w:val="24"/>
          <w:lang w:val="en-GB"/>
        </w:rPr>
      </w:pPr>
    </w:p>
    <w:p w14:paraId="28EEDC16" w14:textId="51A94E5A" w:rsidR="00F400E3" w:rsidRPr="000B222C" w:rsidRDefault="00F52097" w:rsidP="00F400E3">
      <w:pPr>
        <w:jc w:val="both"/>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t>S</w:t>
      </w:r>
      <w:r w:rsidR="00C7094B">
        <w:rPr>
          <w:rFonts w:ascii="Times New Roman" w:hAnsi="Times New Roman" w:cs="Times New Roman"/>
          <w:b/>
          <w:bCs/>
          <w:sz w:val="24"/>
          <w:szCs w:val="24"/>
          <w:u w:val="single"/>
          <w:lang w:val="en-GB"/>
        </w:rPr>
        <w:t xml:space="preserve">imple </w:t>
      </w:r>
      <w:r>
        <w:rPr>
          <w:rFonts w:ascii="Times New Roman" w:hAnsi="Times New Roman" w:cs="Times New Roman"/>
          <w:b/>
          <w:bCs/>
          <w:sz w:val="24"/>
          <w:szCs w:val="24"/>
          <w:u w:val="single"/>
          <w:lang w:val="en-GB"/>
        </w:rPr>
        <w:t>diagram</w:t>
      </w:r>
    </w:p>
    <w:p w14:paraId="6E7DF80E" w14:textId="77777777" w:rsidR="00F400E3" w:rsidRPr="000B222C"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drawing>
          <wp:inline distT="0" distB="0" distL="0" distR="0" wp14:anchorId="1C0DEEAF" wp14:editId="248AAF90">
            <wp:extent cx="5942485" cy="3217086"/>
            <wp:effectExtent l="0" t="0" r="1270" b="2540"/>
            <wp:docPr id="19" name="Picture 14" descr="Description: A graph of a number of blue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A graph of a number of blue dot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2485" cy="3217086"/>
                    </a:xfrm>
                    <a:prstGeom prst="rect">
                      <a:avLst/>
                    </a:prstGeom>
                    <a:noFill/>
                    <a:ln>
                      <a:noFill/>
                    </a:ln>
                  </pic:spPr>
                </pic:pic>
              </a:graphicData>
            </a:graphic>
          </wp:inline>
        </w:drawing>
      </w:r>
    </w:p>
    <w:p w14:paraId="31782E45" w14:textId="4B7E2CEA" w:rsidR="001B0A7E" w:rsidRDefault="00C33D0B" w:rsidP="00F400E3">
      <w:pPr>
        <w:jc w:val="both"/>
        <w:rPr>
          <w:rFonts w:ascii="Times New Roman" w:eastAsia="Calibri" w:hAnsi="Times New Roman" w:cs="Times New Roman"/>
          <w:sz w:val="24"/>
          <w:szCs w:val="24"/>
          <w:lang w:val="en-GB"/>
        </w:rPr>
      </w:pPr>
      <w:r w:rsidRPr="00C33D0B">
        <w:rPr>
          <w:rFonts w:ascii="Times New Roman" w:eastAsia="Calibri" w:hAnsi="Times New Roman" w:cs="Times New Roman"/>
          <w:sz w:val="24"/>
          <w:szCs w:val="24"/>
          <w:lang w:val="en-GB"/>
        </w:rPr>
        <w:t xml:space="preserve">The preliminary basic diagram </w:t>
      </w:r>
      <w:bookmarkStart w:id="3" w:name="_Hlk175089029"/>
      <w:r w:rsidRPr="00C33D0B">
        <w:rPr>
          <w:rFonts w:ascii="Times New Roman" w:eastAsia="Calibri" w:hAnsi="Times New Roman" w:cs="Times New Roman"/>
          <w:sz w:val="24"/>
          <w:szCs w:val="24"/>
          <w:lang w:val="en-GB"/>
        </w:rPr>
        <w:t xml:space="preserve">indicates a </w:t>
      </w:r>
      <w:r w:rsidR="005F2412">
        <w:rPr>
          <w:rFonts w:ascii="Times New Roman" w:eastAsia="Calibri" w:hAnsi="Times New Roman" w:cs="Times New Roman"/>
          <w:sz w:val="24"/>
          <w:szCs w:val="24"/>
          <w:lang w:val="en-GB"/>
        </w:rPr>
        <w:t>high</w:t>
      </w:r>
      <w:r w:rsidRPr="00C33D0B">
        <w:rPr>
          <w:rFonts w:ascii="Times New Roman" w:eastAsia="Calibri" w:hAnsi="Times New Roman" w:cs="Times New Roman"/>
          <w:sz w:val="24"/>
          <w:szCs w:val="24"/>
          <w:lang w:val="en-GB"/>
        </w:rPr>
        <w:t xml:space="preserve"> positive correlation between the CFA Franc and</w:t>
      </w:r>
      <w:r w:rsidR="00CB111E">
        <w:rPr>
          <w:rFonts w:ascii="Times New Roman" w:eastAsia="Calibri" w:hAnsi="Times New Roman" w:cs="Times New Roman"/>
          <w:sz w:val="24"/>
          <w:szCs w:val="24"/>
          <w:lang w:val="en-GB"/>
        </w:rPr>
        <w:t xml:space="preserve"> </w:t>
      </w:r>
      <w:r w:rsidRPr="00C33D0B">
        <w:rPr>
          <w:rFonts w:ascii="Times New Roman" w:eastAsia="Calibri" w:hAnsi="Times New Roman" w:cs="Times New Roman"/>
          <w:sz w:val="24"/>
          <w:szCs w:val="24"/>
          <w:lang w:val="en-GB"/>
        </w:rPr>
        <w:t>the Franc zone from 2003 to 2004, despite a few outliers that are deemed insignificant</w:t>
      </w:r>
      <w:bookmarkEnd w:id="3"/>
      <w:r w:rsidRPr="00C33D0B">
        <w:rPr>
          <w:rFonts w:ascii="Times New Roman" w:eastAsia="Calibri" w:hAnsi="Times New Roman" w:cs="Times New Roman"/>
          <w:sz w:val="24"/>
          <w:szCs w:val="24"/>
          <w:lang w:val="en-GB"/>
        </w:rPr>
        <w:t>.</w:t>
      </w:r>
    </w:p>
    <w:p w14:paraId="2A310DA2" w14:textId="77777777" w:rsidR="006843D8" w:rsidRDefault="006843D8" w:rsidP="00F400E3">
      <w:pPr>
        <w:jc w:val="both"/>
        <w:rPr>
          <w:rFonts w:ascii="Times New Roman" w:eastAsia="Calibri" w:hAnsi="Times New Roman" w:cs="Times New Roman"/>
          <w:sz w:val="24"/>
          <w:szCs w:val="24"/>
          <w:lang w:val="en-GB"/>
        </w:rPr>
      </w:pPr>
    </w:p>
    <w:p w14:paraId="22903832" w14:textId="3650A6F7" w:rsidR="00C7094B" w:rsidRPr="000B222C" w:rsidRDefault="00C7094B" w:rsidP="00F400E3">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 xml:space="preserve">Scatter </w:t>
      </w:r>
      <w:r w:rsidR="00BB1841">
        <w:rPr>
          <w:rFonts w:ascii="Times New Roman" w:eastAsia="Calibri" w:hAnsi="Times New Roman" w:cs="Times New Roman"/>
          <w:b/>
          <w:bCs/>
          <w:sz w:val="24"/>
          <w:szCs w:val="24"/>
          <w:u w:val="single"/>
          <w:lang w:val="en-GB"/>
        </w:rPr>
        <w:t>diagrams</w:t>
      </w:r>
    </w:p>
    <w:p w14:paraId="724783DF" w14:textId="77777777" w:rsidR="00F400E3" w:rsidRPr="000B222C"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lastRenderedPageBreak/>
        <w:drawing>
          <wp:inline distT="0" distB="0" distL="0" distR="0" wp14:anchorId="2259EC23" wp14:editId="6EC4BA2D">
            <wp:extent cx="5943600" cy="3510280"/>
            <wp:effectExtent l="0" t="0" r="0" b="0"/>
            <wp:docPr id="20" name="Picture 2" descr="A grid of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A grid of blue dot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510280"/>
                    </a:xfrm>
                    <a:prstGeom prst="rect">
                      <a:avLst/>
                    </a:prstGeom>
                    <a:noFill/>
                    <a:ln>
                      <a:noFill/>
                    </a:ln>
                  </pic:spPr>
                </pic:pic>
              </a:graphicData>
            </a:graphic>
          </wp:inline>
        </w:drawing>
      </w:r>
    </w:p>
    <w:p w14:paraId="1C68E58D" w14:textId="38C0C667" w:rsidR="00F400E3"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A clear, linear arrangement of points ascendin</w:t>
      </w:r>
      <w:r>
        <w:rPr>
          <w:rFonts w:ascii="Times New Roman" w:eastAsia="Calibri" w:hAnsi="Times New Roman" w:cs="Times New Roman"/>
          <w:sz w:val="24"/>
          <w:szCs w:val="24"/>
          <w:lang w:val="en-GB"/>
        </w:rPr>
        <w:t>g</w:t>
      </w:r>
      <w:r w:rsidR="001642F4">
        <w:rPr>
          <w:rFonts w:ascii="Times New Roman" w:eastAsia="Calibri" w:hAnsi="Times New Roman" w:cs="Times New Roman"/>
          <w:sz w:val="24"/>
          <w:szCs w:val="24"/>
          <w:lang w:val="en-GB"/>
        </w:rPr>
        <w:t xml:space="preserve"> with few outliers</w:t>
      </w:r>
      <w:r w:rsidRPr="000B222C">
        <w:rPr>
          <w:rFonts w:ascii="Times New Roman" w:eastAsia="Calibri" w:hAnsi="Times New Roman" w:cs="Times New Roman"/>
          <w:sz w:val="24"/>
          <w:szCs w:val="24"/>
          <w:lang w:val="en-GB"/>
        </w:rPr>
        <w:t xml:space="preserve">, signifies a </w:t>
      </w:r>
      <w:r w:rsidR="001642F4">
        <w:rPr>
          <w:rFonts w:ascii="Times New Roman" w:eastAsia="Calibri" w:hAnsi="Times New Roman" w:cs="Times New Roman"/>
          <w:sz w:val="24"/>
          <w:szCs w:val="24"/>
          <w:lang w:val="en-GB"/>
        </w:rPr>
        <w:t xml:space="preserve">high positive </w:t>
      </w:r>
      <w:r w:rsidRPr="000B222C">
        <w:rPr>
          <w:rFonts w:ascii="Times New Roman" w:eastAsia="Calibri" w:hAnsi="Times New Roman" w:cs="Times New Roman"/>
          <w:sz w:val="24"/>
          <w:szCs w:val="24"/>
          <w:lang w:val="en-GB"/>
        </w:rPr>
        <w:t xml:space="preserve">correlation between </w:t>
      </w:r>
      <w:r w:rsidR="00AA4D12">
        <w:rPr>
          <w:rFonts w:ascii="Times New Roman" w:eastAsia="Calibri" w:hAnsi="Times New Roman" w:cs="Times New Roman"/>
          <w:sz w:val="24"/>
          <w:szCs w:val="24"/>
          <w:lang w:val="en-GB"/>
        </w:rPr>
        <w:t>2003</w:t>
      </w:r>
      <w:r w:rsidR="00A708AF">
        <w:rPr>
          <w:rFonts w:ascii="Times New Roman" w:eastAsia="Calibri" w:hAnsi="Times New Roman" w:cs="Times New Roman"/>
          <w:sz w:val="24"/>
          <w:szCs w:val="24"/>
          <w:lang w:val="en-GB"/>
        </w:rPr>
        <w:t xml:space="preserve"> and </w:t>
      </w:r>
      <w:r w:rsidR="00AA4D12">
        <w:rPr>
          <w:rFonts w:ascii="Times New Roman" w:eastAsia="Calibri" w:hAnsi="Times New Roman" w:cs="Times New Roman"/>
          <w:sz w:val="24"/>
          <w:szCs w:val="24"/>
          <w:lang w:val="en-GB"/>
        </w:rPr>
        <w:t>2008</w:t>
      </w:r>
      <w:r w:rsidRPr="000B222C">
        <w:rPr>
          <w:rFonts w:ascii="Times New Roman" w:eastAsia="Calibri" w:hAnsi="Times New Roman" w:cs="Times New Roman"/>
          <w:sz w:val="24"/>
          <w:szCs w:val="24"/>
          <w:lang w:val="en-GB"/>
        </w:rPr>
        <w:t>.</w:t>
      </w:r>
      <w:r w:rsidR="00A708AF">
        <w:rPr>
          <w:rFonts w:ascii="Times New Roman" w:eastAsia="Calibri" w:hAnsi="Times New Roman" w:cs="Times New Roman"/>
          <w:sz w:val="24"/>
          <w:szCs w:val="24"/>
          <w:lang w:val="en-GB"/>
        </w:rPr>
        <w:t xml:space="preserve"> Consequently, the</w:t>
      </w:r>
      <w:r w:rsidR="00430078">
        <w:rPr>
          <w:rFonts w:ascii="Times New Roman" w:eastAsia="Calibri" w:hAnsi="Times New Roman" w:cs="Times New Roman"/>
          <w:sz w:val="24"/>
          <w:szCs w:val="24"/>
          <w:lang w:val="en-GB"/>
        </w:rPr>
        <w:t xml:space="preserve"> second diagram which is a scatter diagram </w:t>
      </w:r>
      <w:r w:rsidR="00262752">
        <w:rPr>
          <w:rFonts w:ascii="Times New Roman" w:eastAsia="Calibri" w:hAnsi="Times New Roman" w:cs="Times New Roman"/>
          <w:sz w:val="24"/>
          <w:szCs w:val="24"/>
          <w:lang w:val="en-GB"/>
        </w:rPr>
        <w:t xml:space="preserve">also </w:t>
      </w:r>
      <w:r w:rsidR="00A708AF" w:rsidRPr="00A708AF">
        <w:rPr>
          <w:rFonts w:ascii="Times New Roman" w:eastAsia="Calibri" w:hAnsi="Times New Roman" w:cs="Times New Roman"/>
          <w:sz w:val="24"/>
          <w:szCs w:val="24"/>
          <w:lang w:val="en-GB"/>
        </w:rPr>
        <w:t>indicates a high positive correlation between the CFA Franc an</w:t>
      </w:r>
      <w:r w:rsidR="00AC2F7E">
        <w:rPr>
          <w:rFonts w:ascii="Times New Roman" w:eastAsia="Calibri" w:hAnsi="Times New Roman" w:cs="Times New Roman"/>
          <w:sz w:val="24"/>
          <w:szCs w:val="24"/>
          <w:lang w:val="en-GB"/>
        </w:rPr>
        <w:t>d</w:t>
      </w:r>
      <w:r w:rsidR="00A708AF" w:rsidRPr="00A708AF">
        <w:rPr>
          <w:rFonts w:ascii="Times New Roman" w:eastAsia="Calibri" w:hAnsi="Times New Roman" w:cs="Times New Roman"/>
          <w:sz w:val="24"/>
          <w:szCs w:val="24"/>
          <w:lang w:val="en-GB"/>
        </w:rPr>
        <w:t xml:space="preserve"> the Franc zone from 2003 to 200</w:t>
      </w:r>
      <w:r w:rsidR="00EA5976">
        <w:rPr>
          <w:rFonts w:ascii="Times New Roman" w:eastAsia="Calibri" w:hAnsi="Times New Roman" w:cs="Times New Roman"/>
          <w:sz w:val="24"/>
          <w:szCs w:val="24"/>
          <w:lang w:val="en-GB"/>
        </w:rPr>
        <w:t>8.</w:t>
      </w:r>
    </w:p>
    <w:p w14:paraId="17CD31E1" w14:textId="77777777" w:rsidR="00D64D19" w:rsidRPr="000B222C" w:rsidRDefault="00D64D19" w:rsidP="00F400E3">
      <w:pPr>
        <w:jc w:val="both"/>
        <w:rPr>
          <w:rFonts w:ascii="Times New Roman" w:eastAsia="Calibri" w:hAnsi="Times New Roman" w:cs="Times New Roman"/>
          <w:sz w:val="24"/>
          <w:szCs w:val="24"/>
          <w:lang w:val="en-GB"/>
        </w:rPr>
      </w:pPr>
    </w:p>
    <w:p w14:paraId="7F3B09BE" w14:textId="77777777" w:rsidR="00F400E3" w:rsidRPr="000B222C"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drawing>
          <wp:inline distT="0" distB="0" distL="0" distR="0" wp14:anchorId="0C274AC9" wp14:editId="71662C3B">
            <wp:extent cx="5943426" cy="2930084"/>
            <wp:effectExtent l="0" t="0" r="635" b="3810"/>
            <wp:docPr id="21" name="Picture 13" descr="Description: A grid of blue and black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cription: A grid of blue and black object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2014" cy="2934318"/>
                    </a:xfrm>
                    <a:prstGeom prst="rect">
                      <a:avLst/>
                    </a:prstGeom>
                    <a:noFill/>
                    <a:ln>
                      <a:noFill/>
                    </a:ln>
                  </pic:spPr>
                </pic:pic>
              </a:graphicData>
            </a:graphic>
          </wp:inline>
        </w:drawing>
      </w:r>
    </w:p>
    <w:p w14:paraId="50C88383" w14:textId="77777777" w:rsidR="00F400E3" w:rsidRPr="000B222C" w:rsidRDefault="00F400E3" w:rsidP="00F400E3">
      <w:pPr>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lastRenderedPageBreak/>
        <w:drawing>
          <wp:inline distT="0" distB="0" distL="0" distR="0" wp14:anchorId="1635CABE" wp14:editId="28AFAA86">
            <wp:extent cx="5943600" cy="3849370"/>
            <wp:effectExtent l="0" t="0" r="0" b="0"/>
            <wp:docPr id="22" name="Picture 12" descr="Description: 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cription: A screenshot of a gam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849370"/>
                    </a:xfrm>
                    <a:prstGeom prst="rect">
                      <a:avLst/>
                    </a:prstGeom>
                    <a:noFill/>
                    <a:ln>
                      <a:noFill/>
                    </a:ln>
                  </pic:spPr>
                </pic:pic>
              </a:graphicData>
            </a:graphic>
          </wp:inline>
        </w:drawing>
      </w:r>
    </w:p>
    <w:p w14:paraId="292CEBD9" w14:textId="0364EB2D" w:rsidR="00BD589A" w:rsidRPr="00BD589A" w:rsidRDefault="00BD589A" w:rsidP="00BD589A">
      <w:pPr>
        <w:jc w:val="both"/>
        <w:rPr>
          <w:rFonts w:ascii="Times New Roman" w:eastAsia="Calibri" w:hAnsi="Times New Roman" w:cs="Times New Roman"/>
          <w:sz w:val="24"/>
          <w:szCs w:val="24"/>
          <w:lang w:val="en-GB"/>
        </w:rPr>
      </w:pPr>
      <w:r w:rsidRPr="00BD589A">
        <w:rPr>
          <w:rFonts w:ascii="Times New Roman" w:eastAsia="Calibri" w:hAnsi="Times New Roman" w:cs="Times New Roman"/>
          <w:sz w:val="24"/>
          <w:szCs w:val="24"/>
          <w:lang w:val="en-GB"/>
        </w:rPr>
        <w:t>The third and fourth diagrams, which are scatter plots covering the periods 2003-2013 and 2013-2023 respectively, both show a high positive correlation with a few outliers. Thus, from 2003 to 2023, there is a high positive correlation between the CFA Franc and the 14 countries in the Franc zone.</w:t>
      </w:r>
    </w:p>
    <w:p w14:paraId="05D03842" w14:textId="211D45AC" w:rsidR="00E84064" w:rsidRDefault="00BD589A" w:rsidP="00BD589A">
      <w:pPr>
        <w:jc w:val="both"/>
        <w:rPr>
          <w:rFonts w:ascii="Times New Roman" w:eastAsia="Calibri" w:hAnsi="Times New Roman" w:cs="Times New Roman"/>
          <w:sz w:val="24"/>
          <w:szCs w:val="24"/>
          <w:lang w:val="en-GB"/>
        </w:rPr>
      </w:pPr>
      <w:r w:rsidRPr="00BD589A">
        <w:rPr>
          <w:rFonts w:ascii="Times New Roman" w:eastAsia="Calibri" w:hAnsi="Times New Roman" w:cs="Times New Roman"/>
          <w:sz w:val="24"/>
          <w:szCs w:val="24"/>
          <w:lang w:val="en-GB"/>
        </w:rPr>
        <w:t>To summari</w:t>
      </w:r>
      <w:r>
        <w:rPr>
          <w:rFonts w:ascii="Times New Roman" w:eastAsia="Calibri" w:hAnsi="Times New Roman" w:cs="Times New Roman"/>
          <w:sz w:val="24"/>
          <w:szCs w:val="24"/>
          <w:lang w:val="en-GB"/>
        </w:rPr>
        <w:t>s</w:t>
      </w:r>
      <w:r w:rsidRPr="00BD589A">
        <w:rPr>
          <w:rFonts w:ascii="Times New Roman" w:eastAsia="Calibri" w:hAnsi="Times New Roman" w:cs="Times New Roman"/>
          <w:sz w:val="24"/>
          <w:szCs w:val="24"/>
          <w:lang w:val="en-GB"/>
        </w:rPr>
        <w:t>e, our four diagrams (</w:t>
      </w:r>
      <w:r w:rsidR="00B019C7">
        <w:rPr>
          <w:rFonts w:ascii="Times New Roman" w:eastAsia="Calibri" w:hAnsi="Times New Roman" w:cs="Times New Roman"/>
          <w:sz w:val="24"/>
          <w:szCs w:val="24"/>
          <w:lang w:val="en-GB"/>
        </w:rPr>
        <w:t>simple</w:t>
      </w:r>
      <w:r w:rsidRPr="00BD589A">
        <w:rPr>
          <w:rFonts w:ascii="Times New Roman" w:eastAsia="Calibri" w:hAnsi="Times New Roman" w:cs="Times New Roman"/>
          <w:sz w:val="24"/>
          <w:szCs w:val="24"/>
          <w:lang w:val="en-GB"/>
        </w:rPr>
        <w:t xml:space="preserve"> graph and three scatter plots) demonstrate a robust positive correlation between the CFA Franc and the Franc zone. This suggests a relation between the CFA Franc and the Franc zone over the period from 2003 to 2023.</w:t>
      </w:r>
    </w:p>
    <w:p w14:paraId="439A6D26" w14:textId="77777777" w:rsidR="00146EE2" w:rsidRDefault="00146EE2" w:rsidP="00BD589A">
      <w:pPr>
        <w:jc w:val="both"/>
        <w:rPr>
          <w:rFonts w:ascii="Times New Roman" w:eastAsia="Calibri" w:hAnsi="Times New Roman" w:cs="Times New Roman"/>
          <w:sz w:val="24"/>
          <w:szCs w:val="24"/>
          <w:lang w:val="en-GB"/>
        </w:rPr>
      </w:pPr>
    </w:p>
    <w:p w14:paraId="47C83490" w14:textId="3C52C22B" w:rsidR="00E84064" w:rsidRDefault="00E84064" w:rsidP="00F400E3">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Correlations</w:t>
      </w:r>
    </w:p>
    <w:p w14:paraId="2EE70262" w14:textId="2F236115" w:rsidR="001F2969" w:rsidRPr="007B468E" w:rsidRDefault="007B468E" w:rsidP="001F2969">
      <w:pPr>
        <w:pStyle w:val="ListParagraph"/>
        <w:numPr>
          <w:ilvl w:val="0"/>
          <w:numId w:val="3"/>
        </w:numPr>
        <w:jc w:val="both"/>
        <w:rPr>
          <w:rFonts w:ascii="Times New Roman" w:eastAsia="Calibri" w:hAnsi="Times New Roman" w:cs="Times New Roman"/>
          <w:b/>
          <w:bCs/>
          <w:sz w:val="24"/>
          <w:szCs w:val="24"/>
          <w:u w:val="single"/>
          <w:lang w:val="en-GB"/>
        </w:rPr>
      </w:pPr>
      <w:bookmarkStart w:id="4" w:name="_Hlk175094053"/>
      <w:r>
        <w:rPr>
          <w:rFonts w:ascii="Times New Roman" w:eastAsia="Calibri" w:hAnsi="Times New Roman" w:cs="Times New Roman"/>
          <w:sz w:val="24"/>
          <w:szCs w:val="24"/>
          <w:lang w:val="en-GB"/>
        </w:rPr>
        <w:t>Correlations vary between -1 and 1</w:t>
      </w:r>
      <w:r w:rsidR="00E301C5">
        <w:rPr>
          <w:rFonts w:ascii="Times New Roman" w:eastAsia="Calibri" w:hAnsi="Times New Roman" w:cs="Times New Roman"/>
          <w:sz w:val="24"/>
          <w:szCs w:val="24"/>
          <w:lang w:val="en-GB"/>
        </w:rPr>
        <w:t>, if 0 is not a correlation</w:t>
      </w:r>
    </w:p>
    <w:p w14:paraId="04DCF2D8" w14:textId="43926279" w:rsidR="007B468E" w:rsidRPr="001F2969" w:rsidRDefault="00E301C5" w:rsidP="001F2969">
      <w:pPr>
        <w:pStyle w:val="ListParagraph"/>
        <w:numPr>
          <w:ilvl w:val="0"/>
          <w:numId w:val="3"/>
        </w:numPr>
        <w:jc w:val="both"/>
        <w:rPr>
          <w:rFonts w:ascii="Times New Roman" w:eastAsia="Calibri" w:hAnsi="Times New Roman" w:cs="Times New Roman"/>
          <w:b/>
          <w:bCs/>
          <w:sz w:val="24"/>
          <w:szCs w:val="24"/>
          <w:u w:val="single"/>
          <w:lang w:val="en-GB"/>
        </w:rPr>
      </w:pPr>
      <w:r>
        <w:rPr>
          <w:rFonts w:ascii="Times New Roman" w:eastAsia="Calibri" w:hAnsi="Times New Roman" w:cs="Times New Roman"/>
          <w:sz w:val="24"/>
          <w:szCs w:val="24"/>
          <w:lang w:val="en-GB"/>
        </w:rPr>
        <w:t>For correlations, Sig</w:t>
      </w:r>
      <w:r w:rsidR="0016506D">
        <w:rPr>
          <w:rFonts w:ascii="Times New Roman" w:eastAsia="Calibri" w:hAnsi="Times New Roman" w:cs="Times New Roman"/>
          <w:sz w:val="24"/>
          <w:szCs w:val="24"/>
          <w:lang w:val="en-GB"/>
        </w:rPr>
        <w:t xml:space="preserve"> value </w:t>
      </w:r>
      <w:r w:rsidR="003B63AB">
        <w:rPr>
          <w:rFonts w:ascii="Times New Roman" w:eastAsia="Calibri" w:hAnsi="Times New Roman" w:cs="Times New Roman"/>
          <w:sz w:val="24"/>
          <w:szCs w:val="24"/>
          <w:lang w:val="en-GB"/>
        </w:rPr>
        <w:t>must</w:t>
      </w:r>
      <w:r w:rsidR="0016506D">
        <w:rPr>
          <w:rFonts w:ascii="Times New Roman" w:eastAsia="Calibri" w:hAnsi="Times New Roman" w:cs="Times New Roman"/>
          <w:sz w:val="24"/>
          <w:szCs w:val="24"/>
          <w:lang w:val="en-GB"/>
        </w:rPr>
        <w:t xml:space="preserve"> </w:t>
      </w:r>
      <w:r w:rsidR="003B63AB">
        <w:rPr>
          <w:rFonts w:ascii="Times New Roman" w:eastAsia="Calibri" w:hAnsi="Times New Roman" w:cs="Times New Roman"/>
          <w:sz w:val="24"/>
          <w:szCs w:val="24"/>
          <w:lang w:val="en-GB"/>
        </w:rPr>
        <w:t xml:space="preserve">be </w:t>
      </w:r>
      <w:r w:rsidR="0016506D">
        <w:rPr>
          <w:rFonts w:ascii="Times New Roman" w:eastAsia="Calibri" w:hAnsi="Times New Roman" w:cs="Times New Roman"/>
          <w:sz w:val="24"/>
          <w:szCs w:val="24"/>
          <w:lang w:val="en-GB"/>
        </w:rPr>
        <w:t xml:space="preserve">equal or less than 0.05 </w:t>
      </w:r>
    </w:p>
    <w:p w14:paraId="52B17C9F" w14:textId="2C9C7695" w:rsidR="00CD202F" w:rsidRPr="00CD202F" w:rsidRDefault="00CD202F" w:rsidP="00CD202F">
      <w:pPr>
        <w:jc w:val="both"/>
        <w:rPr>
          <w:rFonts w:ascii="Times New Roman" w:hAnsi="Times New Roman" w:cs="Times New Roman"/>
          <w:sz w:val="24"/>
          <w:szCs w:val="24"/>
          <w:lang w:val="en-GB"/>
        </w:rPr>
      </w:pPr>
      <w:r w:rsidRPr="00CD202F">
        <w:rPr>
          <w:rFonts w:ascii="Times New Roman" w:hAnsi="Times New Roman" w:cs="Times New Roman"/>
          <w:sz w:val="24"/>
          <w:szCs w:val="24"/>
          <w:lang w:val="en-GB"/>
        </w:rPr>
        <w:t>The Pearson correlation analysis involves non-parametric tests on 20 macroeconomic indicators</w:t>
      </w:r>
      <w:r w:rsidR="00B45FEA">
        <w:rPr>
          <w:rFonts w:ascii="Times New Roman" w:hAnsi="Times New Roman" w:cs="Times New Roman"/>
          <w:sz w:val="24"/>
          <w:szCs w:val="24"/>
          <w:lang w:val="en-GB"/>
        </w:rPr>
        <w:t xml:space="preserve"> of the CFA</w:t>
      </w:r>
      <w:r w:rsidR="00D57DC1">
        <w:rPr>
          <w:rFonts w:ascii="Times New Roman" w:hAnsi="Times New Roman" w:cs="Times New Roman"/>
          <w:sz w:val="24"/>
          <w:szCs w:val="24"/>
          <w:lang w:val="en-GB"/>
        </w:rPr>
        <w:t xml:space="preserve"> Franc</w:t>
      </w:r>
      <w:r w:rsidRPr="00CD202F">
        <w:rPr>
          <w:rFonts w:ascii="Times New Roman" w:hAnsi="Times New Roman" w:cs="Times New Roman"/>
          <w:sz w:val="24"/>
          <w:szCs w:val="24"/>
          <w:lang w:val="en-GB"/>
        </w:rPr>
        <w:t xml:space="preserve"> across 14 Sub-Saharan African countries from 2003 to 2023. The significance (Sig) value is consistently less than 0.001 throughout this period. Moreover, the correlation, while always positive, shows annual fluctuations and a slight downward trend over time. For instance, the correlation started at 0.912 in 2004, denoting a very strong relationship between the CFA Franc and the twenty macroeconomic indicators. It then gradually declined, with values </w:t>
      </w:r>
      <w:r w:rsidRPr="00CD202F">
        <w:rPr>
          <w:rFonts w:ascii="Times New Roman" w:hAnsi="Times New Roman" w:cs="Times New Roman"/>
          <w:sz w:val="24"/>
          <w:szCs w:val="24"/>
          <w:lang w:val="en-GB"/>
        </w:rPr>
        <w:lastRenderedPageBreak/>
        <w:t>ranging from 0.897 to 0.722 between 200</w:t>
      </w:r>
      <w:r w:rsidR="00F83A30">
        <w:rPr>
          <w:rFonts w:ascii="Times New Roman" w:hAnsi="Times New Roman" w:cs="Times New Roman"/>
          <w:sz w:val="24"/>
          <w:szCs w:val="24"/>
          <w:lang w:val="en-GB"/>
        </w:rPr>
        <w:t xml:space="preserve">5 </w:t>
      </w:r>
      <w:r w:rsidRPr="00CD202F">
        <w:rPr>
          <w:rFonts w:ascii="Times New Roman" w:hAnsi="Times New Roman" w:cs="Times New Roman"/>
          <w:sz w:val="24"/>
          <w:szCs w:val="24"/>
          <w:lang w:val="en-GB"/>
        </w:rPr>
        <w:t>and 2014, indicating a substantial relationship. Finally, it decreased steadily from 0.693 to 0.421 between 2015 and 2023, suggesting a moderate relationship.</w:t>
      </w:r>
    </w:p>
    <w:p w14:paraId="7F121D9C" w14:textId="55062366" w:rsidR="00692CBD" w:rsidRPr="00CD202F" w:rsidRDefault="00CD202F" w:rsidP="00CD202F">
      <w:pPr>
        <w:jc w:val="both"/>
        <w:rPr>
          <w:rFonts w:ascii="Times New Roman" w:hAnsi="Times New Roman" w:cs="Times New Roman"/>
          <w:sz w:val="24"/>
          <w:szCs w:val="24"/>
          <w:lang w:val="en-GB"/>
        </w:rPr>
        <w:sectPr w:rsidR="00692CBD" w:rsidRPr="00CD202F" w:rsidSect="000B222C">
          <w:footerReference w:type="default" r:id="rId14"/>
          <w:pgSz w:w="12240" w:h="15840"/>
          <w:pgMar w:top="1440" w:right="1440" w:bottom="1440" w:left="1440" w:header="708" w:footer="708" w:gutter="0"/>
          <w:cols w:space="720"/>
        </w:sectPr>
      </w:pPr>
      <w:r w:rsidRPr="00CD202F">
        <w:rPr>
          <w:rFonts w:ascii="Times New Roman" w:hAnsi="Times New Roman" w:cs="Times New Roman"/>
          <w:sz w:val="24"/>
          <w:szCs w:val="24"/>
          <w:lang w:val="en-GB"/>
        </w:rPr>
        <w:t xml:space="preserve">In conclusion, the </w:t>
      </w:r>
      <w:r w:rsidRPr="00406B6A">
        <w:rPr>
          <w:rFonts w:ascii="Times New Roman" w:hAnsi="Times New Roman" w:cs="Times New Roman"/>
          <w:b/>
          <w:bCs/>
          <w:sz w:val="24"/>
          <w:szCs w:val="24"/>
          <w:lang w:val="en-GB"/>
        </w:rPr>
        <w:t xml:space="preserve">Sig value </w:t>
      </w:r>
      <w:r w:rsidR="00406B6A" w:rsidRPr="00406B6A">
        <w:rPr>
          <w:rFonts w:ascii="Times New Roman" w:hAnsi="Times New Roman" w:cs="Times New Roman"/>
          <w:b/>
          <w:bCs/>
          <w:sz w:val="24"/>
          <w:szCs w:val="24"/>
          <w:lang w:val="en-GB"/>
        </w:rPr>
        <w:t>&lt;</w:t>
      </w:r>
      <w:r w:rsidRPr="00406B6A">
        <w:rPr>
          <w:rFonts w:ascii="Times New Roman" w:hAnsi="Times New Roman" w:cs="Times New Roman"/>
          <w:b/>
          <w:bCs/>
          <w:sz w:val="24"/>
          <w:szCs w:val="24"/>
          <w:lang w:val="en-GB"/>
        </w:rPr>
        <w:t xml:space="preserve"> 0.001</w:t>
      </w:r>
      <w:r w:rsidRPr="00CD202F">
        <w:rPr>
          <w:rFonts w:ascii="Times New Roman" w:hAnsi="Times New Roman" w:cs="Times New Roman"/>
          <w:sz w:val="24"/>
          <w:szCs w:val="24"/>
          <w:lang w:val="en-GB"/>
        </w:rPr>
        <w:t xml:space="preserve"> and the fluctuating positive correlations over the 20-year period indicate a consistent positive relationship, suggesting that regression analysis would be appropriate.</w:t>
      </w:r>
    </w:p>
    <w:bookmarkEnd w:id="4"/>
    <w:p w14:paraId="415DF5A2" w14:textId="77777777" w:rsidR="000B222C" w:rsidRDefault="000B222C" w:rsidP="006C635E">
      <w:pPr>
        <w:jc w:val="center"/>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lastRenderedPageBreak/>
        <w:drawing>
          <wp:inline distT="0" distB="0" distL="0" distR="0" wp14:anchorId="23B96F29" wp14:editId="1BEA435A">
            <wp:extent cx="8141335" cy="5943600"/>
            <wp:effectExtent l="0" t="0" r="0" b="0"/>
            <wp:docPr id="18" name="Picture 15" descr="Description: A table of text with many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A table of text with many dots&#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41335" cy="5943600"/>
                    </a:xfrm>
                    <a:prstGeom prst="rect">
                      <a:avLst/>
                    </a:prstGeom>
                    <a:noFill/>
                    <a:ln>
                      <a:noFill/>
                    </a:ln>
                  </pic:spPr>
                </pic:pic>
              </a:graphicData>
            </a:graphic>
          </wp:inline>
        </w:drawing>
      </w:r>
    </w:p>
    <w:p w14:paraId="24E54C85" w14:textId="59D7598E" w:rsidR="00433260" w:rsidRPr="000B222C" w:rsidRDefault="00433260" w:rsidP="006C635E">
      <w:pPr>
        <w:jc w:val="center"/>
        <w:rPr>
          <w:rFonts w:ascii="Times New Roman" w:eastAsia="Calibri" w:hAnsi="Times New Roman" w:cs="Times New Roman"/>
          <w:sz w:val="24"/>
          <w:szCs w:val="24"/>
          <w:lang w:val="en-GB"/>
        </w:rPr>
        <w:sectPr w:rsidR="00433260" w:rsidRPr="000B222C" w:rsidSect="000B222C">
          <w:pgSz w:w="15840" w:h="12240" w:orient="landscape"/>
          <w:pgMar w:top="1440" w:right="1440" w:bottom="1440" w:left="1440" w:header="708" w:footer="708" w:gutter="0"/>
          <w:cols w:space="720"/>
        </w:sectPr>
      </w:pPr>
    </w:p>
    <w:p w14:paraId="7DDDBBD8" w14:textId="77777777" w:rsidR="00420D50" w:rsidRDefault="00420D50" w:rsidP="00420D50">
      <w:pPr>
        <w:jc w:val="both"/>
        <w:rPr>
          <w:rFonts w:ascii="Times New Roman" w:eastAsia="Calibri" w:hAnsi="Times New Roman" w:cs="Times New Roman"/>
          <w:b/>
          <w:bCs/>
          <w:sz w:val="24"/>
          <w:szCs w:val="24"/>
          <w:u w:val="single"/>
          <w:lang w:val="en-GB"/>
        </w:rPr>
      </w:pPr>
      <w:r w:rsidRPr="009720E9">
        <w:rPr>
          <w:rFonts w:ascii="Times New Roman" w:eastAsia="Calibri" w:hAnsi="Times New Roman" w:cs="Times New Roman"/>
          <w:b/>
          <w:bCs/>
          <w:sz w:val="24"/>
          <w:szCs w:val="24"/>
          <w:u w:val="single"/>
          <w:lang w:val="en-GB"/>
        </w:rPr>
        <w:lastRenderedPageBreak/>
        <w:t>Case</w:t>
      </w:r>
      <w:r>
        <w:rPr>
          <w:rFonts w:ascii="Times New Roman" w:eastAsia="Calibri" w:hAnsi="Times New Roman" w:cs="Times New Roman"/>
          <w:b/>
          <w:bCs/>
          <w:sz w:val="24"/>
          <w:szCs w:val="24"/>
          <w:u w:val="single"/>
          <w:lang w:val="en-GB"/>
        </w:rPr>
        <w:t xml:space="preserve">wise </w:t>
      </w:r>
      <w:r w:rsidRPr="009720E9">
        <w:rPr>
          <w:rFonts w:ascii="Times New Roman" w:eastAsia="Calibri" w:hAnsi="Times New Roman" w:cs="Times New Roman"/>
          <w:b/>
          <w:bCs/>
          <w:sz w:val="24"/>
          <w:szCs w:val="24"/>
          <w:u w:val="single"/>
          <w:lang w:val="en-GB"/>
        </w:rPr>
        <w:t>diagnostic</w:t>
      </w:r>
      <w:r>
        <w:rPr>
          <w:rFonts w:ascii="Times New Roman" w:eastAsia="Calibri" w:hAnsi="Times New Roman" w:cs="Times New Roman"/>
          <w:b/>
          <w:bCs/>
          <w:sz w:val="24"/>
          <w:szCs w:val="24"/>
          <w:u w:val="single"/>
          <w:lang w:val="en-GB"/>
        </w:rPr>
        <w:t>s</w:t>
      </w:r>
    </w:p>
    <w:p w14:paraId="3E7C516B" w14:textId="77777777" w:rsidR="00420D50" w:rsidRDefault="00420D50" w:rsidP="00420D50">
      <w:pPr>
        <w:jc w:val="center"/>
        <w:rPr>
          <w:rFonts w:ascii="Times New Roman" w:eastAsia="Calibri" w:hAnsi="Times New Roman" w:cs="Times New Roman"/>
          <w:sz w:val="24"/>
          <w:szCs w:val="24"/>
          <w:lang w:val="en-GB"/>
        </w:rPr>
      </w:pPr>
      <w:r w:rsidRPr="009720E9">
        <w:rPr>
          <w:rFonts w:ascii="Times New Roman" w:eastAsia="Calibri" w:hAnsi="Times New Roman" w:cs="Times New Roman"/>
          <w:noProof/>
          <w:sz w:val="24"/>
          <w:szCs w:val="24"/>
          <w:lang w:val="en-GB" w:eastAsia="en-GB"/>
        </w:rPr>
        <w:drawing>
          <wp:inline distT="0" distB="0" distL="0" distR="0" wp14:anchorId="5CCF1176" wp14:editId="0EDDC897">
            <wp:extent cx="4638675" cy="2219325"/>
            <wp:effectExtent l="0" t="0" r="9525" b="9525"/>
            <wp:docPr id="1007403836" name="Picture 1" descr="A table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03836" name="Picture 1" descr="A table with numbers and a number on it&#10;&#10;Description automatically generated"/>
                    <pic:cNvPicPr/>
                  </pic:nvPicPr>
                  <pic:blipFill>
                    <a:blip r:embed="rId16"/>
                    <a:stretch>
                      <a:fillRect/>
                    </a:stretch>
                  </pic:blipFill>
                  <pic:spPr>
                    <a:xfrm>
                      <a:off x="0" y="0"/>
                      <a:ext cx="4638675" cy="2219325"/>
                    </a:xfrm>
                    <a:prstGeom prst="rect">
                      <a:avLst/>
                    </a:prstGeom>
                  </pic:spPr>
                </pic:pic>
              </a:graphicData>
            </a:graphic>
          </wp:inline>
        </w:drawing>
      </w:r>
    </w:p>
    <w:p w14:paraId="415D8761" w14:textId="5E37327A" w:rsidR="003B7C6F" w:rsidRPr="003B7C6F" w:rsidRDefault="00420D50" w:rsidP="003B7C6F">
      <w:pPr>
        <w:jc w:val="both"/>
        <w:rPr>
          <w:rFonts w:ascii="Times New Roman" w:eastAsia="Calibri" w:hAnsi="Times New Roman" w:cs="Times New Roman"/>
          <w:sz w:val="24"/>
          <w:szCs w:val="24"/>
          <w:lang w:val="en-GB"/>
        </w:rPr>
      </w:pPr>
      <w:r w:rsidRPr="00960654">
        <w:rPr>
          <w:rFonts w:ascii="Times New Roman" w:eastAsia="Calibri" w:hAnsi="Times New Roman" w:cs="Times New Roman"/>
          <w:sz w:val="24"/>
          <w:szCs w:val="24"/>
          <w:lang w:val="en-GB"/>
        </w:rPr>
        <w:t>The table</w:t>
      </w:r>
      <w:r w:rsidR="007944D2">
        <w:rPr>
          <w:rFonts w:ascii="Times New Roman" w:eastAsia="Calibri" w:hAnsi="Times New Roman" w:cs="Times New Roman"/>
          <w:sz w:val="24"/>
          <w:szCs w:val="24"/>
          <w:lang w:val="en-GB"/>
        </w:rPr>
        <w:t xml:space="preserve"> </w:t>
      </w:r>
      <w:r w:rsidRPr="00960654">
        <w:rPr>
          <w:rFonts w:ascii="Times New Roman" w:eastAsia="Calibri" w:hAnsi="Times New Roman" w:cs="Times New Roman"/>
          <w:sz w:val="24"/>
          <w:szCs w:val="24"/>
          <w:lang w:val="en-GB"/>
        </w:rPr>
        <w:t>presents data associated with a dependent variable marked as [YR2003]. It enumerates cases (such as 45, 47) and their respective standardi</w:t>
      </w:r>
      <w:r w:rsidR="00B66877">
        <w:rPr>
          <w:rFonts w:ascii="Times New Roman" w:eastAsia="Calibri" w:hAnsi="Times New Roman" w:cs="Times New Roman"/>
          <w:sz w:val="24"/>
          <w:szCs w:val="24"/>
          <w:lang w:val="en-GB"/>
        </w:rPr>
        <w:t>s</w:t>
      </w:r>
      <w:r w:rsidRPr="00960654">
        <w:rPr>
          <w:rFonts w:ascii="Times New Roman" w:eastAsia="Calibri" w:hAnsi="Times New Roman" w:cs="Times New Roman"/>
          <w:sz w:val="24"/>
          <w:szCs w:val="24"/>
          <w:lang w:val="en-GB"/>
        </w:rPr>
        <w:t>ed residuals</w:t>
      </w:r>
      <w:r w:rsidR="007944D2">
        <w:rPr>
          <w:rFonts w:ascii="Times New Roman" w:eastAsia="Calibri" w:hAnsi="Times New Roman" w:cs="Times New Roman"/>
          <w:sz w:val="24"/>
          <w:szCs w:val="24"/>
          <w:lang w:val="en-GB"/>
        </w:rPr>
        <w:t xml:space="preserve"> </w:t>
      </w:r>
      <w:r w:rsidR="007944D2" w:rsidRPr="007944D2">
        <w:rPr>
          <w:rFonts w:ascii="Times New Roman" w:eastAsia="Calibri" w:hAnsi="Times New Roman" w:cs="Times New Roman"/>
          <w:sz w:val="24"/>
          <w:szCs w:val="24"/>
          <w:lang w:val="en-GB"/>
        </w:rPr>
        <w:t>set at 2 SDs</w:t>
      </w:r>
      <w:r w:rsidRPr="00960654">
        <w:rPr>
          <w:rFonts w:ascii="Times New Roman" w:eastAsia="Calibri" w:hAnsi="Times New Roman" w:cs="Times New Roman"/>
          <w:sz w:val="24"/>
          <w:szCs w:val="24"/>
          <w:lang w:val="en-GB"/>
        </w:rPr>
        <w:t>, predicted values, and residuals. Such data is commonly utili</w:t>
      </w:r>
      <w:r w:rsidR="006234B7">
        <w:rPr>
          <w:rFonts w:ascii="Times New Roman" w:eastAsia="Calibri" w:hAnsi="Times New Roman" w:cs="Times New Roman"/>
          <w:sz w:val="24"/>
          <w:szCs w:val="24"/>
          <w:lang w:val="en-GB"/>
        </w:rPr>
        <w:t>s</w:t>
      </w:r>
      <w:r w:rsidRPr="00960654">
        <w:rPr>
          <w:rFonts w:ascii="Times New Roman" w:eastAsia="Calibri" w:hAnsi="Times New Roman" w:cs="Times New Roman"/>
          <w:sz w:val="24"/>
          <w:szCs w:val="24"/>
          <w:lang w:val="en-GB"/>
        </w:rPr>
        <w:t>ed to evaluate the accuracy of a statistical model and to pinpoint any outliers or instances where the model's predictions deviate markedly.</w:t>
      </w:r>
      <w:r w:rsidR="00C94A4B">
        <w:rPr>
          <w:rFonts w:ascii="Times New Roman" w:eastAsia="Calibri" w:hAnsi="Times New Roman" w:cs="Times New Roman"/>
          <w:sz w:val="24"/>
          <w:szCs w:val="24"/>
          <w:lang w:val="en-GB"/>
        </w:rPr>
        <w:t xml:space="preserve"> For instance, f</w:t>
      </w:r>
      <w:r w:rsidR="00C94A4B" w:rsidRPr="00C94A4B">
        <w:rPr>
          <w:rFonts w:ascii="Times New Roman" w:eastAsia="Calibri" w:hAnsi="Times New Roman" w:cs="Times New Roman"/>
          <w:sz w:val="24"/>
          <w:szCs w:val="24"/>
          <w:lang w:val="en-GB"/>
        </w:rPr>
        <w:t>or Case 45, the forecasted value is 0.456</w:t>
      </w:r>
      <w:r w:rsidR="003B7C6F" w:rsidRPr="003B7C6F">
        <w:rPr>
          <w:rFonts w:ascii="Times New Roman" w:eastAsia="Calibri" w:hAnsi="Times New Roman" w:cs="Times New Roman"/>
          <w:sz w:val="24"/>
          <w:szCs w:val="24"/>
          <w:lang w:val="en-GB"/>
        </w:rPr>
        <w:t>, the measured value is -34.113</w:t>
      </w:r>
      <w:r w:rsidR="00154B2B">
        <w:rPr>
          <w:rFonts w:ascii="Times New Roman" w:eastAsia="Calibri" w:hAnsi="Times New Roman" w:cs="Times New Roman"/>
          <w:sz w:val="24"/>
          <w:szCs w:val="24"/>
          <w:lang w:val="en-GB"/>
        </w:rPr>
        <w:t xml:space="preserve"> and</w:t>
      </w:r>
      <w:r w:rsidR="003B7C6F" w:rsidRPr="003B7C6F">
        <w:rPr>
          <w:rFonts w:ascii="Times New Roman" w:eastAsia="Calibri" w:hAnsi="Times New Roman" w:cs="Times New Roman"/>
          <w:sz w:val="24"/>
          <w:szCs w:val="24"/>
          <w:lang w:val="en-GB"/>
        </w:rPr>
        <w:t xml:space="preserve"> the residual is -34.569, suggesting the model significantly underestimated this value.</w:t>
      </w:r>
      <w:r w:rsidR="00341BAE">
        <w:rPr>
          <w:rFonts w:ascii="Times New Roman" w:eastAsia="Calibri" w:hAnsi="Times New Roman" w:cs="Times New Roman"/>
          <w:sz w:val="24"/>
          <w:szCs w:val="24"/>
          <w:lang w:val="en-GB"/>
        </w:rPr>
        <w:t xml:space="preserve"> </w:t>
      </w:r>
      <w:r w:rsidR="00341BAE" w:rsidRPr="00341BAE">
        <w:rPr>
          <w:rFonts w:ascii="Times New Roman" w:eastAsia="Calibri" w:hAnsi="Times New Roman" w:cs="Times New Roman"/>
          <w:sz w:val="24"/>
          <w:szCs w:val="24"/>
          <w:lang w:val="en-GB"/>
        </w:rPr>
        <w:t>Cases 71, 266, 272, 274, and 278 exhibit elevated standardized residuals, signifying they are outliers with potential substantial effects on the regression model.</w:t>
      </w:r>
    </w:p>
    <w:p w14:paraId="345F4530" w14:textId="667A5BBF" w:rsidR="003B7C6F" w:rsidRDefault="003B7C6F" w:rsidP="003B7C6F">
      <w:pPr>
        <w:jc w:val="both"/>
        <w:rPr>
          <w:rFonts w:ascii="Times New Roman" w:eastAsia="Calibri" w:hAnsi="Times New Roman" w:cs="Times New Roman"/>
          <w:sz w:val="24"/>
          <w:szCs w:val="24"/>
          <w:lang w:val="en-GB"/>
        </w:rPr>
      </w:pPr>
    </w:p>
    <w:p w14:paraId="0B4C5B9B" w14:textId="5B3C7965" w:rsidR="00805DB2" w:rsidRPr="0020531E" w:rsidRDefault="00805DB2" w:rsidP="003B7C6F">
      <w:pPr>
        <w:jc w:val="both"/>
        <w:rPr>
          <w:rFonts w:ascii="Times New Roman" w:eastAsia="Calibri" w:hAnsi="Times New Roman" w:cs="Times New Roman"/>
          <w:b/>
          <w:bCs/>
          <w:sz w:val="24"/>
          <w:szCs w:val="24"/>
          <w:u w:val="single"/>
          <w:lang w:val="en-GB"/>
        </w:rPr>
      </w:pPr>
      <w:r w:rsidRPr="0020531E">
        <w:rPr>
          <w:rFonts w:ascii="Times New Roman" w:eastAsia="Calibri" w:hAnsi="Times New Roman" w:cs="Times New Roman"/>
          <w:b/>
          <w:bCs/>
          <w:sz w:val="24"/>
          <w:szCs w:val="24"/>
          <w:u w:val="single"/>
          <w:lang w:val="en-GB"/>
        </w:rPr>
        <w:t xml:space="preserve">The </w:t>
      </w:r>
      <w:r w:rsidR="0020531E" w:rsidRPr="0020531E">
        <w:rPr>
          <w:rFonts w:ascii="Times New Roman" w:eastAsia="Calibri" w:hAnsi="Times New Roman" w:cs="Times New Roman"/>
          <w:b/>
          <w:bCs/>
          <w:sz w:val="24"/>
          <w:szCs w:val="24"/>
          <w:u w:val="single"/>
          <w:lang w:val="en-GB"/>
        </w:rPr>
        <w:t>Spearman’s rank correlation</w:t>
      </w:r>
    </w:p>
    <w:p w14:paraId="03DD1354" w14:textId="6852946F" w:rsidR="00420D50" w:rsidRDefault="002719D2" w:rsidP="00560053">
      <w:pPr>
        <w:jc w:val="center"/>
        <w:rPr>
          <w:rFonts w:ascii="Times New Roman" w:eastAsia="Calibri" w:hAnsi="Times New Roman" w:cs="Times New Roman"/>
          <w:sz w:val="24"/>
          <w:szCs w:val="24"/>
          <w:lang w:val="en-GB"/>
        </w:rPr>
      </w:pPr>
      <w:r w:rsidRPr="002719D2">
        <w:rPr>
          <w:rFonts w:ascii="Times New Roman" w:eastAsia="Calibri" w:hAnsi="Times New Roman" w:cs="Times New Roman"/>
          <w:noProof/>
          <w:sz w:val="24"/>
          <w:szCs w:val="24"/>
          <w:lang w:val="en-GB" w:eastAsia="en-GB"/>
        </w:rPr>
        <w:drawing>
          <wp:inline distT="0" distB="0" distL="0" distR="0" wp14:anchorId="431543AF" wp14:editId="24797C7E">
            <wp:extent cx="5943600" cy="1106170"/>
            <wp:effectExtent l="0" t="0" r="0" b="0"/>
            <wp:docPr id="48389373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893735" name="Picture 1" descr="A black text on a white background&#10;&#10;Description automatically generated"/>
                    <pic:cNvPicPr/>
                  </pic:nvPicPr>
                  <pic:blipFill>
                    <a:blip r:embed="rId17"/>
                    <a:stretch>
                      <a:fillRect/>
                    </a:stretch>
                  </pic:blipFill>
                  <pic:spPr>
                    <a:xfrm>
                      <a:off x="0" y="0"/>
                      <a:ext cx="5943600" cy="1106170"/>
                    </a:xfrm>
                    <a:prstGeom prst="rect">
                      <a:avLst/>
                    </a:prstGeom>
                  </pic:spPr>
                </pic:pic>
              </a:graphicData>
            </a:graphic>
          </wp:inline>
        </w:drawing>
      </w:r>
    </w:p>
    <w:p w14:paraId="0A7FDE24" w14:textId="0453EAC5" w:rsidR="004C29DB" w:rsidRDefault="004C29DB" w:rsidP="004C29DB">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Following the formula for the Spearman’s </w:t>
      </w:r>
      <w:r w:rsidR="00084D13">
        <w:rPr>
          <w:rFonts w:ascii="Times New Roman" w:eastAsia="Calibri" w:hAnsi="Times New Roman" w:cs="Times New Roman"/>
          <w:sz w:val="24"/>
          <w:szCs w:val="24"/>
          <w:lang w:val="en-GB"/>
        </w:rPr>
        <w:t xml:space="preserve">rank correlation coefficient, let </w:t>
      </w:r>
      <w:r w:rsidR="00E93E09">
        <w:rPr>
          <w:rFonts w:ascii="Times New Roman" w:eastAsia="Calibri" w:hAnsi="Times New Roman" w:cs="Times New Roman"/>
          <w:sz w:val="24"/>
          <w:szCs w:val="24"/>
          <w:lang w:val="en-GB"/>
        </w:rPr>
        <w:t>calculate Rs</w:t>
      </w:r>
      <w:r w:rsidR="005B7AC7">
        <w:rPr>
          <w:rFonts w:ascii="Times New Roman" w:eastAsia="Calibri" w:hAnsi="Times New Roman" w:cs="Times New Roman"/>
          <w:sz w:val="24"/>
          <w:szCs w:val="24"/>
          <w:lang w:val="en-GB"/>
        </w:rPr>
        <w:t>:</w:t>
      </w:r>
    </w:p>
    <w:p w14:paraId="7491B84C" w14:textId="77777777" w:rsidR="0023071E" w:rsidRDefault="00333B01" w:rsidP="00333B01">
      <w:pPr>
        <w:jc w:val="both"/>
        <w:rPr>
          <w:rFonts w:ascii="Times New Roman" w:eastAsia="Calibri" w:hAnsi="Times New Roman" w:cs="Times New Roman"/>
          <w:b/>
          <w:bCs/>
          <w:sz w:val="24"/>
          <w:szCs w:val="24"/>
          <w:lang w:val="en-GB"/>
        </w:rPr>
      </w:pPr>
      <w:r w:rsidRPr="00977A53">
        <w:rPr>
          <w:rFonts w:ascii="Times New Roman" w:eastAsia="Calibri" w:hAnsi="Times New Roman" w:cs="Times New Roman"/>
          <w:b/>
          <w:bCs/>
          <w:sz w:val="24"/>
          <w:szCs w:val="24"/>
          <w:lang w:val="en-GB"/>
        </w:rPr>
        <w:t>Rs</w:t>
      </w:r>
      <w:r w:rsidR="00B668B6" w:rsidRPr="00977A53">
        <w:rPr>
          <w:rFonts w:ascii="Times New Roman" w:eastAsia="Calibri" w:hAnsi="Times New Roman" w:cs="Times New Roman"/>
          <w:b/>
          <w:bCs/>
          <w:sz w:val="24"/>
          <w:szCs w:val="24"/>
          <w:lang w:val="en-GB"/>
        </w:rPr>
        <w:t xml:space="preserve"> = 1 – </w:t>
      </w:r>
      <w:r w:rsidR="0023071E">
        <w:rPr>
          <w:rFonts w:ascii="Times New Roman" w:eastAsia="Calibri" w:hAnsi="Times New Roman" w:cs="Times New Roman"/>
          <w:b/>
          <w:bCs/>
          <w:sz w:val="24"/>
          <w:szCs w:val="24"/>
          <w:lang w:val="en-GB"/>
        </w:rPr>
        <w:t xml:space="preserve">/ </w:t>
      </w:r>
      <w:r w:rsidR="00B668B6" w:rsidRPr="00977A53">
        <w:rPr>
          <w:rFonts w:ascii="Times New Roman" w:eastAsia="Calibri" w:hAnsi="Times New Roman" w:cs="Times New Roman"/>
          <w:b/>
          <w:bCs/>
          <w:sz w:val="24"/>
          <w:szCs w:val="24"/>
          <w:lang w:val="en-GB"/>
        </w:rPr>
        <w:t>6</w:t>
      </w:r>
      <w:r w:rsidR="00AB7DE9" w:rsidRPr="00977A53">
        <w:rPr>
          <w:rFonts w:ascii="Times New Roman" w:eastAsia="Calibri" w:hAnsi="Times New Roman" w:cs="Times New Roman"/>
          <w:b/>
          <w:bCs/>
          <w:sz w:val="24"/>
          <w:szCs w:val="24"/>
          <w:lang w:val="en-GB"/>
        </w:rPr>
        <w:t xml:space="preserve"> .(0.057)2 :</w:t>
      </w:r>
      <w:r w:rsidR="00A35869" w:rsidRPr="00977A53">
        <w:rPr>
          <w:rFonts w:ascii="Times New Roman" w:eastAsia="Calibri" w:hAnsi="Times New Roman" w:cs="Times New Roman"/>
          <w:b/>
          <w:bCs/>
          <w:sz w:val="24"/>
          <w:szCs w:val="24"/>
          <w:lang w:val="en-GB"/>
        </w:rPr>
        <w:t xml:space="preserve"> 6.401</w:t>
      </w:r>
      <w:r w:rsidR="00D12D63" w:rsidRPr="00977A53">
        <w:rPr>
          <w:rFonts w:ascii="Times New Roman" w:eastAsia="Calibri" w:hAnsi="Times New Roman" w:cs="Times New Roman"/>
          <w:b/>
          <w:bCs/>
          <w:sz w:val="24"/>
          <w:szCs w:val="24"/>
          <w:lang w:val="en-GB"/>
        </w:rPr>
        <w:t xml:space="preserve"> .</w:t>
      </w:r>
      <w:r w:rsidR="008924F2" w:rsidRPr="00977A53">
        <w:rPr>
          <w:rFonts w:ascii="Times New Roman" w:eastAsia="Calibri" w:hAnsi="Times New Roman" w:cs="Times New Roman"/>
          <w:b/>
          <w:bCs/>
          <w:sz w:val="24"/>
          <w:szCs w:val="24"/>
          <w:lang w:val="en-GB"/>
        </w:rPr>
        <w:t>(</w:t>
      </w:r>
      <w:r w:rsidR="00D12D63" w:rsidRPr="00977A53">
        <w:rPr>
          <w:rFonts w:ascii="Times New Roman" w:eastAsia="Calibri" w:hAnsi="Times New Roman" w:cs="Times New Roman"/>
          <w:b/>
          <w:bCs/>
          <w:sz w:val="24"/>
          <w:szCs w:val="24"/>
          <w:lang w:val="en-GB"/>
        </w:rPr>
        <w:t>(6.401</w:t>
      </w:r>
      <w:r w:rsidR="008924F2" w:rsidRPr="00977A53">
        <w:rPr>
          <w:rFonts w:ascii="Times New Roman" w:eastAsia="Calibri" w:hAnsi="Times New Roman" w:cs="Times New Roman"/>
          <w:b/>
          <w:bCs/>
          <w:sz w:val="24"/>
          <w:szCs w:val="24"/>
          <w:lang w:val="en-GB"/>
        </w:rPr>
        <w:t>)2 – 1)</w:t>
      </w:r>
    </w:p>
    <w:p w14:paraId="70754A8C" w14:textId="1FDF610D" w:rsidR="006606AC" w:rsidRDefault="0023071E" w:rsidP="00333B01">
      <w:pPr>
        <w:jc w:val="both"/>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w:t>
      </w:r>
      <w:r w:rsidR="00D50DA9" w:rsidRPr="00977A53">
        <w:rPr>
          <w:rFonts w:ascii="Times New Roman" w:eastAsia="Calibri" w:hAnsi="Times New Roman" w:cs="Times New Roman"/>
          <w:b/>
          <w:bCs/>
          <w:sz w:val="24"/>
          <w:szCs w:val="24"/>
          <w:lang w:val="en-GB"/>
        </w:rPr>
        <w:t xml:space="preserve"> = 1 – </w:t>
      </w:r>
      <w:r>
        <w:rPr>
          <w:rFonts w:ascii="Times New Roman" w:eastAsia="Calibri" w:hAnsi="Times New Roman" w:cs="Times New Roman"/>
          <w:b/>
          <w:bCs/>
          <w:sz w:val="24"/>
          <w:szCs w:val="24"/>
          <w:lang w:val="en-GB"/>
        </w:rPr>
        <w:t xml:space="preserve">/ </w:t>
      </w:r>
      <w:r w:rsidR="00D50DA9" w:rsidRPr="00977A53">
        <w:rPr>
          <w:rFonts w:ascii="Times New Roman" w:eastAsia="Calibri" w:hAnsi="Times New Roman" w:cs="Times New Roman"/>
          <w:b/>
          <w:bCs/>
          <w:sz w:val="24"/>
          <w:szCs w:val="24"/>
          <w:lang w:val="en-GB"/>
        </w:rPr>
        <w:t>6 .</w:t>
      </w:r>
      <w:r w:rsidR="000D1B6F" w:rsidRPr="00977A53">
        <w:rPr>
          <w:rFonts w:ascii="Times New Roman" w:eastAsia="Calibri" w:hAnsi="Times New Roman" w:cs="Times New Roman"/>
          <w:b/>
          <w:bCs/>
          <w:sz w:val="24"/>
          <w:szCs w:val="24"/>
          <w:lang w:val="en-GB"/>
        </w:rPr>
        <w:t>(0.003249)</w:t>
      </w:r>
      <w:r w:rsidR="00D76214" w:rsidRPr="00977A53">
        <w:rPr>
          <w:rFonts w:ascii="Times New Roman" w:eastAsia="Calibri" w:hAnsi="Times New Roman" w:cs="Times New Roman"/>
          <w:b/>
          <w:bCs/>
          <w:sz w:val="24"/>
          <w:szCs w:val="24"/>
          <w:lang w:val="en-GB"/>
        </w:rPr>
        <w:t xml:space="preserve"> : 6.401 .</w:t>
      </w:r>
      <w:r w:rsidR="00346732" w:rsidRPr="00977A53">
        <w:rPr>
          <w:rFonts w:ascii="Times New Roman" w:eastAsia="Calibri" w:hAnsi="Times New Roman" w:cs="Times New Roman"/>
          <w:b/>
          <w:bCs/>
          <w:sz w:val="24"/>
          <w:szCs w:val="24"/>
          <w:lang w:val="en-GB"/>
        </w:rPr>
        <w:t>(</w:t>
      </w:r>
      <w:r w:rsidR="00327428" w:rsidRPr="00977A53">
        <w:rPr>
          <w:rFonts w:ascii="Times New Roman" w:eastAsia="Calibri" w:hAnsi="Times New Roman" w:cs="Times New Roman"/>
          <w:b/>
          <w:bCs/>
          <w:sz w:val="24"/>
          <w:szCs w:val="24"/>
          <w:lang w:val="en-GB"/>
        </w:rPr>
        <w:t>40.972801 -1)</w:t>
      </w:r>
      <w:r w:rsidR="00977A53">
        <w:rPr>
          <w:rFonts w:ascii="Times New Roman" w:eastAsia="Calibri" w:hAnsi="Times New Roman" w:cs="Times New Roman"/>
          <w:b/>
          <w:bCs/>
          <w:sz w:val="24"/>
          <w:szCs w:val="24"/>
          <w:lang w:val="en-GB"/>
        </w:rPr>
        <w:t xml:space="preserve"> </w:t>
      </w:r>
    </w:p>
    <w:p w14:paraId="09110078" w14:textId="77777777" w:rsidR="0023071E" w:rsidRDefault="006606AC" w:rsidP="00333B01">
      <w:pPr>
        <w:jc w:val="both"/>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w:t>
      </w:r>
      <w:r w:rsidR="00977A53">
        <w:rPr>
          <w:rFonts w:ascii="Times New Roman" w:eastAsia="Calibri" w:hAnsi="Times New Roman" w:cs="Times New Roman"/>
          <w:b/>
          <w:bCs/>
          <w:sz w:val="24"/>
          <w:szCs w:val="24"/>
          <w:lang w:val="en-GB"/>
        </w:rPr>
        <w:t xml:space="preserve">= 1 </w:t>
      </w:r>
      <w:r w:rsidR="00D30DF7">
        <w:rPr>
          <w:rFonts w:ascii="Times New Roman" w:eastAsia="Calibri" w:hAnsi="Times New Roman" w:cs="Times New Roman"/>
          <w:b/>
          <w:bCs/>
          <w:sz w:val="24"/>
          <w:szCs w:val="24"/>
          <w:lang w:val="en-GB"/>
        </w:rPr>
        <w:t>–</w:t>
      </w:r>
      <w:r w:rsidR="00977A53">
        <w:rPr>
          <w:rFonts w:ascii="Times New Roman" w:eastAsia="Calibri" w:hAnsi="Times New Roman" w:cs="Times New Roman"/>
          <w:b/>
          <w:bCs/>
          <w:sz w:val="24"/>
          <w:szCs w:val="24"/>
          <w:lang w:val="en-GB"/>
        </w:rPr>
        <w:t xml:space="preserve"> </w:t>
      </w:r>
      <w:r w:rsidR="0023071E">
        <w:rPr>
          <w:rFonts w:ascii="Times New Roman" w:eastAsia="Calibri" w:hAnsi="Times New Roman" w:cs="Times New Roman"/>
          <w:b/>
          <w:bCs/>
          <w:sz w:val="24"/>
          <w:szCs w:val="24"/>
          <w:lang w:val="en-GB"/>
        </w:rPr>
        <w:t xml:space="preserve">/ </w:t>
      </w:r>
      <w:r w:rsidR="00D30DF7">
        <w:rPr>
          <w:rFonts w:ascii="Times New Roman" w:eastAsia="Calibri" w:hAnsi="Times New Roman" w:cs="Times New Roman"/>
          <w:b/>
          <w:bCs/>
          <w:sz w:val="24"/>
          <w:szCs w:val="24"/>
          <w:lang w:val="en-GB"/>
        </w:rPr>
        <w:t>0.019</w:t>
      </w:r>
      <w:r w:rsidR="00E53215">
        <w:rPr>
          <w:rFonts w:ascii="Times New Roman" w:eastAsia="Calibri" w:hAnsi="Times New Roman" w:cs="Times New Roman"/>
          <w:b/>
          <w:bCs/>
          <w:sz w:val="24"/>
          <w:szCs w:val="24"/>
          <w:lang w:val="en-GB"/>
        </w:rPr>
        <w:t xml:space="preserve">494 : </w:t>
      </w:r>
      <w:r w:rsidR="00DD02EF">
        <w:rPr>
          <w:rFonts w:ascii="Times New Roman" w:eastAsia="Calibri" w:hAnsi="Times New Roman" w:cs="Times New Roman"/>
          <w:b/>
          <w:bCs/>
          <w:sz w:val="24"/>
          <w:szCs w:val="24"/>
          <w:lang w:val="en-GB"/>
        </w:rPr>
        <w:t>6.401</w:t>
      </w:r>
      <w:r>
        <w:rPr>
          <w:rFonts w:ascii="Times New Roman" w:eastAsia="Calibri" w:hAnsi="Times New Roman" w:cs="Times New Roman"/>
          <w:b/>
          <w:bCs/>
          <w:sz w:val="24"/>
          <w:szCs w:val="24"/>
          <w:lang w:val="en-GB"/>
        </w:rPr>
        <w:t xml:space="preserve"> .(39.972801)</w:t>
      </w:r>
      <w:r w:rsidR="000B429F">
        <w:rPr>
          <w:rFonts w:ascii="Times New Roman" w:eastAsia="Calibri" w:hAnsi="Times New Roman" w:cs="Times New Roman"/>
          <w:b/>
          <w:bCs/>
          <w:sz w:val="24"/>
          <w:szCs w:val="24"/>
          <w:lang w:val="en-GB"/>
        </w:rPr>
        <w:t xml:space="preserve"> </w:t>
      </w:r>
    </w:p>
    <w:p w14:paraId="2AD953A3" w14:textId="59313DEB" w:rsidR="00917107" w:rsidRDefault="0023071E" w:rsidP="00333B01">
      <w:pPr>
        <w:jc w:val="both"/>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w:t>
      </w:r>
      <w:r w:rsidR="000B429F">
        <w:rPr>
          <w:rFonts w:ascii="Times New Roman" w:eastAsia="Calibri" w:hAnsi="Times New Roman" w:cs="Times New Roman"/>
          <w:b/>
          <w:bCs/>
          <w:sz w:val="24"/>
          <w:szCs w:val="24"/>
          <w:lang w:val="en-GB"/>
        </w:rPr>
        <w:t xml:space="preserve">= </w:t>
      </w:r>
      <w:r>
        <w:rPr>
          <w:rFonts w:ascii="Times New Roman" w:eastAsia="Calibri" w:hAnsi="Times New Roman" w:cs="Times New Roman"/>
          <w:b/>
          <w:bCs/>
          <w:sz w:val="24"/>
          <w:szCs w:val="24"/>
          <w:lang w:val="en-GB"/>
        </w:rPr>
        <w:t>1 - / 0.019494 : 255.84797</w:t>
      </w:r>
    </w:p>
    <w:p w14:paraId="1C9EBD7D" w14:textId="6534809C" w:rsidR="0023071E" w:rsidRDefault="00F43C0F" w:rsidP="00333B01">
      <w:pPr>
        <w:jc w:val="both"/>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 1 - 0.0000762 </w:t>
      </w:r>
      <w:r w:rsidR="0023071E">
        <w:rPr>
          <w:rFonts w:ascii="Times New Roman" w:eastAsia="Calibri" w:hAnsi="Times New Roman" w:cs="Times New Roman"/>
          <w:b/>
          <w:bCs/>
          <w:sz w:val="24"/>
          <w:szCs w:val="24"/>
          <w:lang w:val="en-GB"/>
        </w:rPr>
        <w:t>= 0.999238</w:t>
      </w:r>
    </w:p>
    <w:p w14:paraId="4917C0A5" w14:textId="311BEF99" w:rsidR="00D729C5" w:rsidRDefault="00EC08C2" w:rsidP="00333B01">
      <w:pPr>
        <w:jc w:val="both"/>
        <w:rPr>
          <w:rFonts w:ascii="Times New Roman" w:eastAsia="Calibri" w:hAnsi="Times New Roman" w:cs="Times New Roman"/>
          <w:sz w:val="24"/>
          <w:szCs w:val="24"/>
          <w:lang w:val="en-GB"/>
        </w:rPr>
      </w:pPr>
      <w:r w:rsidRPr="00EC08C2">
        <w:rPr>
          <w:rFonts w:ascii="Times New Roman" w:eastAsia="Calibri" w:hAnsi="Times New Roman" w:cs="Times New Roman"/>
          <w:sz w:val="24"/>
          <w:szCs w:val="24"/>
          <w:lang w:val="en-GB"/>
        </w:rPr>
        <w:lastRenderedPageBreak/>
        <w:t xml:space="preserve">Based on our calculations and using 2 standard deviations, the Spearman's rank correlation coefficient is approximately </w:t>
      </w:r>
      <w:r w:rsidR="00711419">
        <w:rPr>
          <w:rFonts w:ascii="Times New Roman" w:eastAsia="Calibri" w:hAnsi="Times New Roman" w:cs="Times New Roman"/>
          <w:sz w:val="24"/>
          <w:szCs w:val="24"/>
          <w:lang w:val="en-GB"/>
        </w:rPr>
        <w:t>equa</w:t>
      </w:r>
      <w:r w:rsidR="003726CD">
        <w:rPr>
          <w:rFonts w:ascii="Times New Roman" w:eastAsia="Calibri" w:hAnsi="Times New Roman" w:cs="Times New Roman"/>
          <w:sz w:val="24"/>
          <w:szCs w:val="24"/>
          <w:lang w:val="en-GB"/>
        </w:rPr>
        <w:t xml:space="preserve">l to </w:t>
      </w:r>
      <w:r w:rsidRPr="00C6573F">
        <w:rPr>
          <w:rFonts w:ascii="Times New Roman" w:eastAsia="Calibri" w:hAnsi="Times New Roman" w:cs="Times New Roman"/>
          <w:b/>
          <w:bCs/>
          <w:sz w:val="24"/>
          <w:szCs w:val="24"/>
          <w:lang w:val="en-GB"/>
        </w:rPr>
        <w:t>0.</w:t>
      </w:r>
      <w:r w:rsidR="0023071E" w:rsidRPr="00C6573F">
        <w:rPr>
          <w:rFonts w:ascii="Times New Roman" w:eastAsia="Calibri" w:hAnsi="Times New Roman" w:cs="Times New Roman"/>
          <w:b/>
          <w:bCs/>
          <w:sz w:val="24"/>
          <w:szCs w:val="24"/>
          <w:lang w:val="en-GB"/>
        </w:rPr>
        <w:t>999238</w:t>
      </w:r>
      <w:r w:rsidRPr="00EC08C2">
        <w:rPr>
          <w:rFonts w:ascii="Times New Roman" w:eastAsia="Calibri" w:hAnsi="Times New Roman" w:cs="Times New Roman"/>
          <w:sz w:val="24"/>
          <w:szCs w:val="24"/>
          <w:lang w:val="en-GB"/>
        </w:rPr>
        <w:t>.</w:t>
      </w:r>
      <w:r w:rsidR="0023071E">
        <w:rPr>
          <w:rFonts w:ascii="Times New Roman" w:eastAsia="Calibri" w:hAnsi="Times New Roman" w:cs="Times New Roman"/>
          <w:sz w:val="24"/>
          <w:szCs w:val="24"/>
          <w:lang w:val="en-GB"/>
        </w:rPr>
        <w:t xml:space="preserve"> Fortunately</w:t>
      </w:r>
      <w:r w:rsidRPr="00EC08C2">
        <w:rPr>
          <w:rFonts w:ascii="Times New Roman" w:eastAsia="Calibri" w:hAnsi="Times New Roman" w:cs="Times New Roman"/>
          <w:sz w:val="24"/>
          <w:szCs w:val="24"/>
          <w:lang w:val="en-GB"/>
        </w:rPr>
        <w:t>, considering all variables or standard deviations from 2003 to 2023</w:t>
      </w:r>
      <w:r w:rsidR="0021776B">
        <w:rPr>
          <w:rFonts w:ascii="Times New Roman" w:eastAsia="Calibri" w:hAnsi="Times New Roman" w:cs="Times New Roman"/>
          <w:sz w:val="24"/>
          <w:szCs w:val="24"/>
          <w:lang w:val="en-GB"/>
        </w:rPr>
        <w:t xml:space="preserve"> and using SPSS, </w:t>
      </w:r>
      <w:r w:rsidR="00C6573F">
        <w:rPr>
          <w:rFonts w:ascii="Times New Roman" w:eastAsia="Calibri" w:hAnsi="Times New Roman" w:cs="Times New Roman"/>
          <w:sz w:val="24"/>
          <w:szCs w:val="24"/>
          <w:lang w:val="en-GB"/>
        </w:rPr>
        <w:t>t</w:t>
      </w:r>
      <w:r w:rsidR="00C6573F" w:rsidRPr="00C6573F">
        <w:rPr>
          <w:rFonts w:ascii="Times New Roman" w:eastAsia="Calibri" w:hAnsi="Times New Roman" w:cs="Times New Roman"/>
          <w:sz w:val="24"/>
          <w:szCs w:val="24"/>
          <w:lang w:val="en-GB"/>
        </w:rPr>
        <w:t>he interpretation aligns with the explanation provided for Pearson's correlation coefficient on page 1</w:t>
      </w:r>
      <w:r w:rsidR="003726CD">
        <w:rPr>
          <w:rFonts w:ascii="Times New Roman" w:eastAsia="Calibri" w:hAnsi="Times New Roman" w:cs="Times New Roman"/>
          <w:sz w:val="24"/>
          <w:szCs w:val="24"/>
          <w:lang w:val="en-GB"/>
        </w:rPr>
        <w:t>7</w:t>
      </w:r>
      <w:r w:rsidR="00C6573F" w:rsidRPr="00C6573F">
        <w:rPr>
          <w:rFonts w:ascii="Times New Roman" w:eastAsia="Calibri" w:hAnsi="Times New Roman" w:cs="Times New Roman"/>
          <w:sz w:val="24"/>
          <w:szCs w:val="24"/>
          <w:lang w:val="en-GB"/>
        </w:rPr>
        <w:t>.</w:t>
      </w:r>
    </w:p>
    <w:p w14:paraId="42C3788A" w14:textId="77777777" w:rsidR="003726CD" w:rsidRDefault="003726CD" w:rsidP="00333B01">
      <w:pPr>
        <w:jc w:val="both"/>
        <w:rPr>
          <w:rFonts w:ascii="Times New Roman" w:eastAsia="Calibri" w:hAnsi="Times New Roman" w:cs="Times New Roman"/>
          <w:sz w:val="24"/>
          <w:szCs w:val="24"/>
          <w:lang w:val="en-GB"/>
        </w:rPr>
      </w:pPr>
    </w:p>
    <w:p w14:paraId="492FCC96" w14:textId="2AB05CEC" w:rsidR="001F43E5" w:rsidRPr="00C6573F" w:rsidRDefault="001F43E5" w:rsidP="00333B01">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Indeed, </w:t>
      </w:r>
    </w:p>
    <w:p w14:paraId="1624FADE" w14:textId="77777777" w:rsidR="001F43E5" w:rsidRDefault="0020531E" w:rsidP="0020531E">
      <w:pPr>
        <w:pStyle w:val="ListParagraph"/>
        <w:numPr>
          <w:ilvl w:val="0"/>
          <w:numId w:val="4"/>
        </w:numPr>
        <w:jc w:val="both"/>
        <w:rPr>
          <w:rFonts w:ascii="Times New Roman" w:eastAsia="Calibri" w:hAnsi="Times New Roman" w:cs="Times New Roman"/>
          <w:sz w:val="24"/>
          <w:szCs w:val="24"/>
          <w:lang w:val="en-GB"/>
        </w:rPr>
      </w:pPr>
      <w:r w:rsidRPr="001F43E5">
        <w:rPr>
          <w:rFonts w:ascii="Times New Roman" w:eastAsia="Calibri" w:hAnsi="Times New Roman" w:cs="Times New Roman"/>
          <w:sz w:val="24"/>
          <w:szCs w:val="24"/>
          <w:lang w:val="en-GB"/>
        </w:rPr>
        <w:t>Correlations vary between -1 and 1, if 0 is not a correlation</w:t>
      </w:r>
    </w:p>
    <w:p w14:paraId="6AF4670C" w14:textId="6AC802EC" w:rsidR="0020531E" w:rsidRPr="001F43E5" w:rsidRDefault="0020531E" w:rsidP="0020531E">
      <w:pPr>
        <w:pStyle w:val="ListParagraph"/>
        <w:numPr>
          <w:ilvl w:val="0"/>
          <w:numId w:val="4"/>
        </w:numPr>
        <w:jc w:val="both"/>
        <w:rPr>
          <w:rFonts w:ascii="Times New Roman" w:eastAsia="Calibri" w:hAnsi="Times New Roman" w:cs="Times New Roman"/>
          <w:sz w:val="24"/>
          <w:szCs w:val="24"/>
          <w:lang w:val="en-GB"/>
        </w:rPr>
      </w:pPr>
      <w:r w:rsidRPr="001F43E5">
        <w:rPr>
          <w:rFonts w:ascii="Times New Roman" w:eastAsia="Calibri" w:hAnsi="Times New Roman" w:cs="Times New Roman"/>
          <w:sz w:val="24"/>
          <w:szCs w:val="24"/>
          <w:lang w:val="en-GB"/>
        </w:rPr>
        <w:t xml:space="preserve">For correlations, Sig value must be equal or less than 0.05 </w:t>
      </w:r>
    </w:p>
    <w:p w14:paraId="3D221F10" w14:textId="0A2E78A3" w:rsidR="0020531E" w:rsidRPr="0020531E" w:rsidRDefault="0020531E" w:rsidP="0020531E">
      <w:pPr>
        <w:jc w:val="both"/>
        <w:rPr>
          <w:rFonts w:ascii="Times New Roman" w:eastAsia="Calibri" w:hAnsi="Times New Roman" w:cs="Times New Roman"/>
          <w:sz w:val="24"/>
          <w:szCs w:val="24"/>
          <w:lang w:val="en-GB"/>
        </w:rPr>
      </w:pPr>
      <w:r w:rsidRPr="0020531E">
        <w:rPr>
          <w:rFonts w:ascii="Times New Roman" w:eastAsia="Calibri" w:hAnsi="Times New Roman" w:cs="Times New Roman"/>
          <w:sz w:val="24"/>
          <w:szCs w:val="24"/>
          <w:lang w:val="en-GB"/>
        </w:rPr>
        <w:t xml:space="preserve">The </w:t>
      </w:r>
      <w:r w:rsidR="00992839">
        <w:rPr>
          <w:rFonts w:ascii="Times New Roman" w:eastAsia="Calibri" w:hAnsi="Times New Roman" w:cs="Times New Roman"/>
          <w:sz w:val="24"/>
          <w:szCs w:val="24"/>
          <w:lang w:val="en-GB"/>
        </w:rPr>
        <w:t>Spear</w:t>
      </w:r>
      <w:r w:rsidR="0085355D">
        <w:rPr>
          <w:rFonts w:ascii="Times New Roman" w:eastAsia="Calibri" w:hAnsi="Times New Roman" w:cs="Times New Roman"/>
          <w:sz w:val="24"/>
          <w:szCs w:val="24"/>
          <w:lang w:val="en-GB"/>
        </w:rPr>
        <w:t>man’s</w:t>
      </w:r>
      <w:r w:rsidRPr="0020531E">
        <w:rPr>
          <w:rFonts w:ascii="Times New Roman" w:eastAsia="Calibri" w:hAnsi="Times New Roman" w:cs="Times New Roman"/>
          <w:sz w:val="24"/>
          <w:szCs w:val="24"/>
          <w:lang w:val="en-GB"/>
        </w:rPr>
        <w:t xml:space="preserve"> correlation analysis involves non-parametric tests on 20 macroeconomic indicators across 14 Sub-Saharan African countries from 2003 to 2023. The significance (Sig) value is consistently less than 0.001 throughout this period. Moreover, the correlation, while always positive, shows annual fluctuations and a slight downward trend over time. For instance, the correlation started at 0.9</w:t>
      </w:r>
      <w:r w:rsidR="000355DC">
        <w:rPr>
          <w:rFonts w:ascii="Times New Roman" w:eastAsia="Calibri" w:hAnsi="Times New Roman" w:cs="Times New Roman"/>
          <w:sz w:val="24"/>
          <w:szCs w:val="24"/>
          <w:lang w:val="en-GB"/>
        </w:rPr>
        <w:t>05</w:t>
      </w:r>
      <w:r w:rsidRPr="0020531E">
        <w:rPr>
          <w:rFonts w:ascii="Times New Roman" w:eastAsia="Calibri" w:hAnsi="Times New Roman" w:cs="Times New Roman"/>
          <w:sz w:val="24"/>
          <w:szCs w:val="24"/>
          <w:lang w:val="en-GB"/>
        </w:rPr>
        <w:t xml:space="preserve"> in 2004, denoting a very strong relationship between the CFA Franc and the </w:t>
      </w:r>
      <w:r w:rsidR="005769CC">
        <w:rPr>
          <w:rFonts w:ascii="Times New Roman" w:eastAsia="Calibri" w:hAnsi="Times New Roman" w:cs="Times New Roman"/>
          <w:sz w:val="24"/>
          <w:szCs w:val="24"/>
          <w:lang w:val="en-GB"/>
        </w:rPr>
        <w:t>Franc CFA</w:t>
      </w:r>
      <w:r w:rsidRPr="0020531E">
        <w:rPr>
          <w:rFonts w:ascii="Times New Roman" w:eastAsia="Calibri" w:hAnsi="Times New Roman" w:cs="Times New Roman"/>
          <w:sz w:val="24"/>
          <w:szCs w:val="24"/>
          <w:lang w:val="en-GB"/>
        </w:rPr>
        <w:t>. It then gradually declined, with values ranging from 0.8</w:t>
      </w:r>
      <w:r w:rsidR="002A0429">
        <w:rPr>
          <w:rFonts w:ascii="Times New Roman" w:eastAsia="Calibri" w:hAnsi="Times New Roman" w:cs="Times New Roman"/>
          <w:sz w:val="24"/>
          <w:szCs w:val="24"/>
          <w:lang w:val="en-GB"/>
        </w:rPr>
        <w:t>89</w:t>
      </w:r>
      <w:r w:rsidRPr="0020531E">
        <w:rPr>
          <w:rFonts w:ascii="Times New Roman" w:eastAsia="Calibri" w:hAnsi="Times New Roman" w:cs="Times New Roman"/>
          <w:sz w:val="24"/>
          <w:szCs w:val="24"/>
          <w:lang w:val="en-GB"/>
        </w:rPr>
        <w:t xml:space="preserve"> to 0.72</w:t>
      </w:r>
      <w:r w:rsidR="002A0429">
        <w:rPr>
          <w:rFonts w:ascii="Times New Roman" w:eastAsia="Calibri" w:hAnsi="Times New Roman" w:cs="Times New Roman"/>
          <w:sz w:val="24"/>
          <w:szCs w:val="24"/>
          <w:lang w:val="en-GB"/>
        </w:rPr>
        <w:t>1</w:t>
      </w:r>
      <w:r w:rsidRPr="0020531E">
        <w:rPr>
          <w:rFonts w:ascii="Times New Roman" w:eastAsia="Calibri" w:hAnsi="Times New Roman" w:cs="Times New Roman"/>
          <w:sz w:val="24"/>
          <w:szCs w:val="24"/>
          <w:lang w:val="en-GB"/>
        </w:rPr>
        <w:t xml:space="preserve"> between 200</w:t>
      </w:r>
      <w:r w:rsidR="002A0429">
        <w:rPr>
          <w:rFonts w:ascii="Times New Roman" w:eastAsia="Calibri" w:hAnsi="Times New Roman" w:cs="Times New Roman"/>
          <w:sz w:val="24"/>
          <w:szCs w:val="24"/>
          <w:lang w:val="en-GB"/>
        </w:rPr>
        <w:t>5</w:t>
      </w:r>
      <w:r w:rsidRPr="0020531E">
        <w:rPr>
          <w:rFonts w:ascii="Times New Roman" w:eastAsia="Calibri" w:hAnsi="Times New Roman" w:cs="Times New Roman"/>
          <w:sz w:val="24"/>
          <w:szCs w:val="24"/>
          <w:lang w:val="en-GB"/>
        </w:rPr>
        <w:t xml:space="preserve"> and 2014, indicating a substantial relationship. Finally, it decreased steadily from 0.6</w:t>
      </w:r>
      <w:r w:rsidR="008C6698">
        <w:rPr>
          <w:rFonts w:ascii="Times New Roman" w:eastAsia="Calibri" w:hAnsi="Times New Roman" w:cs="Times New Roman"/>
          <w:sz w:val="24"/>
          <w:szCs w:val="24"/>
          <w:lang w:val="en-GB"/>
        </w:rPr>
        <w:t>60</w:t>
      </w:r>
      <w:r w:rsidRPr="0020531E">
        <w:rPr>
          <w:rFonts w:ascii="Times New Roman" w:eastAsia="Calibri" w:hAnsi="Times New Roman" w:cs="Times New Roman"/>
          <w:sz w:val="24"/>
          <w:szCs w:val="24"/>
          <w:lang w:val="en-GB"/>
        </w:rPr>
        <w:t xml:space="preserve"> to 0.</w:t>
      </w:r>
      <w:r w:rsidR="008C6698">
        <w:rPr>
          <w:rFonts w:ascii="Times New Roman" w:eastAsia="Calibri" w:hAnsi="Times New Roman" w:cs="Times New Roman"/>
          <w:sz w:val="24"/>
          <w:szCs w:val="24"/>
          <w:lang w:val="en-GB"/>
        </w:rPr>
        <w:t>355</w:t>
      </w:r>
      <w:r w:rsidRPr="0020531E">
        <w:rPr>
          <w:rFonts w:ascii="Times New Roman" w:eastAsia="Calibri" w:hAnsi="Times New Roman" w:cs="Times New Roman"/>
          <w:sz w:val="24"/>
          <w:szCs w:val="24"/>
          <w:lang w:val="en-GB"/>
        </w:rPr>
        <w:t xml:space="preserve"> between 2015 and 2023, suggesting a moderate relationship.</w:t>
      </w:r>
    </w:p>
    <w:p w14:paraId="3A3F76C9" w14:textId="610E6B46" w:rsidR="0020531E" w:rsidRPr="0020531E" w:rsidRDefault="0020531E" w:rsidP="0020531E">
      <w:pPr>
        <w:jc w:val="both"/>
        <w:rPr>
          <w:rFonts w:ascii="Times New Roman" w:eastAsia="Calibri" w:hAnsi="Times New Roman" w:cs="Times New Roman"/>
          <w:sz w:val="24"/>
          <w:szCs w:val="24"/>
          <w:lang w:val="en-GB"/>
        </w:rPr>
      </w:pPr>
      <w:r w:rsidRPr="0020531E">
        <w:rPr>
          <w:rFonts w:ascii="Times New Roman" w:eastAsia="Calibri" w:hAnsi="Times New Roman" w:cs="Times New Roman"/>
          <w:sz w:val="24"/>
          <w:szCs w:val="24"/>
          <w:lang w:val="en-GB"/>
        </w:rPr>
        <w:t xml:space="preserve">In conclusion, </w:t>
      </w:r>
      <w:r w:rsidRPr="00F83A30">
        <w:rPr>
          <w:rFonts w:ascii="Times New Roman" w:eastAsia="Calibri" w:hAnsi="Times New Roman" w:cs="Times New Roman"/>
          <w:b/>
          <w:bCs/>
          <w:sz w:val="24"/>
          <w:szCs w:val="24"/>
          <w:lang w:val="en-GB"/>
        </w:rPr>
        <w:t>the Sig value &lt; 0.001</w:t>
      </w:r>
      <w:r w:rsidRPr="0020531E">
        <w:rPr>
          <w:rFonts w:ascii="Times New Roman" w:eastAsia="Calibri" w:hAnsi="Times New Roman" w:cs="Times New Roman"/>
          <w:sz w:val="24"/>
          <w:szCs w:val="24"/>
          <w:lang w:val="en-GB"/>
        </w:rPr>
        <w:t xml:space="preserve"> and the fluctuating positive correlations over the 20-year period indicate a consistent positive relationship, suggesting that regression analysis would be appropriate.</w:t>
      </w:r>
    </w:p>
    <w:p w14:paraId="05C0B138" w14:textId="77777777" w:rsidR="0020531E" w:rsidRDefault="0020531E" w:rsidP="00333B01">
      <w:pPr>
        <w:jc w:val="both"/>
        <w:rPr>
          <w:rFonts w:ascii="Times New Roman" w:eastAsia="Calibri" w:hAnsi="Times New Roman" w:cs="Times New Roman"/>
          <w:b/>
          <w:bCs/>
          <w:sz w:val="24"/>
          <w:szCs w:val="24"/>
          <w:lang w:val="en-GB"/>
        </w:rPr>
        <w:sectPr w:rsidR="0020531E">
          <w:pgSz w:w="12240" w:h="15840"/>
          <w:pgMar w:top="1440" w:right="1440" w:bottom="1440" w:left="1440" w:header="708" w:footer="708" w:gutter="0"/>
          <w:cols w:space="708"/>
          <w:docGrid w:linePitch="360"/>
        </w:sectPr>
      </w:pPr>
    </w:p>
    <w:p w14:paraId="56753B3B" w14:textId="6DAE21FC" w:rsidR="00181E55" w:rsidRDefault="00D729C5" w:rsidP="00333B01">
      <w:pPr>
        <w:jc w:val="both"/>
        <w:rPr>
          <w:rFonts w:ascii="Times New Roman" w:eastAsia="Calibri" w:hAnsi="Times New Roman" w:cs="Times New Roman"/>
          <w:b/>
          <w:bCs/>
          <w:sz w:val="24"/>
          <w:szCs w:val="24"/>
          <w:lang w:val="en-GB"/>
        </w:rPr>
        <w:sectPr w:rsidR="00181E55" w:rsidSect="00D729C5">
          <w:pgSz w:w="15840" w:h="12240" w:orient="landscape"/>
          <w:pgMar w:top="1440" w:right="1440" w:bottom="1440" w:left="1440" w:header="709" w:footer="709" w:gutter="0"/>
          <w:cols w:space="708"/>
          <w:docGrid w:linePitch="360"/>
        </w:sectPr>
      </w:pPr>
      <w:r w:rsidRPr="00D729C5">
        <w:rPr>
          <w:rFonts w:ascii="Times New Roman" w:eastAsia="Calibri" w:hAnsi="Times New Roman" w:cs="Times New Roman"/>
          <w:b/>
          <w:bCs/>
          <w:noProof/>
          <w:sz w:val="24"/>
          <w:szCs w:val="24"/>
          <w:lang w:val="en-GB" w:eastAsia="en-GB"/>
        </w:rPr>
        <w:lastRenderedPageBreak/>
        <w:drawing>
          <wp:inline distT="0" distB="0" distL="0" distR="0" wp14:anchorId="5C559DD8" wp14:editId="63CABBBB">
            <wp:extent cx="8500326" cy="6594529"/>
            <wp:effectExtent l="0" t="0" r="0" b="0"/>
            <wp:docPr id="403548029" name="Picture 1" descr="A table of text with many small black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548029" name="Picture 1" descr="A table of text with many small black and white lines&#10;&#10;Description automatically generated with medium confidence"/>
                    <pic:cNvPicPr/>
                  </pic:nvPicPr>
                  <pic:blipFill>
                    <a:blip r:embed="rId18"/>
                    <a:stretch>
                      <a:fillRect/>
                    </a:stretch>
                  </pic:blipFill>
                  <pic:spPr>
                    <a:xfrm>
                      <a:off x="0" y="0"/>
                      <a:ext cx="8515056" cy="6605957"/>
                    </a:xfrm>
                    <a:prstGeom prst="rect">
                      <a:avLst/>
                    </a:prstGeom>
                  </pic:spPr>
                </pic:pic>
              </a:graphicData>
            </a:graphic>
          </wp:inline>
        </w:drawing>
      </w:r>
    </w:p>
    <w:p w14:paraId="47CD6FD8" w14:textId="552A7440" w:rsidR="000B222C" w:rsidRDefault="00A46375" w:rsidP="00C6573F">
      <w:pPr>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 xml:space="preserve">DATA INTERPRETATION </w:t>
      </w:r>
      <w:r w:rsidR="00FA7EA3">
        <w:rPr>
          <w:rFonts w:ascii="Times New Roman" w:eastAsia="Calibri" w:hAnsi="Times New Roman" w:cs="Times New Roman"/>
          <w:b/>
          <w:bCs/>
          <w:sz w:val="24"/>
          <w:szCs w:val="24"/>
          <w:u w:val="single"/>
          <w:lang w:val="en-GB"/>
        </w:rPr>
        <w:t>–</w:t>
      </w:r>
      <w:r>
        <w:rPr>
          <w:rFonts w:ascii="Times New Roman" w:eastAsia="Calibri" w:hAnsi="Times New Roman" w:cs="Times New Roman"/>
          <w:b/>
          <w:bCs/>
          <w:sz w:val="24"/>
          <w:szCs w:val="24"/>
          <w:u w:val="single"/>
          <w:lang w:val="en-GB"/>
        </w:rPr>
        <w:t xml:space="preserve"> </w:t>
      </w:r>
      <w:r w:rsidR="006C635E">
        <w:rPr>
          <w:rFonts w:ascii="Times New Roman" w:eastAsia="Calibri" w:hAnsi="Times New Roman" w:cs="Times New Roman"/>
          <w:b/>
          <w:bCs/>
          <w:sz w:val="24"/>
          <w:szCs w:val="24"/>
          <w:u w:val="single"/>
          <w:lang w:val="en-GB"/>
        </w:rPr>
        <w:t>REGRESSION</w:t>
      </w:r>
      <w:r w:rsidR="00FA7EA3">
        <w:rPr>
          <w:rFonts w:ascii="Times New Roman" w:eastAsia="Calibri" w:hAnsi="Times New Roman" w:cs="Times New Roman"/>
          <w:b/>
          <w:bCs/>
          <w:sz w:val="24"/>
          <w:szCs w:val="24"/>
          <w:u w:val="single"/>
          <w:lang w:val="en-GB"/>
        </w:rPr>
        <w:t xml:space="preserve"> ANALYSIS</w:t>
      </w:r>
    </w:p>
    <w:p w14:paraId="7202B891" w14:textId="77777777" w:rsidR="00035BE6" w:rsidRDefault="00035BE6" w:rsidP="006C635E">
      <w:pPr>
        <w:jc w:val="center"/>
        <w:rPr>
          <w:rFonts w:ascii="Times New Roman" w:eastAsia="Calibri" w:hAnsi="Times New Roman" w:cs="Times New Roman"/>
          <w:b/>
          <w:bCs/>
          <w:sz w:val="24"/>
          <w:szCs w:val="24"/>
          <w:u w:val="single"/>
          <w:lang w:val="en-GB"/>
        </w:rPr>
      </w:pPr>
    </w:p>
    <w:p w14:paraId="2AEBEC5D" w14:textId="6E1CCAE3" w:rsidR="00DB5C7E" w:rsidRDefault="0041538C" w:rsidP="00DB5C7E">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R Square</w:t>
      </w:r>
    </w:p>
    <w:p w14:paraId="6102A647" w14:textId="1685D1C3" w:rsidR="0041538C" w:rsidRDefault="0041538C" w:rsidP="0041538C">
      <w:pPr>
        <w:jc w:val="center"/>
        <w:rPr>
          <w:rFonts w:ascii="Times New Roman" w:eastAsia="Calibri" w:hAnsi="Times New Roman" w:cs="Times New Roman"/>
          <w:b/>
          <w:bCs/>
          <w:sz w:val="24"/>
          <w:szCs w:val="24"/>
          <w:u w:val="single"/>
          <w:lang w:val="en-GB"/>
        </w:rPr>
      </w:pPr>
      <w:r w:rsidRPr="0041538C">
        <w:rPr>
          <w:rFonts w:ascii="Times New Roman" w:eastAsia="Calibri" w:hAnsi="Times New Roman" w:cs="Times New Roman"/>
          <w:b/>
          <w:bCs/>
          <w:noProof/>
          <w:sz w:val="24"/>
          <w:szCs w:val="24"/>
          <w:u w:val="single"/>
          <w:lang w:val="en-GB" w:eastAsia="en-GB"/>
        </w:rPr>
        <w:drawing>
          <wp:inline distT="0" distB="0" distL="0" distR="0" wp14:anchorId="26CCE54E" wp14:editId="2D8D28FB">
            <wp:extent cx="3752850" cy="1647825"/>
            <wp:effectExtent l="0" t="0" r="0" b="9525"/>
            <wp:docPr id="1731209117"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209117" name="Picture 1" descr="A screenshot of a report&#10;&#10;Description automatically generated"/>
                    <pic:cNvPicPr/>
                  </pic:nvPicPr>
                  <pic:blipFill>
                    <a:blip r:embed="rId19"/>
                    <a:stretch>
                      <a:fillRect/>
                    </a:stretch>
                  </pic:blipFill>
                  <pic:spPr>
                    <a:xfrm>
                      <a:off x="0" y="0"/>
                      <a:ext cx="3752850" cy="1647825"/>
                    </a:xfrm>
                    <a:prstGeom prst="rect">
                      <a:avLst/>
                    </a:prstGeom>
                  </pic:spPr>
                </pic:pic>
              </a:graphicData>
            </a:graphic>
          </wp:inline>
        </w:drawing>
      </w:r>
    </w:p>
    <w:p w14:paraId="04E3ED78" w14:textId="716531D4" w:rsidR="00851180" w:rsidRPr="00851180" w:rsidRDefault="00851180" w:rsidP="00851180">
      <w:pPr>
        <w:jc w:val="both"/>
        <w:rPr>
          <w:rFonts w:ascii="Times New Roman" w:eastAsia="Calibri" w:hAnsi="Times New Roman" w:cs="Times New Roman"/>
          <w:sz w:val="24"/>
          <w:szCs w:val="24"/>
          <w:lang w:val="en-GB"/>
        </w:rPr>
      </w:pPr>
      <w:r w:rsidRPr="00851180">
        <w:rPr>
          <w:rFonts w:ascii="Times New Roman" w:eastAsia="Calibri" w:hAnsi="Times New Roman" w:cs="Times New Roman"/>
          <w:sz w:val="24"/>
          <w:szCs w:val="24"/>
          <w:lang w:val="en-GB"/>
        </w:rPr>
        <w:t>The table summari</w:t>
      </w:r>
      <w:r>
        <w:rPr>
          <w:rFonts w:ascii="Times New Roman" w:eastAsia="Calibri" w:hAnsi="Times New Roman" w:cs="Times New Roman"/>
          <w:sz w:val="24"/>
          <w:szCs w:val="24"/>
          <w:lang w:val="en-GB"/>
        </w:rPr>
        <w:t>s</w:t>
      </w:r>
      <w:r w:rsidRPr="00851180">
        <w:rPr>
          <w:rFonts w:ascii="Times New Roman" w:eastAsia="Calibri" w:hAnsi="Times New Roman" w:cs="Times New Roman"/>
          <w:sz w:val="24"/>
          <w:szCs w:val="24"/>
          <w:lang w:val="en-GB"/>
        </w:rPr>
        <w:t xml:space="preserve">es a regression analysis, which is a statistical method used to examine the relationship between a dependent variable </w:t>
      </w:r>
      <w:r w:rsidR="00200CFE" w:rsidRPr="00851180">
        <w:rPr>
          <w:rFonts w:ascii="Times New Roman" w:eastAsia="Calibri" w:hAnsi="Times New Roman" w:cs="Times New Roman"/>
          <w:sz w:val="24"/>
          <w:szCs w:val="24"/>
          <w:lang w:val="en-GB"/>
        </w:rPr>
        <w:t>more independent variable</w:t>
      </w:r>
      <w:r w:rsidRPr="00851180">
        <w:rPr>
          <w:rFonts w:ascii="Times New Roman" w:eastAsia="Calibri" w:hAnsi="Times New Roman" w:cs="Times New Roman"/>
          <w:sz w:val="24"/>
          <w:szCs w:val="24"/>
          <w:lang w:val="en-GB"/>
        </w:rPr>
        <w:t>. The R value of 0.955 indicates the correlation coefficient, denoting a very strong positive correlation between the predictors, which are the years, and the dependent variable. The Adjusted R Square value of 0.905 is the R Square adjusted for the number of predictors in the model, providing a more accurate measure by penali</w:t>
      </w:r>
      <w:r w:rsidR="003762DF">
        <w:rPr>
          <w:rFonts w:ascii="Times New Roman" w:eastAsia="Calibri" w:hAnsi="Times New Roman" w:cs="Times New Roman"/>
          <w:sz w:val="24"/>
          <w:szCs w:val="24"/>
          <w:lang w:val="en-GB"/>
        </w:rPr>
        <w:t>s</w:t>
      </w:r>
      <w:r w:rsidRPr="00851180">
        <w:rPr>
          <w:rFonts w:ascii="Times New Roman" w:eastAsia="Calibri" w:hAnsi="Times New Roman" w:cs="Times New Roman"/>
          <w:sz w:val="24"/>
          <w:szCs w:val="24"/>
          <w:lang w:val="en-GB"/>
        </w:rPr>
        <w:t xml:space="preserve">ing the inclusion of non-contributing predictors. This suggests that nearly 90.5% of the variance is explained, </w:t>
      </w:r>
      <w:r w:rsidR="00200CFE" w:rsidRPr="00851180">
        <w:rPr>
          <w:rFonts w:ascii="Times New Roman" w:eastAsia="Calibri" w:hAnsi="Times New Roman" w:cs="Times New Roman"/>
          <w:sz w:val="24"/>
          <w:szCs w:val="24"/>
          <w:lang w:val="en-GB"/>
        </w:rPr>
        <w:t>considering</w:t>
      </w:r>
      <w:r w:rsidRPr="00851180">
        <w:rPr>
          <w:rFonts w:ascii="Times New Roman" w:eastAsia="Calibri" w:hAnsi="Times New Roman" w:cs="Times New Roman"/>
          <w:sz w:val="24"/>
          <w:szCs w:val="24"/>
          <w:lang w:val="en-GB"/>
        </w:rPr>
        <w:t xml:space="preserve"> the number of predictors. Lastly, the Standard Error of the Estimate at 13.46 represents the average deviation of the observed values from the regression line, with a lower number indicating a better fit of the model.</w:t>
      </w:r>
    </w:p>
    <w:p w14:paraId="5C00A2A0" w14:textId="24C6E6B9" w:rsidR="00855BE4" w:rsidRDefault="00851180" w:rsidP="00851180">
      <w:pPr>
        <w:jc w:val="both"/>
        <w:rPr>
          <w:rFonts w:ascii="Times New Roman" w:eastAsia="Calibri" w:hAnsi="Times New Roman" w:cs="Times New Roman"/>
          <w:sz w:val="24"/>
          <w:szCs w:val="24"/>
          <w:lang w:val="en-GB"/>
        </w:rPr>
      </w:pPr>
      <w:r w:rsidRPr="00851180">
        <w:rPr>
          <w:rFonts w:ascii="Times New Roman" w:eastAsia="Calibri" w:hAnsi="Times New Roman" w:cs="Times New Roman"/>
          <w:sz w:val="24"/>
          <w:szCs w:val="24"/>
          <w:lang w:val="en-GB"/>
        </w:rPr>
        <w:t xml:space="preserve">The R value of 0.955, as the correlation coefficient, reflects the strength and direction of the linear relationship between the observed and predicted values. A value close to 1 suggests a strong positive correlation. The R Square value of 0.912 indicates the proportion of variance in the dependent variable that can be predicted from the independent variables. It assesses how well the predictors explain the variability of the outcome. In this case, 91.2% of the variance is accounted for by the model. This means that about 91.2% of the variation in the </w:t>
      </w:r>
      <w:r w:rsidR="00C11123">
        <w:rPr>
          <w:rFonts w:ascii="Times New Roman" w:eastAsia="Calibri" w:hAnsi="Times New Roman" w:cs="Times New Roman"/>
          <w:sz w:val="24"/>
          <w:szCs w:val="24"/>
          <w:lang w:val="en-GB"/>
        </w:rPr>
        <w:t>20 macroeconomic variables of the CFA Franc expla</w:t>
      </w:r>
      <w:r w:rsidR="003E27C6">
        <w:rPr>
          <w:rFonts w:ascii="Times New Roman" w:eastAsia="Calibri" w:hAnsi="Times New Roman" w:cs="Times New Roman"/>
          <w:sz w:val="24"/>
          <w:szCs w:val="24"/>
          <w:lang w:val="en-GB"/>
        </w:rPr>
        <w:t xml:space="preserve">ined or influenced the economic development of the Franc zone. </w:t>
      </w:r>
      <w:r w:rsidRPr="00851180">
        <w:rPr>
          <w:rFonts w:ascii="Times New Roman" w:eastAsia="Calibri" w:hAnsi="Times New Roman" w:cs="Times New Roman"/>
          <w:sz w:val="24"/>
          <w:szCs w:val="24"/>
          <w:lang w:val="en-GB"/>
        </w:rPr>
        <w:t>The remaining 8.8% could be attributed to other variables not included in this study.</w:t>
      </w:r>
    </w:p>
    <w:p w14:paraId="0CBA9077" w14:textId="77777777" w:rsidR="001250C1" w:rsidRPr="00855BE4" w:rsidRDefault="001250C1" w:rsidP="00851180">
      <w:pPr>
        <w:jc w:val="both"/>
        <w:rPr>
          <w:rFonts w:ascii="Times New Roman" w:eastAsia="Calibri" w:hAnsi="Times New Roman" w:cs="Times New Roman"/>
          <w:sz w:val="24"/>
          <w:szCs w:val="24"/>
          <w:lang w:val="en-GB"/>
        </w:rPr>
      </w:pPr>
    </w:p>
    <w:p w14:paraId="0351FC5C" w14:textId="0BAAEA2B" w:rsidR="0041538C" w:rsidRPr="00A04F30" w:rsidRDefault="00A04F30" w:rsidP="0041538C">
      <w:pPr>
        <w:jc w:val="both"/>
        <w:rPr>
          <w:rFonts w:ascii="Times New Roman" w:eastAsia="Calibri" w:hAnsi="Times New Roman" w:cs="Times New Roman"/>
          <w:sz w:val="24"/>
          <w:szCs w:val="24"/>
          <w:lang w:val="en-GB"/>
        </w:rPr>
      </w:pPr>
      <w:r>
        <w:rPr>
          <w:rFonts w:ascii="Times New Roman" w:eastAsia="Calibri" w:hAnsi="Times New Roman" w:cs="Times New Roman"/>
          <w:b/>
          <w:bCs/>
          <w:sz w:val="24"/>
          <w:szCs w:val="24"/>
          <w:u w:val="single"/>
          <w:lang w:val="en-GB"/>
        </w:rPr>
        <w:t>Anova</w:t>
      </w:r>
    </w:p>
    <w:p w14:paraId="3498EF44" w14:textId="77777777" w:rsidR="00F400E3" w:rsidRDefault="00F400E3" w:rsidP="00F400E3">
      <w:pPr>
        <w:jc w:val="center"/>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lastRenderedPageBreak/>
        <w:drawing>
          <wp:inline distT="0" distB="0" distL="0" distR="0" wp14:anchorId="02749323" wp14:editId="4D3D4A0E">
            <wp:extent cx="5043805" cy="1961515"/>
            <wp:effectExtent l="0" t="0" r="4445" b="635"/>
            <wp:docPr id="23" name="Picture 11" descr="Description: 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A screenshot of a graph&#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43805" cy="1961515"/>
                    </a:xfrm>
                    <a:prstGeom prst="rect">
                      <a:avLst/>
                    </a:prstGeom>
                    <a:noFill/>
                    <a:ln>
                      <a:noFill/>
                    </a:ln>
                  </pic:spPr>
                </pic:pic>
              </a:graphicData>
            </a:graphic>
          </wp:inline>
        </w:drawing>
      </w:r>
    </w:p>
    <w:p w14:paraId="36C1EBE1" w14:textId="08E854BE" w:rsidR="00B90955" w:rsidRPr="00B90955" w:rsidRDefault="00B90955" w:rsidP="00B90955">
      <w:pPr>
        <w:jc w:val="both"/>
        <w:rPr>
          <w:rFonts w:ascii="Times New Roman" w:eastAsia="Calibri" w:hAnsi="Times New Roman" w:cs="Times New Roman"/>
          <w:sz w:val="24"/>
          <w:szCs w:val="24"/>
          <w:lang w:val="en-GB"/>
        </w:rPr>
      </w:pPr>
      <w:r w:rsidRPr="00B90955">
        <w:rPr>
          <w:rFonts w:ascii="Times New Roman" w:eastAsia="Calibri" w:hAnsi="Times New Roman" w:cs="Times New Roman"/>
          <w:sz w:val="24"/>
          <w:szCs w:val="24"/>
          <w:lang w:val="en-GB"/>
        </w:rPr>
        <w:t>The table presents the results of an ANOVA test, which evaluates whether the means of more independent groups are significantly different. The Regression (484421.503) represents the variation accounted for by the model. The Residual (46935.058) is the variation not explained by the model. The Total (531356.561) is the overall variation in the dataset. The Regression (20) is the number of predictors in the model. The Residual (259) is the total number of observations minus the number of predictors and one. The Total (279) is the total number of observations minus one. The Regression (24221.075) is the Regression Sum of Squares divided by its degrees of freedom. The Residual (181.216) is the Residual Sum of Squares divided by its degrees of freedom. The F (133.658) is the F-statistic, which is the Mean Square Regression divided by the Mean Square Residual, assessing the model's fit. The Sig. (&lt;.001) is the p-value, with a value below .001 indicating statistical significance, suggesting that the predictors have a significant impact on the dependent variable.</w:t>
      </w:r>
    </w:p>
    <w:p w14:paraId="7081F2F1" w14:textId="77777777" w:rsidR="00632DAF" w:rsidRDefault="00632DAF" w:rsidP="00F400E3">
      <w:pPr>
        <w:jc w:val="both"/>
        <w:rPr>
          <w:rFonts w:ascii="Times New Roman" w:eastAsia="Calibri" w:hAnsi="Times New Roman" w:cs="Times New Roman"/>
          <w:sz w:val="24"/>
          <w:szCs w:val="24"/>
          <w:lang w:val="en-GB"/>
        </w:rPr>
      </w:pPr>
    </w:p>
    <w:p w14:paraId="630D1478" w14:textId="318FB0E4" w:rsidR="00F400E3" w:rsidRPr="000B222C" w:rsidRDefault="001E1F09" w:rsidP="00F400E3">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Coe</w:t>
      </w:r>
      <w:r w:rsidR="00EA4A76">
        <w:rPr>
          <w:rFonts w:ascii="Times New Roman" w:eastAsia="Calibri" w:hAnsi="Times New Roman" w:cs="Times New Roman"/>
          <w:b/>
          <w:bCs/>
          <w:sz w:val="24"/>
          <w:szCs w:val="24"/>
          <w:u w:val="single"/>
          <w:lang w:val="en-GB"/>
        </w:rPr>
        <w:t>fficients</w:t>
      </w:r>
    </w:p>
    <w:p w14:paraId="07D7287F" w14:textId="77777777" w:rsidR="00F400E3" w:rsidRPr="000B222C" w:rsidRDefault="00F400E3" w:rsidP="00F400E3">
      <w:pPr>
        <w:jc w:val="center"/>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lastRenderedPageBreak/>
        <w:drawing>
          <wp:inline distT="0" distB="0" distL="0" distR="0" wp14:anchorId="434ED899" wp14:editId="42D84A70">
            <wp:extent cx="5117465" cy="5073650"/>
            <wp:effectExtent l="0" t="0" r="6985" b="0"/>
            <wp:docPr id="24" name="Picture 1" descr="Description: 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 screenshot of a graph&#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17465" cy="5073650"/>
                    </a:xfrm>
                    <a:prstGeom prst="rect">
                      <a:avLst/>
                    </a:prstGeom>
                    <a:noFill/>
                    <a:ln>
                      <a:noFill/>
                    </a:ln>
                  </pic:spPr>
                </pic:pic>
              </a:graphicData>
            </a:graphic>
          </wp:inline>
        </w:drawing>
      </w:r>
    </w:p>
    <w:p w14:paraId="0628FD5A" w14:textId="1BDA1182" w:rsidR="000173A0" w:rsidRDefault="000173A0" w:rsidP="00E33ABB">
      <w:pPr>
        <w:jc w:val="both"/>
        <w:rPr>
          <w:rFonts w:ascii="Times New Roman" w:eastAsia="Calibri" w:hAnsi="Times New Roman" w:cs="Times New Roman"/>
          <w:sz w:val="24"/>
          <w:szCs w:val="24"/>
          <w:lang w:val="en-GB"/>
        </w:rPr>
      </w:pPr>
      <w:r w:rsidRPr="000173A0">
        <w:rPr>
          <w:rFonts w:ascii="Times New Roman" w:eastAsia="Calibri" w:hAnsi="Times New Roman" w:cs="Times New Roman"/>
          <w:sz w:val="24"/>
          <w:szCs w:val="24"/>
          <w:lang w:val="en-GB"/>
        </w:rPr>
        <w:t>This table presents the results of a regression analysis, highlighting the coefficients for each year from 2004 to 2023.</w:t>
      </w:r>
      <w:r w:rsidR="00B42032">
        <w:rPr>
          <w:rFonts w:ascii="Times New Roman" w:eastAsia="Calibri" w:hAnsi="Times New Roman" w:cs="Times New Roman"/>
          <w:sz w:val="24"/>
          <w:szCs w:val="24"/>
          <w:lang w:val="en-GB"/>
        </w:rPr>
        <w:t xml:space="preserve"> </w:t>
      </w:r>
      <w:r w:rsidRPr="000173A0">
        <w:rPr>
          <w:rFonts w:ascii="Times New Roman" w:eastAsia="Calibri" w:hAnsi="Times New Roman" w:cs="Times New Roman"/>
          <w:sz w:val="24"/>
          <w:szCs w:val="24"/>
          <w:lang w:val="en-GB"/>
        </w:rPr>
        <w:t>For example, the coefficient for [YR2004] is 0.947, indicating that a one-unit increase in [YR2004] results in a 0.947 unit increase in [YR2003], assuming all other variables are held constant. The standard error for [YR2004] is 0.058, suggesting a precise estimate. Standardized Coefficients (Beta)</w:t>
      </w:r>
      <w:r w:rsidR="004F7245">
        <w:rPr>
          <w:rFonts w:ascii="Times New Roman" w:eastAsia="Calibri" w:hAnsi="Times New Roman" w:cs="Times New Roman"/>
          <w:sz w:val="24"/>
          <w:szCs w:val="24"/>
          <w:lang w:val="en-GB"/>
        </w:rPr>
        <w:t xml:space="preserve"> </w:t>
      </w:r>
      <w:r w:rsidRPr="000173A0">
        <w:rPr>
          <w:rFonts w:ascii="Times New Roman" w:eastAsia="Calibri" w:hAnsi="Times New Roman" w:cs="Times New Roman"/>
          <w:sz w:val="24"/>
          <w:szCs w:val="24"/>
          <w:lang w:val="en-GB"/>
        </w:rPr>
        <w:t>represent the strength and direction of the relationship between the predictors and the dependent variable, standardized to a mean of 0 and a standard deviation of 1. The Beta for [YR2004] is 0.937, showing a strong positive relationship. The t-value for [YR2004] is 16.269, which is significantly high. Significance (Sig.): The p-value indicates the probability that the coefficient is different from zero by chance. A value below 0.05 is typically considered statistically significant. The p-value for [YR2004] is &lt;0.001, implying a highly significant correlation. Significant Predictors: [YR2004], [YR2007], [YR2013], [YR2014], and [YR2023] have p-values below 0.05, identifying them as significant predictors of [YR2003]. This analysis helps identify the years that have a significant impact on the dependent variable and the magnitude of these effects.</w:t>
      </w:r>
    </w:p>
    <w:p w14:paraId="4213AAEE" w14:textId="5D2C4391" w:rsidR="00E33ABB" w:rsidRPr="00AA73CC" w:rsidRDefault="00E33ABB" w:rsidP="00E33ABB">
      <w:pPr>
        <w:jc w:val="both"/>
        <w:rPr>
          <w:rFonts w:ascii="Times New Roman" w:eastAsia="Calibri" w:hAnsi="Times New Roman" w:cs="Times New Roman"/>
          <w:b/>
          <w:bCs/>
          <w:sz w:val="32"/>
          <w:szCs w:val="32"/>
          <w:lang w:val="en-GB"/>
        </w:rPr>
      </w:pPr>
      <w:r>
        <w:rPr>
          <w:rFonts w:ascii="Times New Roman" w:eastAsia="Calibri" w:hAnsi="Times New Roman" w:cs="Times New Roman"/>
          <w:sz w:val="24"/>
          <w:szCs w:val="24"/>
          <w:lang w:val="en-GB"/>
        </w:rPr>
        <w:lastRenderedPageBreak/>
        <w:t xml:space="preserve">According to the formula representing </w:t>
      </w:r>
      <w:r w:rsidR="00295C07">
        <w:rPr>
          <w:rFonts w:ascii="Times New Roman" w:eastAsia="Calibri" w:hAnsi="Times New Roman" w:cs="Times New Roman"/>
          <w:sz w:val="24"/>
          <w:szCs w:val="24"/>
          <w:lang w:val="en-GB"/>
        </w:rPr>
        <w:t>by</w:t>
      </w:r>
      <w:r w:rsidR="00970076">
        <w:rPr>
          <w:rFonts w:ascii="Times New Roman" w:eastAsia="Calibri" w:hAnsi="Times New Roman" w:cs="Times New Roman"/>
          <w:sz w:val="24"/>
          <w:szCs w:val="24"/>
          <w:lang w:val="en-GB"/>
        </w:rPr>
        <w:t xml:space="preserve"> </w:t>
      </w:r>
      <w:r w:rsidRPr="00AA73CC">
        <w:rPr>
          <w:rFonts w:ascii="Times New Roman" w:eastAsia="Calibri" w:hAnsi="Times New Roman" w:cs="Times New Roman"/>
          <w:b/>
          <w:bCs/>
          <w:sz w:val="32"/>
          <w:szCs w:val="32"/>
          <w:lang w:val="en-GB"/>
        </w:rPr>
        <w:t>y = a + bx</w:t>
      </w:r>
    </w:p>
    <w:p w14:paraId="18CCC47E" w14:textId="463D6A8D" w:rsidR="006F10F8" w:rsidRDefault="001432E5" w:rsidP="00E33ABB">
      <w:pPr>
        <w:jc w:val="both"/>
        <w:rPr>
          <w:rFonts w:ascii="Times New Roman" w:eastAsia="Calibri" w:hAnsi="Times New Roman" w:cs="Times New Roman"/>
          <w:sz w:val="24"/>
          <w:szCs w:val="24"/>
          <w:lang w:val="en-GB"/>
        </w:rPr>
      </w:pPr>
      <w:r>
        <w:rPr>
          <w:rFonts w:ascii="Times New Roman" w:eastAsia="Calibri" w:hAnsi="Times New Roman" w:cs="Times New Roman"/>
          <w:b/>
          <w:bCs/>
          <w:sz w:val="24"/>
          <w:szCs w:val="24"/>
          <w:lang w:val="en-GB"/>
        </w:rPr>
        <w:t xml:space="preserve">YR2003 = </w:t>
      </w:r>
      <w:r w:rsidR="00466034">
        <w:rPr>
          <w:rFonts w:ascii="Times New Roman" w:eastAsia="Calibri" w:hAnsi="Times New Roman" w:cs="Times New Roman"/>
          <w:b/>
          <w:bCs/>
          <w:sz w:val="24"/>
          <w:szCs w:val="24"/>
          <w:lang w:val="en-GB"/>
        </w:rPr>
        <w:t>-</w:t>
      </w:r>
      <w:r w:rsidR="00F74041">
        <w:rPr>
          <w:rFonts w:ascii="Times New Roman" w:eastAsia="Calibri" w:hAnsi="Times New Roman" w:cs="Times New Roman"/>
          <w:b/>
          <w:bCs/>
          <w:sz w:val="24"/>
          <w:szCs w:val="24"/>
          <w:lang w:val="en-GB"/>
        </w:rPr>
        <w:t xml:space="preserve"> 0.802 + </w:t>
      </w:r>
      <w:r w:rsidR="000C1D2A">
        <w:rPr>
          <w:rFonts w:ascii="Times New Roman" w:eastAsia="Calibri" w:hAnsi="Times New Roman" w:cs="Times New Roman"/>
          <w:b/>
          <w:bCs/>
          <w:sz w:val="24"/>
          <w:szCs w:val="24"/>
          <w:lang w:val="en-GB"/>
        </w:rPr>
        <w:t>0.947.YR</w:t>
      </w:r>
      <w:r w:rsidR="00B52634">
        <w:rPr>
          <w:rFonts w:ascii="Times New Roman" w:eastAsia="Calibri" w:hAnsi="Times New Roman" w:cs="Times New Roman"/>
          <w:b/>
          <w:bCs/>
          <w:sz w:val="24"/>
          <w:szCs w:val="24"/>
          <w:lang w:val="en-GB"/>
        </w:rPr>
        <w:t>2004 + (</w:t>
      </w:r>
      <w:r w:rsidR="00A7537E">
        <w:rPr>
          <w:rFonts w:ascii="Times New Roman" w:eastAsia="Calibri" w:hAnsi="Times New Roman" w:cs="Times New Roman"/>
          <w:b/>
          <w:bCs/>
          <w:sz w:val="24"/>
          <w:szCs w:val="24"/>
          <w:lang w:val="en-GB"/>
        </w:rPr>
        <w:t>-0.038</w:t>
      </w:r>
      <w:r w:rsidR="000C1D2A">
        <w:rPr>
          <w:rFonts w:ascii="Times New Roman" w:eastAsia="Calibri" w:hAnsi="Times New Roman" w:cs="Times New Roman"/>
          <w:b/>
          <w:bCs/>
          <w:sz w:val="24"/>
          <w:szCs w:val="24"/>
          <w:lang w:val="en-GB"/>
        </w:rPr>
        <w:t>). YR</w:t>
      </w:r>
      <w:r w:rsidR="00A7537E">
        <w:rPr>
          <w:rFonts w:ascii="Times New Roman" w:eastAsia="Calibri" w:hAnsi="Times New Roman" w:cs="Times New Roman"/>
          <w:b/>
          <w:bCs/>
          <w:sz w:val="24"/>
          <w:szCs w:val="24"/>
          <w:lang w:val="en-GB"/>
        </w:rPr>
        <w:t xml:space="preserve">2005 </w:t>
      </w:r>
      <w:r w:rsidR="00AF7135">
        <w:rPr>
          <w:rFonts w:ascii="Times New Roman" w:eastAsia="Calibri" w:hAnsi="Times New Roman" w:cs="Times New Roman"/>
          <w:b/>
          <w:bCs/>
          <w:sz w:val="24"/>
          <w:szCs w:val="24"/>
          <w:lang w:val="en-GB"/>
        </w:rPr>
        <w:t>+ (-0.68</w:t>
      </w:r>
      <w:r w:rsidR="000C1D2A">
        <w:rPr>
          <w:rFonts w:ascii="Times New Roman" w:eastAsia="Calibri" w:hAnsi="Times New Roman" w:cs="Times New Roman"/>
          <w:b/>
          <w:bCs/>
          <w:sz w:val="24"/>
          <w:szCs w:val="24"/>
          <w:lang w:val="en-GB"/>
        </w:rPr>
        <w:t>). YR</w:t>
      </w:r>
      <w:r w:rsidR="00CB1D14">
        <w:rPr>
          <w:rFonts w:ascii="Times New Roman" w:eastAsia="Calibri" w:hAnsi="Times New Roman" w:cs="Times New Roman"/>
          <w:b/>
          <w:bCs/>
          <w:sz w:val="24"/>
          <w:szCs w:val="24"/>
          <w:lang w:val="en-GB"/>
        </w:rPr>
        <w:t xml:space="preserve">2006 + </w:t>
      </w:r>
      <w:r w:rsidR="009A02DC">
        <w:rPr>
          <w:rFonts w:ascii="Times New Roman" w:eastAsia="Calibri" w:hAnsi="Times New Roman" w:cs="Times New Roman"/>
          <w:b/>
          <w:bCs/>
          <w:sz w:val="24"/>
          <w:szCs w:val="24"/>
          <w:lang w:val="en-GB"/>
        </w:rPr>
        <w:t>0.4</w:t>
      </w:r>
      <w:r w:rsidR="00FB582B">
        <w:rPr>
          <w:rFonts w:ascii="Times New Roman" w:eastAsia="Calibri" w:hAnsi="Times New Roman" w:cs="Times New Roman"/>
          <w:b/>
          <w:bCs/>
          <w:sz w:val="24"/>
          <w:szCs w:val="24"/>
          <w:lang w:val="en-GB"/>
        </w:rPr>
        <w:t>.</w:t>
      </w:r>
      <w:r w:rsidR="00190473">
        <w:rPr>
          <w:rFonts w:ascii="Times New Roman" w:eastAsia="Calibri" w:hAnsi="Times New Roman" w:cs="Times New Roman"/>
          <w:b/>
          <w:bCs/>
          <w:sz w:val="24"/>
          <w:szCs w:val="24"/>
          <w:lang w:val="en-GB"/>
        </w:rPr>
        <w:t>YR2007 + (-</w:t>
      </w:r>
      <w:r w:rsidR="00A81524">
        <w:rPr>
          <w:rFonts w:ascii="Times New Roman" w:eastAsia="Calibri" w:hAnsi="Times New Roman" w:cs="Times New Roman"/>
          <w:b/>
          <w:bCs/>
          <w:sz w:val="24"/>
          <w:szCs w:val="24"/>
          <w:lang w:val="en-GB"/>
        </w:rPr>
        <w:t>0.333</w:t>
      </w:r>
      <w:r w:rsidR="00264D59">
        <w:rPr>
          <w:rFonts w:ascii="Times New Roman" w:eastAsia="Calibri" w:hAnsi="Times New Roman" w:cs="Times New Roman"/>
          <w:b/>
          <w:bCs/>
          <w:sz w:val="24"/>
          <w:szCs w:val="24"/>
          <w:lang w:val="en-GB"/>
        </w:rPr>
        <w:t>).YR</w:t>
      </w:r>
      <w:r w:rsidR="00A81524">
        <w:rPr>
          <w:rFonts w:ascii="Times New Roman" w:eastAsia="Calibri" w:hAnsi="Times New Roman" w:cs="Times New Roman"/>
          <w:b/>
          <w:bCs/>
          <w:sz w:val="24"/>
          <w:szCs w:val="24"/>
          <w:lang w:val="en-GB"/>
        </w:rPr>
        <w:t xml:space="preserve">2008 + </w:t>
      </w:r>
      <w:r w:rsidR="00F72167">
        <w:rPr>
          <w:rFonts w:ascii="Times New Roman" w:eastAsia="Calibri" w:hAnsi="Times New Roman" w:cs="Times New Roman"/>
          <w:b/>
          <w:bCs/>
          <w:sz w:val="24"/>
          <w:szCs w:val="24"/>
          <w:lang w:val="en-GB"/>
        </w:rPr>
        <w:t>0.19</w:t>
      </w:r>
      <w:r w:rsidR="00FB582B">
        <w:rPr>
          <w:rFonts w:ascii="Times New Roman" w:eastAsia="Calibri" w:hAnsi="Times New Roman" w:cs="Times New Roman"/>
          <w:b/>
          <w:bCs/>
          <w:sz w:val="24"/>
          <w:szCs w:val="24"/>
          <w:lang w:val="en-GB"/>
        </w:rPr>
        <w:t>.</w:t>
      </w:r>
      <w:r w:rsidR="00F72167">
        <w:rPr>
          <w:rFonts w:ascii="Times New Roman" w:eastAsia="Calibri" w:hAnsi="Times New Roman" w:cs="Times New Roman"/>
          <w:b/>
          <w:bCs/>
          <w:sz w:val="24"/>
          <w:szCs w:val="24"/>
          <w:lang w:val="en-GB"/>
        </w:rPr>
        <w:t>YR2009 +</w:t>
      </w:r>
      <w:r w:rsidR="00FB582B">
        <w:rPr>
          <w:rFonts w:ascii="Times New Roman" w:eastAsia="Calibri" w:hAnsi="Times New Roman" w:cs="Times New Roman"/>
          <w:b/>
          <w:bCs/>
          <w:sz w:val="24"/>
          <w:szCs w:val="24"/>
          <w:lang w:val="en-GB"/>
        </w:rPr>
        <w:t xml:space="preserve"> 0.</w:t>
      </w:r>
      <w:r w:rsidR="000C778C">
        <w:rPr>
          <w:rFonts w:ascii="Times New Roman" w:eastAsia="Calibri" w:hAnsi="Times New Roman" w:cs="Times New Roman"/>
          <w:b/>
          <w:bCs/>
          <w:sz w:val="24"/>
          <w:szCs w:val="24"/>
          <w:lang w:val="en-GB"/>
        </w:rPr>
        <w:t>04.YR</w:t>
      </w:r>
      <w:r w:rsidR="00FB582B">
        <w:rPr>
          <w:rFonts w:ascii="Times New Roman" w:eastAsia="Calibri" w:hAnsi="Times New Roman" w:cs="Times New Roman"/>
          <w:b/>
          <w:bCs/>
          <w:sz w:val="24"/>
          <w:szCs w:val="24"/>
          <w:lang w:val="en-GB"/>
        </w:rPr>
        <w:t xml:space="preserve">2010 + </w:t>
      </w:r>
      <w:r w:rsidR="00996815">
        <w:rPr>
          <w:rFonts w:ascii="Times New Roman" w:eastAsia="Calibri" w:hAnsi="Times New Roman" w:cs="Times New Roman"/>
          <w:b/>
          <w:bCs/>
          <w:sz w:val="24"/>
          <w:szCs w:val="24"/>
          <w:lang w:val="en-GB"/>
        </w:rPr>
        <w:t>(-</w:t>
      </w:r>
      <w:r w:rsidR="00264D59">
        <w:rPr>
          <w:rFonts w:ascii="Times New Roman" w:eastAsia="Calibri" w:hAnsi="Times New Roman" w:cs="Times New Roman"/>
          <w:b/>
          <w:bCs/>
          <w:sz w:val="24"/>
          <w:szCs w:val="24"/>
          <w:lang w:val="en-GB"/>
        </w:rPr>
        <w:t xml:space="preserve">0.026).YR2011 + </w:t>
      </w:r>
      <w:r w:rsidR="00E40124">
        <w:rPr>
          <w:rFonts w:ascii="Times New Roman" w:eastAsia="Calibri" w:hAnsi="Times New Roman" w:cs="Times New Roman"/>
          <w:b/>
          <w:bCs/>
          <w:sz w:val="24"/>
          <w:szCs w:val="24"/>
          <w:lang w:val="en-GB"/>
        </w:rPr>
        <w:t>(-0.</w:t>
      </w:r>
      <w:r w:rsidR="0096334E">
        <w:rPr>
          <w:rFonts w:ascii="Times New Roman" w:eastAsia="Calibri" w:hAnsi="Times New Roman" w:cs="Times New Roman"/>
          <w:b/>
          <w:bCs/>
          <w:sz w:val="24"/>
          <w:szCs w:val="24"/>
          <w:lang w:val="en-GB"/>
        </w:rPr>
        <w:t xml:space="preserve">092).YR2012 + </w:t>
      </w:r>
      <w:r w:rsidR="002A309E">
        <w:rPr>
          <w:rFonts w:ascii="Times New Roman" w:eastAsia="Calibri" w:hAnsi="Times New Roman" w:cs="Times New Roman"/>
          <w:b/>
          <w:bCs/>
          <w:sz w:val="24"/>
          <w:szCs w:val="24"/>
          <w:lang w:val="en-GB"/>
        </w:rPr>
        <w:t>0.597</w:t>
      </w:r>
      <w:r w:rsidR="00575F78">
        <w:rPr>
          <w:rFonts w:ascii="Times New Roman" w:eastAsia="Calibri" w:hAnsi="Times New Roman" w:cs="Times New Roman"/>
          <w:b/>
          <w:bCs/>
          <w:sz w:val="24"/>
          <w:szCs w:val="24"/>
          <w:lang w:val="en-GB"/>
        </w:rPr>
        <w:t xml:space="preserve">.YR2013 + </w:t>
      </w:r>
      <w:r w:rsidR="00D12A1C">
        <w:rPr>
          <w:rFonts w:ascii="Times New Roman" w:eastAsia="Calibri" w:hAnsi="Times New Roman" w:cs="Times New Roman"/>
          <w:b/>
          <w:bCs/>
          <w:sz w:val="24"/>
          <w:szCs w:val="24"/>
          <w:lang w:val="en-GB"/>
        </w:rPr>
        <w:t>(-0.4</w:t>
      </w:r>
      <w:r w:rsidR="00EA5021">
        <w:rPr>
          <w:rFonts w:ascii="Times New Roman" w:eastAsia="Calibri" w:hAnsi="Times New Roman" w:cs="Times New Roman"/>
          <w:b/>
          <w:bCs/>
          <w:sz w:val="24"/>
          <w:szCs w:val="24"/>
          <w:lang w:val="en-GB"/>
        </w:rPr>
        <w:t xml:space="preserve">94).YR2014 + </w:t>
      </w:r>
      <w:r w:rsidR="007068F7">
        <w:rPr>
          <w:rFonts w:ascii="Times New Roman" w:eastAsia="Calibri" w:hAnsi="Times New Roman" w:cs="Times New Roman"/>
          <w:b/>
          <w:bCs/>
          <w:sz w:val="24"/>
          <w:szCs w:val="24"/>
          <w:lang w:val="en-GB"/>
        </w:rPr>
        <w:t xml:space="preserve">0.09.YR2015 + </w:t>
      </w:r>
      <w:r w:rsidR="009C6409">
        <w:rPr>
          <w:rFonts w:ascii="Times New Roman" w:eastAsia="Calibri" w:hAnsi="Times New Roman" w:cs="Times New Roman"/>
          <w:b/>
          <w:bCs/>
          <w:sz w:val="24"/>
          <w:szCs w:val="24"/>
          <w:lang w:val="en-GB"/>
        </w:rPr>
        <w:t>0.090.YR2016 + (-0.085</w:t>
      </w:r>
      <w:r w:rsidR="00173F58">
        <w:rPr>
          <w:rFonts w:ascii="Times New Roman" w:eastAsia="Calibri" w:hAnsi="Times New Roman" w:cs="Times New Roman"/>
          <w:b/>
          <w:bCs/>
          <w:sz w:val="24"/>
          <w:szCs w:val="24"/>
          <w:lang w:val="en-GB"/>
        </w:rPr>
        <w:t xml:space="preserve">).YR2017 + </w:t>
      </w:r>
      <w:r w:rsidR="008F33EB">
        <w:rPr>
          <w:rFonts w:ascii="Times New Roman" w:eastAsia="Calibri" w:hAnsi="Times New Roman" w:cs="Times New Roman"/>
          <w:b/>
          <w:bCs/>
          <w:sz w:val="24"/>
          <w:szCs w:val="24"/>
          <w:lang w:val="en-GB"/>
        </w:rPr>
        <w:t xml:space="preserve">0.026.YR2018 + </w:t>
      </w:r>
      <w:r w:rsidR="001E7D6A">
        <w:rPr>
          <w:rFonts w:ascii="Times New Roman" w:eastAsia="Calibri" w:hAnsi="Times New Roman" w:cs="Times New Roman"/>
          <w:b/>
          <w:bCs/>
          <w:sz w:val="24"/>
          <w:szCs w:val="24"/>
          <w:lang w:val="en-GB"/>
        </w:rPr>
        <w:t xml:space="preserve">0.082.YR2019 + </w:t>
      </w:r>
      <w:r w:rsidR="00207247">
        <w:rPr>
          <w:rFonts w:ascii="Times New Roman" w:eastAsia="Calibri" w:hAnsi="Times New Roman" w:cs="Times New Roman"/>
          <w:b/>
          <w:bCs/>
          <w:sz w:val="24"/>
          <w:szCs w:val="24"/>
          <w:lang w:val="en-GB"/>
        </w:rPr>
        <w:t>(-0.031).YR2020 + (</w:t>
      </w:r>
      <w:r w:rsidR="00333210">
        <w:rPr>
          <w:rFonts w:ascii="Times New Roman" w:eastAsia="Calibri" w:hAnsi="Times New Roman" w:cs="Times New Roman"/>
          <w:b/>
          <w:bCs/>
          <w:sz w:val="24"/>
          <w:szCs w:val="24"/>
          <w:lang w:val="en-GB"/>
        </w:rPr>
        <w:t xml:space="preserve">-0.118).YR2021 + </w:t>
      </w:r>
      <w:r w:rsidR="009A558D">
        <w:rPr>
          <w:rFonts w:ascii="Times New Roman" w:eastAsia="Calibri" w:hAnsi="Times New Roman" w:cs="Times New Roman"/>
          <w:b/>
          <w:bCs/>
          <w:sz w:val="24"/>
          <w:szCs w:val="24"/>
          <w:lang w:val="en-GB"/>
        </w:rPr>
        <w:t>0.027.YR2022 + 0.095</w:t>
      </w:r>
      <w:r w:rsidR="00B566FF">
        <w:rPr>
          <w:rFonts w:ascii="Times New Roman" w:eastAsia="Calibri" w:hAnsi="Times New Roman" w:cs="Times New Roman"/>
          <w:b/>
          <w:bCs/>
          <w:sz w:val="24"/>
          <w:szCs w:val="24"/>
          <w:lang w:val="en-GB"/>
        </w:rPr>
        <w:t>.YR2023</w:t>
      </w:r>
    </w:p>
    <w:p w14:paraId="25A55035" w14:textId="77777777" w:rsidR="00EF24C6" w:rsidRDefault="00EF24C6" w:rsidP="000B222C">
      <w:pPr>
        <w:jc w:val="both"/>
        <w:rPr>
          <w:rFonts w:ascii="Times New Roman" w:eastAsia="Calibri" w:hAnsi="Times New Roman" w:cs="Times New Roman"/>
          <w:sz w:val="24"/>
          <w:szCs w:val="24"/>
          <w:lang w:val="en-GB"/>
        </w:rPr>
      </w:pPr>
    </w:p>
    <w:p w14:paraId="35DE1287" w14:textId="77777777" w:rsidR="00B520D6" w:rsidRDefault="00B520D6" w:rsidP="000B222C">
      <w:pPr>
        <w:jc w:val="both"/>
        <w:rPr>
          <w:rFonts w:ascii="Times New Roman" w:eastAsia="Calibri" w:hAnsi="Times New Roman" w:cs="Times New Roman"/>
          <w:sz w:val="24"/>
          <w:szCs w:val="24"/>
          <w:lang w:val="en-GB"/>
        </w:rPr>
      </w:pPr>
    </w:p>
    <w:p w14:paraId="087E3C0F" w14:textId="77777777" w:rsidR="00B520D6" w:rsidRDefault="00B520D6" w:rsidP="000B222C">
      <w:pPr>
        <w:jc w:val="both"/>
        <w:rPr>
          <w:rFonts w:ascii="Times New Roman" w:eastAsia="Calibri" w:hAnsi="Times New Roman" w:cs="Times New Roman"/>
          <w:sz w:val="24"/>
          <w:szCs w:val="24"/>
          <w:lang w:val="en-GB"/>
        </w:rPr>
      </w:pPr>
    </w:p>
    <w:p w14:paraId="47B729FF" w14:textId="77777777" w:rsidR="00B520D6" w:rsidRDefault="00B520D6" w:rsidP="000B222C">
      <w:pPr>
        <w:jc w:val="both"/>
        <w:rPr>
          <w:rFonts w:ascii="Times New Roman" w:eastAsia="Calibri" w:hAnsi="Times New Roman" w:cs="Times New Roman"/>
          <w:sz w:val="24"/>
          <w:szCs w:val="24"/>
          <w:lang w:val="en-GB"/>
        </w:rPr>
      </w:pPr>
    </w:p>
    <w:p w14:paraId="2F00A7ED" w14:textId="77777777" w:rsidR="00B520D6" w:rsidRDefault="00B520D6" w:rsidP="000B222C">
      <w:pPr>
        <w:jc w:val="both"/>
        <w:rPr>
          <w:rFonts w:ascii="Times New Roman" w:eastAsia="Calibri" w:hAnsi="Times New Roman" w:cs="Times New Roman"/>
          <w:sz w:val="24"/>
          <w:szCs w:val="24"/>
          <w:lang w:val="en-GB"/>
        </w:rPr>
      </w:pPr>
    </w:p>
    <w:p w14:paraId="23D202B5" w14:textId="77777777" w:rsidR="00B520D6" w:rsidRDefault="00B520D6" w:rsidP="000B222C">
      <w:pPr>
        <w:jc w:val="both"/>
        <w:rPr>
          <w:rFonts w:ascii="Times New Roman" w:eastAsia="Calibri" w:hAnsi="Times New Roman" w:cs="Times New Roman"/>
          <w:sz w:val="24"/>
          <w:szCs w:val="24"/>
          <w:lang w:val="en-GB"/>
        </w:rPr>
      </w:pPr>
    </w:p>
    <w:p w14:paraId="0FE8AC4F" w14:textId="77777777" w:rsidR="00B520D6" w:rsidRDefault="00B520D6" w:rsidP="000B222C">
      <w:pPr>
        <w:jc w:val="both"/>
        <w:rPr>
          <w:rFonts w:ascii="Times New Roman" w:eastAsia="Calibri" w:hAnsi="Times New Roman" w:cs="Times New Roman"/>
          <w:sz w:val="24"/>
          <w:szCs w:val="24"/>
          <w:lang w:val="en-GB"/>
        </w:rPr>
      </w:pPr>
    </w:p>
    <w:p w14:paraId="31DF6A1B" w14:textId="77777777" w:rsidR="00B520D6" w:rsidRDefault="00B520D6" w:rsidP="000B222C">
      <w:pPr>
        <w:jc w:val="both"/>
        <w:rPr>
          <w:rFonts w:ascii="Times New Roman" w:eastAsia="Calibri" w:hAnsi="Times New Roman" w:cs="Times New Roman"/>
          <w:sz w:val="24"/>
          <w:szCs w:val="24"/>
          <w:lang w:val="en-GB"/>
        </w:rPr>
      </w:pPr>
    </w:p>
    <w:p w14:paraId="1EC2C1B5" w14:textId="77777777" w:rsidR="00B520D6" w:rsidRDefault="00B520D6" w:rsidP="000B222C">
      <w:pPr>
        <w:jc w:val="both"/>
        <w:rPr>
          <w:rFonts w:ascii="Times New Roman" w:eastAsia="Calibri" w:hAnsi="Times New Roman" w:cs="Times New Roman"/>
          <w:sz w:val="24"/>
          <w:szCs w:val="24"/>
          <w:lang w:val="en-GB"/>
        </w:rPr>
      </w:pPr>
    </w:p>
    <w:p w14:paraId="531FF841" w14:textId="77777777" w:rsidR="00B520D6" w:rsidRDefault="00B520D6" w:rsidP="000B222C">
      <w:pPr>
        <w:jc w:val="both"/>
        <w:rPr>
          <w:rFonts w:ascii="Times New Roman" w:eastAsia="Calibri" w:hAnsi="Times New Roman" w:cs="Times New Roman"/>
          <w:sz w:val="24"/>
          <w:szCs w:val="24"/>
          <w:lang w:val="en-GB"/>
        </w:rPr>
      </w:pPr>
    </w:p>
    <w:p w14:paraId="36F99842" w14:textId="77777777" w:rsidR="00B520D6" w:rsidRDefault="00B520D6" w:rsidP="000B222C">
      <w:pPr>
        <w:jc w:val="both"/>
        <w:rPr>
          <w:rFonts w:ascii="Times New Roman" w:eastAsia="Calibri" w:hAnsi="Times New Roman" w:cs="Times New Roman"/>
          <w:sz w:val="24"/>
          <w:szCs w:val="24"/>
          <w:lang w:val="en-GB"/>
        </w:rPr>
      </w:pPr>
    </w:p>
    <w:p w14:paraId="25BF11DD" w14:textId="77777777" w:rsidR="00B520D6" w:rsidRDefault="00B520D6" w:rsidP="000B222C">
      <w:pPr>
        <w:jc w:val="both"/>
        <w:rPr>
          <w:rFonts w:ascii="Times New Roman" w:eastAsia="Calibri" w:hAnsi="Times New Roman" w:cs="Times New Roman"/>
          <w:sz w:val="24"/>
          <w:szCs w:val="24"/>
          <w:lang w:val="en-GB"/>
        </w:rPr>
      </w:pPr>
    </w:p>
    <w:p w14:paraId="2CC4A9B7" w14:textId="77777777" w:rsidR="00B520D6" w:rsidRDefault="00B520D6" w:rsidP="000B222C">
      <w:pPr>
        <w:jc w:val="both"/>
        <w:rPr>
          <w:rFonts w:ascii="Times New Roman" w:eastAsia="Calibri" w:hAnsi="Times New Roman" w:cs="Times New Roman"/>
          <w:sz w:val="24"/>
          <w:szCs w:val="24"/>
          <w:lang w:val="en-GB"/>
        </w:rPr>
      </w:pPr>
    </w:p>
    <w:p w14:paraId="5FED8A3D" w14:textId="77777777" w:rsidR="00B520D6" w:rsidRDefault="00B520D6" w:rsidP="000B222C">
      <w:pPr>
        <w:jc w:val="both"/>
        <w:rPr>
          <w:rFonts w:ascii="Times New Roman" w:eastAsia="Calibri" w:hAnsi="Times New Roman" w:cs="Times New Roman"/>
          <w:sz w:val="24"/>
          <w:szCs w:val="24"/>
          <w:lang w:val="en-GB"/>
        </w:rPr>
      </w:pPr>
    </w:p>
    <w:p w14:paraId="5CAB6B76" w14:textId="77777777" w:rsidR="00B520D6" w:rsidRDefault="00B520D6" w:rsidP="000B222C">
      <w:pPr>
        <w:jc w:val="both"/>
        <w:rPr>
          <w:rFonts w:ascii="Times New Roman" w:eastAsia="Calibri" w:hAnsi="Times New Roman" w:cs="Times New Roman"/>
          <w:sz w:val="24"/>
          <w:szCs w:val="24"/>
          <w:lang w:val="en-GB"/>
        </w:rPr>
      </w:pPr>
    </w:p>
    <w:p w14:paraId="27CDE556" w14:textId="77777777" w:rsidR="00B520D6" w:rsidRDefault="00B520D6" w:rsidP="000B222C">
      <w:pPr>
        <w:jc w:val="both"/>
        <w:rPr>
          <w:rFonts w:ascii="Times New Roman" w:eastAsia="Calibri" w:hAnsi="Times New Roman" w:cs="Times New Roman"/>
          <w:sz w:val="24"/>
          <w:szCs w:val="24"/>
          <w:lang w:val="en-GB"/>
        </w:rPr>
      </w:pPr>
    </w:p>
    <w:p w14:paraId="5EBF2083" w14:textId="77777777" w:rsidR="00B520D6" w:rsidRDefault="00B520D6" w:rsidP="000B222C">
      <w:pPr>
        <w:jc w:val="both"/>
        <w:rPr>
          <w:rFonts w:ascii="Times New Roman" w:eastAsia="Calibri" w:hAnsi="Times New Roman" w:cs="Times New Roman"/>
          <w:sz w:val="24"/>
          <w:szCs w:val="24"/>
          <w:lang w:val="en-GB"/>
        </w:rPr>
      </w:pPr>
    </w:p>
    <w:p w14:paraId="29E439B7" w14:textId="77777777" w:rsidR="00B520D6" w:rsidRDefault="00B520D6" w:rsidP="000B222C">
      <w:pPr>
        <w:jc w:val="both"/>
        <w:rPr>
          <w:rFonts w:ascii="Times New Roman" w:eastAsia="Calibri" w:hAnsi="Times New Roman" w:cs="Times New Roman"/>
          <w:sz w:val="24"/>
          <w:szCs w:val="24"/>
          <w:lang w:val="en-GB"/>
        </w:rPr>
      </w:pPr>
    </w:p>
    <w:p w14:paraId="126CC0AC" w14:textId="77777777" w:rsidR="00B520D6" w:rsidRDefault="00B520D6" w:rsidP="000B222C">
      <w:pPr>
        <w:jc w:val="both"/>
        <w:rPr>
          <w:rFonts w:ascii="Times New Roman" w:eastAsia="Calibri" w:hAnsi="Times New Roman" w:cs="Times New Roman"/>
          <w:sz w:val="24"/>
          <w:szCs w:val="24"/>
          <w:lang w:val="en-GB"/>
        </w:rPr>
      </w:pPr>
    </w:p>
    <w:p w14:paraId="0B0691AB" w14:textId="77777777" w:rsidR="00B520D6" w:rsidRDefault="00B520D6" w:rsidP="000B222C">
      <w:pPr>
        <w:jc w:val="both"/>
        <w:rPr>
          <w:rFonts w:ascii="Times New Roman" w:eastAsia="Calibri" w:hAnsi="Times New Roman" w:cs="Times New Roman"/>
          <w:sz w:val="24"/>
          <w:szCs w:val="24"/>
          <w:lang w:val="en-GB"/>
        </w:rPr>
      </w:pPr>
    </w:p>
    <w:p w14:paraId="51572801" w14:textId="10893B8E" w:rsidR="00EF24C6" w:rsidRDefault="00EF24C6" w:rsidP="00EF24C6">
      <w:pPr>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CONCLUSION</w:t>
      </w:r>
    </w:p>
    <w:p w14:paraId="58A23EBC" w14:textId="77777777" w:rsidR="00B520D6" w:rsidRDefault="00B520D6" w:rsidP="00EF24C6">
      <w:pPr>
        <w:jc w:val="center"/>
        <w:rPr>
          <w:rFonts w:ascii="Times New Roman" w:eastAsia="Calibri" w:hAnsi="Times New Roman" w:cs="Times New Roman"/>
          <w:b/>
          <w:bCs/>
          <w:sz w:val="24"/>
          <w:szCs w:val="24"/>
          <w:u w:val="single"/>
          <w:lang w:val="en-GB"/>
        </w:rPr>
      </w:pPr>
    </w:p>
    <w:p w14:paraId="474267EA" w14:textId="79C67680" w:rsidR="000B31BD" w:rsidRPr="000B31BD" w:rsidRDefault="000B31BD" w:rsidP="000B31BD">
      <w:pPr>
        <w:jc w:val="both"/>
        <w:rPr>
          <w:rFonts w:ascii="Times New Roman" w:eastAsia="Calibri" w:hAnsi="Times New Roman" w:cs="Times New Roman"/>
          <w:sz w:val="24"/>
          <w:szCs w:val="24"/>
          <w:lang w:val="en-GB"/>
        </w:rPr>
      </w:pPr>
      <w:r w:rsidRPr="000B31BD">
        <w:rPr>
          <w:rFonts w:ascii="Times New Roman" w:eastAsia="Calibri" w:hAnsi="Times New Roman" w:cs="Times New Roman"/>
          <w:sz w:val="24"/>
          <w:szCs w:val="24"/>
          <w:lang w:val="en-GB"/>
        </w:rPr>
        <w:t xml:space="preserve">The study addresses the neo-colonial aspect of currency, revealing that the CFA Franc extends beyond colonial borders to represent a significant economic influence, as noted by Derbie (2007). This influence is rooted in the exploitation of colonies for the benefit of the metropolis. The existence of two separate central banks within the zone harks back to the structures of the colonial empire. Moreover, the acronym CFA, originally standing for </w:t>
      </w:r>
      <w:r w:rsidR="00033DB7">
        <w:rPr>
          <w:rFonts w:ascii="Times New Roman" w:eastAsia="Calibri" w:hAnsi="Times New Roman" w:cs="Times New Roman"/>
          <w:sz w:val="24"/>
          <w:szCs w:val="24"/>
          <w:lang w:val="en-GB"/>
        </w:rPr>
        <w:t>“</w:t>
      </w:r>
      <w:r w:rsidRPr="000B31BD">
        <w:rPr>
          <w:rFonts w:ascii="Times New Roman" w:eastAsia="Calibri" w:hAnsi="Times New Roman" w:cs="Times New Roman"/>
          <w:sz w:val="24"/>
          <w:szCs w:val="24"/>
          <w:lang w:val="en-GB"/>
        </w:rPr>
        <w:t>French Colony of Africa,</w:t>
      </w:r>
      <w:r w:rsidR="00033DB7">
        <w:rPr>
          <w:rFonts w:ascii="Times New Roman" w:eastAsia="Calibri" w:hAnsi="Times New Roman" w:cs="Times New Roman"/>
          <w:sz w:val="24"/>
          <w:szCs w:val="24"/>
          <w:lang w:val="en-GB"/>
        </w:rPr>
        <w:t>”</w:t>
      </w:r>
      <w:r w:rsidRPr="000B31BD">
        <w:rPr>
          <w:rFonts w:ascii="Times New Roman" w:eastAsia="Calibri" w:hAnsi="Times New Roman" w:cs="Times New Roman"/>
          <w:sz w:val="24"/>
          <w:szCs w:val="24"/>
          <w:lang w:val="en-GB"/>
        </w:rPr>
        <w:t xml:space="preserve"> persists. Although its meaning has evolved, it still evokes the historical status of these countries as dependencies of France in the public consciousness. This is further emphasi</w:t>
      </w:r>
      <w:r w:rsidR="00281959">
        <w:rPr>
          <w:rFonts w:ascii="Times New Roman" w:eastAsia="Calibri" w:hAnsi="Times New Roman" w:cs="Times New Roman"/>
          <w:sz w:val="24"/>
          <w:szCs w:val="24"/>
          <w:lang w:val="en-GB"/>
        </w:rPr>
        <w:t>s</w:t>
      </w:r>
      <w:r w:rsidRPr="000B31BD">
        <w:rPr>
          <w:rFonts w:ascii="Times New Roman" w:eastAsia="Calibri" w:hAnsi="Times New Roman" w:cs="Times New Roman"/>
          <w:sz w:val="24"/>
          <w:szCs w:val="24"/>
          <w:lang w:val="en-GB"/>
        </w:rPr>
        <w:t>ed by the fact that foreign exchange reserves are held in the French treasury, the currency is printed in Auvergne, France, and France retains a veto in the central banks' administration of the Franc zone, all reinforcing the neo-colonial narrative.</w:t>
      </w:r>
    </w:p>
    <w:p w14:paraId="40ECC2C4" w14:textId="10AC81FD" w:rsidR="00553F26" w:rsidRDefault="000B31BD" w:rsidP="000B31BD">
      <w:pPr>
        <w:jc w:val="both"/>
        <w:rPr>
          <w:rFonts w:ascii="Times New Roman" w:eastAsia="Calibri" w:hAnsi="Times New Roman" w:cs="Times New Roman"/>
          <w:sz w:val="24"/>
          <w:szCs w:val="24"/>
          <w:lang w:val="en-GB"/>
        </w:rPr>
      </w:pPr>
      <w:r w:rsidRPr="000B31BD">
        <w:rPr>
          <w:rFonts w:ascii="Times New Roman" w:eastAsia="Calibri" w:hAnsi="Times New Roman" w:cs="Times New Roman"/>
          <w:sz w:val="24"/>
          <w:szCs w:val="24"/>
          <w:lang w:val="en-GB"/>
        </w:rPr>
        <w:t xml:space="preserve">Additionally, the current study aims to validate a specific hypothesis: the CFA Franc has not facilitated economic growth in the Franc zone since its inception, particularly in recent times. An examination of extensive quantitative data, which includes 20 macroeconomic indicators across the 14 Franc zone member countries using SPSS, indicates a strong positive correlation between the CFA Franc and the Franc zone's economy, allowing for regression analysis. A thorough and structural regression analysis has determined that the CFA Franc negatively affects the Franc zone's economic development, thus affirming </w:t>
      </w:r>
      <w:r w:rsidR="00A721C7">
        <w:rPr>
          <w:rFonts w:ascii="Times New Roman" w:eastAsia="Calibri" w:hAnsi="Times New Roman" w:cs="Times New Roman"/>
          <w:sz w:val="24"/>
          <w:szCs w:val="24"/>
          <w:lang w:val="en-GB"/>
        </w:rPr>
        <w:t xml:space="preserve">or validating </w:t>
      </w:r>
      <w:r w:rsidRPr="000B31BD">
        <w:rPr>
          <w:rFonts w:ascii="Times New Roman" w:eastAsia="Calibri" w:hAnsi="Times New Roman" w:cs="Times New Roman"/>
          <w:sz w:val="24"/>
          <w:szCs w:val="24"/>
          <w:lang w:val="en-GB"/>
        </w:rPr>
        <w:t>the hypothesis conclusively.</w:t>
      </w:r>
    </w:p>
    <w:p w14:paraId="413B9BB2" w14:textId="77777777" w:rsidR="00553F26" w:rsidRDefault="00553F26" w:rsidP="005C039D">
      <w:pPr>
        <w:jc w:val="both"/>
        <w:rPr>
          <w:rFonts w:ascii="Times New Roman" w:eastAsia="Calibri" w:hAnsi="Times New Roman" w:cs="Times New Roman"/>
          <w:sz w:val="24"/>
          <w:szCs w:val="24"/>
          <w:lang w:val="en-GB"/>
        </w:rPr>
      </w:pPr>
    </w:p>
    <w:p w14:paraId="31D5877B" w14:textId="77777777" w:rsidR="00553F26" w:rsidRDefault="00553F26" w:rsidP="005C039D">
      <w:pPr>
        <w:jc w:val="both"/>
        <w:rPr>
          <w:rFonts w:ascii="Times New Roman" w:eastAsia="Calibri" w:hAnsi="Times New Roman" w:cs="Times New Roman"/>
          <w:sz w:val="24"/>
          <w:szCs w:val="24"/>
          <w:lang w:val="en-GB"/>
        </w:rPr>
      </w:pPr>
    </w:p>
    <w:p w14:paraId="325B2F8D" w14:textId="77777777" w:rsidR="00A721C7" w:rsidRDefault="00A721C7" w:rsidP="005C039D">
      <w:pPr>
        <w:jc w:val="both"/>
        <w:rPr>
          <w:rFonts w:ascii="Times New Roman" w:eastAsia="Calibri" w:hAnsi="Times New Roman" w:cs="Times New Roman"/>
          <w:sz w:val="24"/>
          <w:szCs w:val="24"/>
          <w:lang w:val="en-GB"/>
        </w:rPr>
      </w:pPr>
    </w:p>
    <w:p w14:paraId="6BB56759" w14:textId="77777777" w:rsidR="00A721C7" w:rsidRDefault="00A721C7" w:rsidP="005C039D">
      <w:pPr>
        <w:jc w:val="both"/>
        <w:rPr>
          <w:rFonts w:ascii="Times New Roman" w:eastAsia="Calibri" w:hAnsi="Times New Roman" w:cs="Times New Roman"/>
          <w:sz w:val="24"/>
          <w:szCs w:val="24"/>
          <w:lang w:val="en-GB"/>
        </w:rPr>
      </w:pPr>
    </w:p>
    <w:p w14:paraId="30ED192D" w14:textId="77777777" w:rsidR="00A721C7" w:rsidRDefault="00A721C7" w:rsidP="005C039D">
      <w:pPr>
        <w:jc w:val="both"/>
        <w:rPr>
          <w:rFonts w:ascii="Times New Roman" w:eastAsia="Calibri" w:hAnsi="Times New Roman" w:cs="Times New Roman"/>
          <w:sz w:val="24"/>
          <w:szCs w:val="24"/>
          <w:lang w:val="en-GB"/>
        </w:rPr>
      </w:pPr>
    </w:p>
    <w:p w14:paraId="76237ED2" w14:textId="77777777" w:rsidR="00A721C7" w:rsidRDefault="00A721C7" w:rsidP="005C039D">
      <w:pPr>
        <w:jc w:val="both"/>
        <w:rPr>
          <w:rFonts w:ascii="Times New Roman" w:eastAsia="Calibri" w:hAnsi="Times New Roman" w:cs="Times New Roman"/>
          <w:sz w:val="24"/>
          <w:szCs w:val="24"/>
          <w:lang w:val="en-GB"/>
        </w:rPr>
      </w:pPr>
    </w:p>
    <w:p w14:paraId="0D628948" w14:textId="77777777" w:rsidR="00A721C7" w:rsidRDefault="00A721C7" w:rsidP="005C039D">
      <w:pPr>
        <w:jc w:val="both"/>
        <w:rPr>
          <w:rFonts w:ascii="Times New Roman" w:eastAsia="Calibri" w:hAnsi="Times New Roman" w:cs="Times New Roman"/>
          <w:sz w:val="24"/>
          <w:szCs w:val="24"/>
          <w:lang w:val="en-GB"/>
        </w:rPr>
      </w:pPr>
    </w:p>
    <w:p w14:paraId="6AF70D68" w14:textId="77777777" w:rsidR="00A721C7" w:rsidRDefault="00A721C7" w:rsidP="005C039D">
      <w:pPr>
        <w:jc w:val="both"/>
        <w:rPr>
          <w:rFonts w:ascii="Times New Roman" w:eastAsia="Calibri" w:hAnsi="Times New Roman" w:cs="Times New Roman"/>
          <w:sz w:val="24"/>
          <w:szCs w:val="24"/>
          <w:lang w:val="en-GB"/>
        </w:rPr>
      </w:pPr>
    </w:p>
    <w:p w14:paraId="416E02F5" w14:textId="77777777" w:rsidR="00A721C7" w:rsidRDefault="00A721C7" w:rsidP="005C039D">
      <w:pPr>
        <w:jc w:val="both"/>
        <w:rPr>
          <w:rFonts w:ascii="Times New Roman" w:eastAsia="Calibri" w:hAnsi="Times New Roman" w:cs="Times New Roman"/>
          <w:sz w:val="24"/>
          <w:szCs w:val="24"/>
          <w:lang w:val="en-GB"/>
        </w:rPr>
      </w:pPr>
    </w:p>
    <w:p w14:paraId="6E0E9F21" w14:textId="77777777" w:rsidR="00A721C7" w:rsidRDefault="00A721C7" w:rsidP="005C039D">
      <w:pPr>
        <w:jc w:val="both"/>
        <w:rPr>
          <w:rFonts w:ascii="Times New Roman" w:eastAsia="Calibri" w:hAnsi="Times New Roman" w:cs="Times New Roman"/>
          <w:sz w:val="24"/>
          <w:szCs w:val="24"/>
          <w:lang w:val="en-GB"/>
        </w:rPr>
      </w:pPr>
    </w:p>
    <w:p w14:paraId="0520189B" w14:textId="77777777" w:rsidR="00A721C7" w:rsidRDefault="00A721C7" w:rsidP="005C039D">
      <w:pPr>
        <w:jc w:val="both"/>
        <w:rPr>
          <w:rFonts w:ascii="Times New Roman" w:eastAsia="Calibri" w:hAnsi="Times New Roman" w:cs="Times New Roman"/>
          <w:sz w:val="24"/>
          <w:szCs w:val="24"/>
          <w:lang w:val="en-GB"/>
        </w:rPr>
      </w:pPr>
    </w:p>
    <w:p w14:paraId="4DBBC16D" w14:textId="77777777" w:rsidR="00A721C7" w:rsidRDefault="00A721C7" w:rsidP="005C039D">
      <w:pPr>
        <w:jc w:val="both"/>
        <w:rPr>
          <w:rFonts w:ascii="Times New Roman" w:eastAsia="Calibri" w:hAnsi="Times New Roman" w:cs="Times New Roman"/>
          <w:sz w:val="24"/>
          <w:szCs w:val="24"/>
          <w:lang w:val="en-GB"/>
        </w:rPr>
      </w:pPr>
    </w:p>
    <w:p w14:paraId="6F35772F" w14:textId="23D2376E" w:rsidR="00E81E81" w:rsidRDefault="00E81E81" w:rsidP="00AF7E30">
      <w:pPr>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RECOMMANDATIONS</w:t>
      </w:r>
    </w:p>
    <w:p w14:paraId="721CEDE1" w14:textId="77777777" w:rsidR="00A721C7" w:rsidRPr="00E81E81" w:rsidRDefault="00A721C7" w:rsidP="00AF7E30">
      <w:pPr>
        <w:jc w:val="center"/>
        <w:rPr>
          <w:rFonts w:ascii="Times New Roman" w:eastAsia="Calibri" w:hAnsi="Times New Roman" w:cs="Times New Roman"/>
          <w:b/>
          <w:bCs/>
          <w:sz w:val="24"/>
          <w:szCs w:val="24"/>
          <w:u w:val="single"/>
          <w:lang w:val="en-GB"/>
        </w:rPr>
      </w:pPr>
    </w:p>
    <w:p w14:paraId="5B6C28E9" w14:textId="77777777" w:rsidR="001B3E42" w:rsidRDefault="00B9659E" w:rsidP="00B9659E">
      <w:pPr>
        <w:jc w:val="both"/>
        <w:rPr>
          <w:rFonts w:ascii="Times New Roman" w:eastAsia="Calibri" w:hAnsi="Times New Roman" w:cs="Times New Roman"/>
          <w:sz w:val="24"/>
          <w:szCs w:val="24"/>
          <w:lang w:val="en-GB"/>
        </w:rPr>
      </w:pPr>
      <w:r w:rsidRPr="00B9659E">
        <w:rPr>
          <w:rFonts w:ascii="Times New Roman" w:eastAsia="Calibri" w:hAnsi="Times New Roman" w:cs="Times New Roman"/>
          <w:sz w:val="24"/>
          <w:szCs w:val="24"/>
          <w:lang w:val="en-GB"/>
        </w:rPr>
        <w:t>The issue with the CFA</w:t>
      </w:r>
      <w:r>
        <w:rPr>
          <w:rFonts w:ascii="Times New Roman" w:eastAsia="Calibri" w:hAnsi="Times New Roman" w:cs="Times New Roman"/>
          <w:sz w:val="24"/>
          <w:szCs w:val="24"/>
          <w:lang w:val="en-GB"/>
        </w:rPr>
        <w:t xml:space="preserve"> </w:t>
      </w:r>
      <w:r w:rsidRPr="00B9659E">
        <w:rPr>
          <w:rFonts w:ascii="Times New Roman" w:eastAsia="Calibri" w:hAnsi="Times New Roman" w:cs="Times New Roman"/>
          <w:sz w:val="24"/>
          <w:szCs w:val="24"/>
          <w:lang w:val="en-GB"/>
        </w:rPr>
        <w:t>F</w:t>
      </w:r>
      <w:r>
        <w:rPr>
          <w:rFonts w:ascii="Times New Roman" w:eastAsia="Calibri" w:hAnsi="Times New Roman" w:cs="Times New Roman"/>
          <w:sz w:val="24"/>
          <w:szCs w:val="24"/>
          <w:lang w:val="en-GB"/>
        </w:rPr>
        <w:t>ranc</w:t>
      </w:r>
      <w:r w:rsidRPr="00B9659E">
        <w:rPr>
          <w:rFonts w:ascii="Times New Roman" w:eastAsia="Calibri" w:hAnsi="Times New Roman" w:cs="Times New Roman"/>
          <w:sz w:val="24"/>
          <w:szCs w:val="24"/>
          <w:lang w:val="en-GB"/>
        </w:rPr>
        <w:t xml:space="preserve"> is emblematic of a broader global challenge, as it represents the link between local problems and their global repercussions. It underscores the importance of managing public policies even in the most distant regions of the world, as these can trigger significant shifts that lead to worldwide effects. The impact of persisting with the CFA</w:t>
      </w:r>
      <w:r w:rsidR="001B3E42">
        <w:rPr>
          <w:rFonts w:ascii="Times New Roman" w:eastAsia="Calibri" w:hAnsi="Times New Roman" w:cs="Times New Roman"/>
          <w:sz w:val="24"/>
          <w:szCs w:val="24"/>
          <w:lang w:val="en-GB"/>
        </w:rPr>
        <w:t xml:space="preserve"> </w:t>
      </w:r>
      <w:r w:rsidRPr="00B9659E">
        <w:rPr>
          <w:rFonts w:ascii="Times New Roman" w:eastAsia="Calibri" w:hAnsi="Times New Roman" w:cs="Times New Roman"/>
          <w:sz w:val="24"/>
          <w:szCs w:val="24"/>
          <w:lang w:val="en-GB"/>
        </w:rPr>
        <w:t>F</w:t>
      </w:r>
      <w:r w:rsidR="001B3E42">
        <w:rPr>
          <w:rFonts w:ascii="Times New Roman" w:eastAsia="Calibri" w:hAnsi="Times New Roman" w:cs="Times New Roman"/>
          <w:sz w:val="24"/>
          <w:szCs w:val="24"/>
          <w:lang w:val="en-GB"/>
        </w:rPr>
        <w:t>ranc</w:t>
      </w:r>
      <w:r w:rsidRPr="00B9659E">
        <w:rPr>
          <w:rFonts w:ascii="Times New Roman" w:eastAsia="Calibri" w:hAnsi="Times New Roman" w:cs="Times New Roman"/>
          <w:sz w:val="24"/>
          <w:szCs w:val="24"/>
          <w:lang w:val="en-GB"/>
        </w:rPr>
        <w:t xml:space="preserve">, despite its clear shortcomings, has extended far beyond the borders of the </w:t>
      </w:r>
      <w:r w:rsidR="001B3E42" w:rsidRPr="00B9659E">
        <w:rPr>
          <w:rFonts w:ascii="Times New Roman" w:eastAsia="Calibri" w:hAnsi="Times New Roman" w:cs="Times New Roman"/>
          <w:sz w:val="24"/>
          <w:szCs w:val="24"/>
          <w:lang w:val="en-GB"/>
        </w:rPr>
        <w:t>nation’s</w:t>
      </w:r>
      <w:r w:rsidRPr="00B9659E">
        <w:rPr>
          <w:rFonts w:ascii="Times New Roman" w:eastAsia="Calibri" w:hAnsi="Times New Roman" w:cs="Times New Roman"/>
          <w:sz w:val="24"/>
          <w:szCs w:val="24"/>
          <w:lang w:val="en-GB"/>
        </w:rPr>
        <w:t xml:space="preserve"> using this currency. Consider the migration crisis in Europe and the associated poverty issues.</w:t>
      </w:r>
    </w:p>
    <w:p w14:paraId="09BFA4EE" w14:textId="45C89D8C" w:rsidR="00B9659E" w:rsidRPr="00B9659E" w:rsidRDefault="00B9659E" w:rsidP="00B9659E">
      <w:pPr>
        <w:jc w:val="both"/>
        <w:rPr>
          <w:rFonts w:ascii="Times New Roman" w:eastAsia="Calibri" w:hAnsi="Times New Roman" w:cs="Times New Roman"/>
          <w:sz w:val="24"/>
          <w:szCs w:val="24"/>
          <w:lang w:val="en-GB"/>
        </w:rPr>
      </w:pPr>
      <w:r w:rsidRPr="00B9659E">
        <w:rPr>
          <w:rFonts w:ascii="Times New Roman" w:eastAsia="Calibri" w:hAnsi="Times New Roman" w:cs="Times New Roman"/>
          <w:sz w:val="24"/>
          <w:szCs w:val="24"/>
          <w:lang w:val="en-GB"/>
        </w:rPr>
        <w:t>Addressing these crises requires tackling problems like the CFA</w:t>
      </w:r>
      <w:r w:rsidR="005E4416">
        <w:rPr>
          <w:rFonts w:ascii="Times New Roman" w:eastAsia="Calibri" w:hAnsi="Times New Roman" w:cs="Times New Roman"/>
          <w:sz w:val="24"/>
          <w:szCs w:val="24"/>
          <w:lang w:val="en-GB"/>
        </w:rPr>
        <w:t xml:space="preserve"> </w:t>
      </w:r>
      <w:r w:rsidRPr="00B9659E">
        <w:rPr>
          <w:rFonts w:ascii="Times New Roman" w:eastAsia="Calibri" w:hAnsi="Times New Roman" w:cs="Times New Roman"/>
          <w:sz w:val="24"/>
          <w:szCs w:val="24"/>
          <w:lang w:val="en-GB"/>
        </w:rPr>
        <w:t>F</w:t>
      </w:r>
      <w:r w:rsidR="005E4416">
        <w:rPr>
          <w:rFonts w:ascii="Times New Roman" w:eastAsia="Calibri" w:hAnsi="Times New Roman" w:cs="Times New Roman"/>
          <w:sz w:val="24"/>
          <w:szCs w:val="24"/>
          <w:lang w:val="en-GB"/>
        </w:rPr>
        <w:t>ranc</w:t>
      </w:r>
      <w:r w:rsidRPr="00B9659E">
        <w:rPr>
          <w:rFonts w:ascii="Times New Roman" w:eastAsia="Calibri" w:hAnsi="Times New Roman" w:cs="Times New Roman"/>
          <w:sz w:val="24"/>
          <w:szCs w:val="24"/>
          <w:lang w:val="en-GB"/>
        </w:rPr>
        <w:t>, which necessitates public policies that restrict credit availability in the economy, thereby hindering job creation and adversely impacting economic development in the Franc Zone.</w:t>
      </w:r>
    </w:p>
    <w:p w14:paraId="411C3AF7" w14:textId="5E1FE340" w:rsidR="00B9659E" w:rsidRPr="00B9659E" w:rsidRDefault="00B9659E" w:rsidP="00B9659E">
      <w:pPr>
        <w:jc w:val="both"/>
        <w:rPr>
          <w:rFonts w:ascii="Times New Roman" w:eastAsia="Calibri" w:hAnsi="Times New Roman" w:cs="Times New Roman"/>
          <w:sz w:val="24"/>
          <w:szCs w:val="24"/>
          <w:lang w:val="en-GB"/>
        </w:rPr>
      </w:pPr>
      <w:r w:rsidRPr="00B9659E">
        <w:rPr>
          <w:rFonts w:ascii="Times New Roman" w:eastAsia="Calibri" w:hAnsi="Times New Roman" w:cs="Times New Roman"/>
          <w:sz w:val="24"/>
          <w:szCs w:val="24"/>
          <w:lang w:val="en-GB"/>
        </w:rPr>
        <w:t xml:space="preserve">While </w:t>
      </w:r>
      <w:r w:rsidR="006508D9">
        <w:rPr>
          <w:rFonts w:ascii="Times New Roman" w:eastAsia="Calibri" w:hAnsi="Times New Roman" w:cs="Times New Roman"/>
          <w:sz w:val="24"/>
          <w:szCs w:val="24"/>
          <w:lang w:val="en-GB"/>
        </w:rPr>
        <w:t>this assignment</w:t>
      </w:r>
      <w:r w:rsidRPr="00B9659E">
        <w:rPr>
          <w:rFonts w:ascii="Times New Roman" w:eastAsia="Calibri" w:hAnsi="Times New Roman" w:cs="Times New Roman"/>
          <w:sz w:val="24"/>
          <w:szCs w:val="24"/>
          <w:lang w:val="en-GB"/>
        </w:rPr>
        <w:t xml:space="preserve"> do</w:t>
      </w:r>
      <w:r w:rsidR="006508D9">
        <w:rPr>
          <w:rFonts w:ascii="Times New Roman" w:eastAsia="Calibri" w:hAnsi="Times New Roman" w:cs="Times New Roman"/>
          <w:sz w:val="24"/>
          <w:szCs w:val="24"/>
          <w:lang w:val="en-GB"/>
        </w:rPr>
        <w:t>es</w:t>
      </w:r>
      <w:r w:rsidRPr="00B9659E">
        <w:rPr>
          <w:rFonts w:ascii="Times New Roman" w:eastAsia="Calibri" w:hAnsi="Times New Roman" w:cs="Times New Roman"/>
          <w:sz w:val="24"/>
          <w:szCs w:val="24"/>
          <w:lang w:val="en-GB"/>
        </w:rPr>
        <w:t xml:space="preserve"> not advocate for the ultimate step of abandoning the CFA franc, recogni</w:t>
      </w:r>
      <w:r w:rsidR="006508D9">
        <w:rPr>
          <w:rFonts w:ascii="Times New Roman" w:eastAsia="Calibri" w:hAnsi="Times New Roman" w:cs="Times New Roman"/>
          <w:sz w:val="24"/>
          <w:szCs w:val="24"/>
          <w:lang w:val="en-GB"/>
        </w:rPr>
        <w:t>s</w:t>
      </w:r>
      <w:r w:rsidRPr="00B9659E">
        <w:rPr>
          <w:rFonts w:ascii="Times New Roman" w:eastAsia="Calibri" w:hAnsi="Times New Roman" w:cs="Times New Roman"/>
          <w:sz w:val="24"/>
          <w:szCs w:val="24"/>
          <w:lang w:val="en-GB"/>
        </w:rPr>
        <w:t xml:space="preserve">ing the potential benefits a shared currency can offer to evolving economies, </w:t>
      </w:r>
      <w:r w:rsidR="006508D9">
        <w:rPr>
          <w:rFonts w:ascii="Times New Roman" w:eastAsia="Calibri" w:hAnsi="Times New Roman" w:cs="Times New Roman"/>
          <w:sz w:val="24"/>
          <w:szCs w:val="24"/>
          <w:lang w:val="en-GB"/>
        </w:rPr>
        <w:t>it</w:t>
      </w:r>
      <w:r w:rsidRPr="00B9659E">
        <w:rPr>
          <w:rFonts w:ascii="Times New Roman" w:eastAsia="Calibri" w:hAnsi="Times New Roman" w:cs="Times New Roman"/>
          <w:sz w:val="24"/>
          <w:szCs w:val="24"/>
          <w:lang w:val="en-GB"/>
        </w:rPr>
        <w:t xml:space="preserve"> do</w:t>
      </w:r>
      <w:r w:rsidR="006508D9">
        <w:rPr>
          <w:rFonts w:ascii="Times New Roman" w:eastAsia="Calibri" w:hAnsi="Times New Roman" w:cs="Times New Roman"/>
          <w:sz w:val="24"/>
          <w:szCs w:val="24"/>
          <w:lang w:val="en-GB"/>
        </w:rPr>
        <w:t>es</w:t>
      </w:r>
      <w:r w:rsidRPr="00B9659E">
        <w:rPr>
          <w:rFonts w:ascii="Times New Roman" w:eastAsia="Calibri" w:hAnsi="Times New Roman" w:cs="Times New Roman"/>
          <w:sz w:val="24"/>
          <w:szCs w:val="24"/>
          <w:lang w:val="en-GB"/>
        </w:rPr>
        <w:t xml:space="preserve"> contend that the member states utili</w:t>
      </w:r>
      <w:r w:rsidR="001742F6">
        <w:rPr>
          <w:rFonts w:ascii="Times New Roman" w:eastAsia="Calibri" w:hAnsi="Times New Roman" w:cs="Times New Roman"/>
          <w:sz w:val="24"/>
          <w:szCs w:val="24"/>
          <w:lang w:val="en-GB"/>
        </w:rPr>
        <w:t>s</w:t>
      </w:r>
      <w:r w:rsidRPr="00B9659E">
        <w:rPr>
          <w:rFonts w:ascii="Times New Roman" w:eastAsia="Calibri" w:hAnsi="Times New Roman" w:cs="Times New Roman"/>
          <w:sz w:val="24"/>
          <w:szCs w:val="24"/>
          <w:lang w:val="en-GB"/>
        </w:rPr>
        <w:t>ing this currency must initiate comprehensive restructuring. Primarily, they should continue and complete the process of Africani</w:t>
      </w:r>
      <w:r w:rsidR="001742F6">
        <w:rPr>
          <w:rFonts w:ascii="Times New Roman" w:eastAsia="Calibri" w:hAnsi="Times New Roman" w:cs="Times New Roman"/>
          <w:sz w:val="24"/>
          <w:szCs w:val="24"/>
          <w:lang w:val="en-GB"/>
        </w:rPr>
        <w:t>s</w:t>
      </w:r>
      <w:r w:rsidRPr="00B9659E">
        <w:rPr>
          <w:rFonts w:ascii="Times New Roman" w:eastAsia="Calibri" w:hAnsi="Times New Roman" w:cs="Times New Roman"/>
          <w:sz w:val="24"/>
          <w:szCs w:val="24"/>
          <w:lang w:val="en-GB"/>
        </w:rPr>
        <w:t>ing the currency that commenced at independence. To accomplish this, redefining France's role in Africa should be a priority. This objective could be reali</w:t>
      </w:r>
      <w:r w:rsidR="00E702CD">
        <w:rPr>
          <w:rFonts w:ascii="Times New Roman" w:eastAsia="Calibri" w:hAnsi="Times New Roman" w:cs="Times New Roman"/>
          <w:sz w:val="24"/>
          <w:szCs w:val="24"/>
          <w:lang w:val="en-GB"/>
        </w:rPr>
        <w:t>s</w:t>
      </w:r>
      <w:r w:rsidRPr="00B9659E">
        <w:rPr>
          <w:rFonts w:ascii="Times New Roman" w:eastAsia="Calibri" w:hAnsi="Times New Roman" w:cs="Times New Roman"/>
          <w:sz w:val="24"/>
          <w:szCs w:val="24"/>
          <w:lang w:val="en-GB"/>
        </w:rPr>
        <w:t>ed by concentrating on three main strategies (Le Monde Afrique, 2017): eliminating France's veto power, transferring control of foreign exchange reserves to the two central banks of the region, and negotiating a limited capacity for central banks to issue currency, coupled with a competitive bidding process for currency printing.</w:t>
      </w:r>
    </w:p>
    <w:p w14:paraId="7B6C9AC9" w14:textId="7787BFAE" w:rsidR="00750ED1" w:rsidRPr="00B9659E" w:rsidRDefault="00B9659E" w:rsidP="00B9659E">
      <w:pPr>
        <w:jc w:val="both"/>
        <w:rPr>
          <w:rFonts w:ascii="Times New Roman" w:eastAsia="Calibri" w:hAnsi="Times New Roman" w:cs="Times New Roman"/>
          <w:sz w:val="24"/>
          <w:szCs w:val="24"/>
          <w:lang w:val="en-GB"/>
        </w:rPr>
      </w:pPr>
      <w:r w:rsidRPr="00B9659E">
        <w:rPr>
          <w:rFonts w:ascii="Times New Roman" w:eastAsia="Calibri" w:hAnsi="Times New Roman" w:cs="Times New Roman"/>
          <w:sz w:val="24"/>
          <w:szCs w:val="24"/>
          <w:lang w:val="en-GB"/>
        </w:rPr>
        <w:t>Furthermore, these states should reconsider the structure of monetary zones, giving precedence to economic integration that enhances the zones' suitability. This could involve grouping countries with similar trade preferences and economic goals. Lastly, central banks should aim for goals that align with an African developmental outlook.</w:t>
      </w:r>
    </w:p>
    <w:p w14:paraId="58D8517D" w14:textId="77777777" w:rsidR="00750ED1" w:rsidRDefault="00750ED1" w:rsidP="003271CF">
      <w:pPr>
        <w:jc w:val="center"/>
        <w:rPr>
          <w:rFonts w:ascii="Times New Roman" w:eastAsia="Calibri" w:hAnsi="Times New Roman" w:cs="Times New Roman"/>
          <w:b/>
          <w:bCs/>
          <w:sz w:val="24"/>
          <w:szCs w:val="24"/>
          <w:u w:val="single"/>
          <w:lang w:val="en-GB"/>
        </w:rPr>
      </w:pPr>
    </w:p>
    <w:p w14:paraId="0D741ED8" w14:textId="77777777" w:rsidR="00750ED1" w:rsidRDefault="00750ED1" w:rsidP="003271CF">
      <w:pPr>
        <w:jc w:val="center"/>
        <w:rPr>
          <w:rFonts w:ascii="Times New Roman" w:eastAsia="Calibri" w:hAnsi="Times New Roman" w:cs="Times New Roman"/>
          <w:b/>
          <w:bCs/>
          <w:sz w:val="24"/>
          <w:szCs w:val="24"/>
          <w:u w:val="single"/>
          <w:lang w:val="en-GB"/>
        </w:rPr>
      </w:pPr>
    </w:p>
    <w:p w14:paraId="200FE29F" w14:textId="77777777" w:rsidR="00750ED1" w:rsidRDefault="00750ED1" w:rsidP="00490F0C">
      <w:pPr>
        <w:rPr>
          <w:rFonts w:ascii="Times New Roman" w:eastAsia="Calibri" w:hAnsi="Times New Roman" w:cs="Times New Roman"/>
          <w:b/>
          <w:bCs/>
          <w:sz w:val="24"/>
          <w:szCs w:val="24"/>
          <w:u w:val="single"/>
          <w:lang w:val="en-GB"/>
        </w:rPr>
      </w:pPr>
    </w:p>
    <w:p w14:paraId="7926302B" w14:textId="77777777" w:rsidR="0040265F" w:rsidRDefault="0040265F" w:rsidP="003271CF">
      <w:pPr>
        <w:jc w:val="center"/>
        <w:rPr>
          <w:rFonts w:ascii="Times New Roman" w:eastAsia="Calibri" w:hAnsi="Times New Roman" w:cs="Times New Roman"/>
          <w:b/>
          <w:bCs/>
          <w:sz w:val="24"/>
          <w:szCs w:val="24"/>
          <w:u w:val="single"/>
          <w:lang w:val="en-GB"/>
        </w:rPr>
      </w:pPr>
    </w:p>
    <w:p w14:paraId="725D4531" w14:textId="77777777" w:rsidR="0040265F" w:rsidRDefault="0040265F" w:rsidP="003271CF">
      <w:pPr>
        <w:jc w:val="center"/>
        <w:rPr>
          <w:rFonts w:ascii="Times New Roman" w:eastAsia="Calibri" w:hAnsi="Times New Roman" w:cs="Times New Roman"/>
          <w:b/>
          <w:bCs/>
          <w:sz w:val="24"/>
          <w:szCs w:val="24"/>
          <w:u w:val="single"/>
          <w:lang w:val="en-GB"/>
        </w:rPr>
      </w:pPr>
    </w:p>
    <w:p w14:paraId="184E4175" w14:textId="77777777" w:rsidR="0040265F" w:rsidRDefault="0040265F" w:rsidP="003271CF">
      <w:pPr>
        <w:jc w:val="center"/>
        <w:rPr>
          <w:rFonts w:ascii="Times New Roman" w:eastAsia="Calibri" w:hAnsi="Times New Roman" w:cs="Times New Roman"/>
          <w:b/>
          <w:bCs/>
          <w:sz w:val="24"/>
          <w:szCs w:val="24"/>
          <w:u w:val="single"/>
          <w:lang w:val="en-GB"/>
        </w:rPr>
      </w:pPr>
    </w:p>
    <w:p w14:paraId="4BC86D94" w14:textId="77777777" w:rsidR="0040265F" w:rsidRDefault="0040265F" w:rsidP="003271CF">
      <w:pPr>
        <w:jc w:val="center"/>
        <w:rPr>
          <w:rFonts w:ascii="Times New Roman" w:eastAsia="Calibri" w:hAnsi="Times New Roman" w:cs="Times New Roman"/>
          <w:b/>
          <w:bCs/>
          <w:sz w:val="24"/>
          <w:szCs w:val="24"/>
          <w:u w:val="single"/>
          <w:lang w:val="en-GB"/>
        </w:rPr>
      </w:pPr>
    </w:p>
    <w:p w14:paraId="790B45F5" w14:textId="77777777" w:rsidR="0040265F" w:rsidRDefault="0040265F" w:rsidP="003271CF">
      <w:pPr>
        <w:jc w:val="center"/>
        <w:rPr>
          <w:rFonts w:ascii="Times New Roman" w:eastAsia="Calibri" w:hAnsi="Times New Roman" w:cs="Times New Roman"/>
          <w:b/>
          <w:bCs/>
          <w:sz w:val="24"/>
          <w:szCs w:val="24"/>
          <w:u w:val="single"/>
          <w:lang w:val="en-GB"/>
        </w:rPr>
      </w:pPr>
    </w:p>
    <w:p w14:paraId="69556035" w14:textId="6320B6A2" w:rsidR="00750ED1" w:rsidRDefault="00750ED1" w:rsidP="003271CF">
      <w:pPr>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REFERENCES</w:t>
      </w:r>
    </w:p>
    <w:p w14:paraId="30AE9251" w14:textId="77777777" w:rsidR="0040265F" w:rsidRDefault="0040265F" w:rsidP="003271CF">
      <w:pPr>
        <w:jc w:val="center"/>
        <w:rPr>
          <w:rFonts w:ascii="Times New Roman" w:eastAsia="Calibri" w:hAnsi="Times New Roman" w:cs="Times New Roman"/>
          <w:b/>
          <w:bCs/>
          <w:sz w:val="24"/>
          <w:szCs w:val="24"/>
          <w:u w:val="single"/>
          <w:lang w:val="en-GB"/>
        </w:rPr>
      </w:pPr>
    </w:p>
    <w:p w14:paraId="4D6536C7" w14:textId="71ABDF7C" w:rsidR="00E81A4C" w:rsidRPr="00E81A4C" w:rsidRDefault="00F43C0F"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Adjagbe, M. (2009), </w:t>
      </w:r>
      <w:r w:rsidR="00E81A4C" w:rsidRPr="00E81A4C">
        <w:rPr>
          <w:rFonts w:ascii="Times New Roman" w:eastAsia="Calibri" w:hAnsi="Times New Roman" w:cs="Times New Roman"/>
          <w:sz w:val="24"/>
          <w:szCs w:val="24"/>
          <w:lang w:val="en-GB"/>
        </w:rPr>
        <w:t>The underside of Operation Licorne in Côte d’Ivoire: for a new geopolitical reading of French interventions in Af</w:t>
      </w:r>
      <w:r>
        <w:rPr>
          <w:rFonts w:ascii="Times New Roman" w:eastAsia="Calibri" w:hAnsi="Times New Roman" w:cs="Times New Roman"/>
          <w:sz w:val="24"/>
          <w:szCs w:val="24"/>
          <w:lang w:val="en-GB"/>
        </w:rPr>
        <w:t>rica. Africa Development, 34(2)</w:t>
      </w:r>
    </w:p>
    <w:p w14:paraId="3EF33FF1" w14:textId="7CB6A072" w:rsidR="00E81A4C" w:rsidRPr="00E81A4C" w:rsidRDefault="00F43C0F"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Bamba, L. (2004),</w:t>
      </w:r>
      <w:r w:rsidR="00E81A4C" w:rsidRPr="00E81A4C">
        <w:rPr>
          <w:rFonts w:ascii="Times New Roman" w:eastAsia="Calibri" w:hAnsi="Times New Roman" w:cs="Times New Roman"/>
          <w:sz w:val="24"/>
          <w:szCs w:val="24"/>
          <w:lang w:val="en-GB"/>
        </w:rPr>
        <w:t xml:space="preserve"> Analysis of the convergence process </w:t>
      </w:r>
      <w:r>
        <w:rPr>
          <w:rFonts w:ascii="Times New Roman" w:eastAsia="Calibri" w:hAnsi="Times New Roman" w:cs="Times New Roman"/>
          <w:sz w:val="24"/>
          <w:szCs w:val="24"/>
          <w:lang w:val="en-GB"/>
        </w:rPr>
        <w:t>in the UEMOA zone (No. 2004/18),</w:t>
      </w:r>
      <w:r w:rsidR="00E81A4C" w:rsidRPr="00E81A4C">
        <w:rPr>
          <w:rFonts w:ascii="Times New Roman" w:eastAsia="Calibri" w:hAnsi="Times New Roman" w:cs="Times New Roman"/>
          <w:sz w:val="24"/>
          <w:szCs w:val="24"/>
          <w:lang w:val="en-GB"/>
        </w:rPr>
        <w:t xml:space="preserve"> Research Paper, UNU-WIDER, </w:t>
      </w:r>
      <w:r>
        <w:rPr>
          <w:rFonts w:ascii="Times New Roman" w:eastAsia="Calibri" w:hAnsi="Times New Roman" w:cs="Times New Roman"/>
          <w:sz w:val="24"/>
          <w:szCs w:val="24"/>
          <w:lang w:val="en-GB"/>
        </w:rPr>
        <w:t>United Nations University (UNU)</w:t>
      </w:r>
    </w:p>
    <w:p w14:paraId="14E8DD9D" w14:textId="5D549498" w:rsid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Bour, H. (1992). Maastricht and the t</w:t>
      </w:r>
      <w:r w:rsidR="00F43C0F">
        <w:rPr>
          <w:rFonts w:ascii="Times New Roman" w:eastAsia="Calibri" w:hAnsi="Times New Roman" w:cs="Times New Roman"/>
          <w:sz w:val="24"/>
          <w:szCs w:val="24"/>
          <w:lang w:val="en-GB"/>
        </w:rPr>
        <w:t>heory of optimal currency zones,</w:t>
      </w:r>
      <w:r w:rsidRPr="00E81A4C">
        <w:rPr>
          <w:rFonts w:ascii="Times New Roman" w:eastAsia="Calibri" w:hAnsi="Times New Roman" w:cs="Times New Roman"/>
          <w:sz w:val="24"/>
          <w:szCs w:val="24"/>
          <w:lang w:val="en-GB"/>
        </w:rPr>
        <w:t xml:space="preserve"> Revue f</w:t>
      </w:r>
      <w:r w:rsidR="00F43C0F">
        <w:rPr>
          <w:rFonts w:ascii="Times New Roman" w:eastAsia="Calibri" w:hAnsi="Times New Roman" w:cs="Times New Roman"/>
          <w:sz w:val="24"/>
          <w:szCs w:val="24"/>
          <w:lang w:val="en-GB"/>
        </w:rPr>
        <w:t>rançaise d'économie, 7(3), 3-27</w:t>
      </w:r>
    </w:p>
    <w:p w14:paraId="04DFFC88" w14:textId="3FFEBA0D" w:rsidR="00237B15" w:rsidRPr="00E81A4C" w:rsidRDefault="00F43C0F"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Capron, M. (2009),</w:t>
      </w:r>
      <w:r w:rsidR="00A71FA5">
        <w:rPr>
          <w:rFonts w:ascii="Times New Roman" w:eastAsia="Calibri" w:hAnsi="Times New Roman" w:cs="Times New Roman"/>
          <w:sz w:val="24"/>
          <w:szCs w:val="24"/>
          <w:lang w:val="en-GB"/>
        </w:rPr>
        <w:t xml:space="preserve"> From France-Africa</w:t>
      </w:r>
      <w:r w:rsidR="00237B15" w:rsidRPr="00237B15">
        <w:rPr>
          <w:rFonts w:ascii="Times New Roman" w:eastAsia="Calibri" w:hAnsi="Times New Roman" w:cs="Times New Roman"/>
          <w:sz w:val="24"/>
          <w:szCs w:val="24"/>
          <w:lang w:val="en-GB"/>
        </w:rPr>
        <w:t xml:space="preserve"> to </w:t>
      </w:r>
      <w:r>
        <w:rPr>
          <w:rFonts w:ascii="Times New Roman" w:eastAsia="Calibri" w:hAnsi="Times New Roman" w:cs="Times New Roman"/>
          <w:sz w:val="24"/>
          <w:szCs w:val="24"/>
          <w:lang w:val="en-GB"/>
        </w:rPr>
        <w:t>corporate social responsibility,</w:t>
      </w:r>
      <w:r w:rsidR="00237B15" w:rsidRPr="00237B15">
        <w:rPr>
          <w:rFonts w:ascii="Times New Roman" w:eastAsia="Calibri" w:hAnsi="Times New Roman" w:cs="Times New Roman"/>
          <w:sz w:val="24"/>
          <w:szCs w:val="24"/>
          <w:lang w:val="en-GB"/>
        </w:rPr>
        <w:t xml:space="preserve"> The dynamics between firms, the State and social movements in France, United Nations Research Instit</w:t>
      </w:r>
      <w:r>
        <w:rPr>
          <w:rFonts w:ascii="Times New Roman" w:eastAsia="Calibri" w:hAnsi="Times New Roman" w:cs="Times New Roman"/>
          <w:sz w:val="24"/>
          <w:szCs w:val="24"/>
          <w:lang w:val="en-GB"/>
        </w:rPr>
        <w:t>ute for Social Development, 3-4</w:t>
      </w:r>
    </w:p>
    <w:p w14:paraId="448A9A70" w14:textId="77777777"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Debrie, J. (2007). Geohistory of a technical layout: borders and networks in continental “French-speaking” West Africa. Flux, (4), 49-58.</w:t>
      </w:r>
    </w:p>
    <w:p w14:paraId="1453A2B1" w14:textId="3ED9B541"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Diallo, O. (2002). The anchorin</w:t>
      </w:r>
      <w:r w:rsidR="00F43C0F">
        <w:rPr>
          <w:rFonts w:ascii="Times New Roman" w:eastAsia="Calibri" w:hAnsi="Times New Roman" w:cs="Times New Roman"/>
          <w:sz w:val="24"/>
          <w:szCs w:val="24"/>
          <w:lang w:val="en-GB"/>
        </w:rPr>
        <w:t xml:space="preserve">g of the CFA franc to the euro, </w:t>
      </w:r>
      <w:r w:rsidRPr="00E81A4C">
        <w:rPr>
          <w:rFonts w:ascii="Times New Roman" w:eastAsia="Calibri" w:hAnsi="Times New Roman" w:cs="Times New Roman"/>
          <w:sz w:val="24"/>
          <w:szCs w:val="24"/>
          <w:lang w:val="en-GB"/>
        </w:rPr>
        <w:t>Consequence for West African sub-regional integration (Doctoral diss</w:t>
      </w:r>
      <w:r w:rsidR="00F43C0F">
        <w:rPr>
          <w:rFonts w:ascii="Times New Roman" w:eastAsia="Calibri" w:hAnsi="Times New Roman" w:cs="Times New Roman"/>
          <w:sz w:val="24"/>
          <w:szCs w:val="24"/>
          <w:lang w:val="en-GB"/>
        </w:rPr>
        <w:t>ertation, University of Geneva)</w:t>
      </w:r>
    </w:p>
    <w:p w14:paraId="67951845" w14:textId="2B37CEF8"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Emmanuel Moussone, "Market and investment potential of the countries of the Economic and Monetary Community of Central Africa (CEMAC)", Market and organizat</w:t>
      </w:r>
      <w:r w:rsidR="00F43C0F">
        <w:rPr>
          <w:rFonts w:ascii="Times New Roman" w:eastAsia="Calibri" w:hAnsi="Times New Roman" w:cs="Times New Roman"/>
          <w:sz w:val="24"/>
          <w:szCs w:val="24"/>
          <w:lang w:val="en-GB"/>
        </w:rPr>
        <w:t>ions 2011/2 (No.14), pp.33-56</w:t>
      </w:r>
    </w:p>
    <w:p w14:paraId="3FA42633" w14:textId="38C664C3" w:rsidR="00553F26"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France 24. (2017). Eliminating or renaming the CFA franc: Emmanuel Macron does not say "no". </w:t>
      </w:r>
      <w:r w:rsidR="00F43C0F" w:rsidRPr="00E81A4C">
        <w:rPr>
          <w:rFonts w:ascii="Times New Roman" w:eastAsia="Calibri" w:hAnsi="Times New Roman" w:cs="Times New Roman"/>
          <w:sz w:val="24"/>
          <w:szCs w:val="24"/>
          <w:lang w:val="en-GB"/>
        </w:rPr>
        <w:t>At</w:t>
      </w:r>
      <w:r w:rsidRPr="00E81A4C">
        <w:rPr>
          <w:rFonts w:ascii="Times New Roman" w:eastAsia="Calibri" w:hAnsi="Times New Roman" w:cs="Times New Roman"/>
          <w:sz w:val="24"/>
          <w:szCs w:val="24"/>
          <w:lang w:val="en-GB"/>
        </w:rPr>
        <w:t xml:space="preserve"> </w:t>
      </w:r>
      <w:hyperlink r:id="rId22" w:history="1">
        <w:r w:rsidR="00553F26" w:rsidRPr="00C45CDA">
          <w:rPr>
            <w:rStyle w:val="Hyperlink"/>
            <w:rFonts w:ascii="Times New Roman" w:eastAsia="Calibri" w:hAnsi="Times New Roman" w:cs="Times New Roman"/>
            <w:sz w:val="24"/>
            <w:szCs w:val="24"/>
            <w:lang w:val="en-GB"/>
          </w:rPr>
          <w:t>https://www.france24.com/fr/20171129-afrique-franc-cfa-emmanuel-macron-changement-perimetre-nom</w:t>
        </w:r>
      </w:hyperlink>
    </w:p>
    <w:p w14:paraId="56173946" w14:textId="52754E7E" w:rsidR="00373C4E" w:rsidRDefault="00373C4E" w:rsidP="00E81A4C">
      <w:pPr>
        <w:jc w:val="both"/>
        <w:rPr>
          <w:rFonts w:ascii="Times New Roman" w:eastAsia="Calibri" w:hAnsi="Times New Roman" w:cs="Times New Roman"/>
          <w:sz w:val="24"/>
          <w:szCs w:val="24"/>
          <w:lang w:val="en-GB"/>
        </w:rPr>
      </w:pPr>
      <w:r w:rsidRPr="00373C4E">
        <w:rPr>
          <w:rFonts w:ascii="Times New Roman" w:eastAsia="Calibri" w:hAnsi="Times New Roman" w:cs="Times New Roman"/>
          <w:sz w:val="24"/>
          <w:szCs w:val="24"/>
          <w:lang w:val="en-GB"/>
        </w:rPr>
        <w:t>Fren</w:t>
      </w:r>
      <w:r w:rsidR="00F43C0F">
        <w:rPr>
          <w:rFonts w:ascii="Times New Roman" w:eastAsia="Calibri" w:hAnsi="Times New Roman" w:cs="Times New Roman"/>
          <w:sz w:val="24"/>
          <w:szCs w:val="24"/>
          <w:lang w:val="en-GB"/>
        </w:rPr>
        <w:t>ch Investment Council in Africa (2013),</w:t>
      </w:r>
      <w:r w:rsidRPr="00373C4E">
        <w:rPr>
          <w:rFonts w:ascii="Times New Roman" w:eastAsia="Calibri" w:hAnsi="Times New Roman" w:cs="Times New Roman"/>
          <w:sz w:val="24"/>
          <w:szCs w:val="24"/>
          <w:lang w:val="en-GB"/>
        </w:rPr>
        <w:t xml:space="preserve"> French companies unbeatable in Africa</w:t>
      </w:r>
    </w:p>
    <w:p w14:paraId="3674D090" w14:textId="521F44D5"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Gnansounou, S. U., </w:t>
      </w:r>
      <w:r w:rsidR="00373C4E">
        <w:rPr>
          <w:rFonts w:ascii="Times New Roman" w:eastAsia="Calibri" w:hAnsi="Times New Roman" w:cs="Times New Roman"/>
          <w:sz w:val="24"/>
          <w:szCs w:val="24"/>
          <w:lang w:val="en-GB"/>
        </w:rPr>
        <w:t>and</w:t>
      </w:r>
      <w:r w:rsidR="00F43C0F">
        <w:rPr>
          <w:rFonts w:ascii="Times New Roman" w:eastAsia="Calibri" w:hAnsi="Times New Roman" w:cs="Times New Roman"/>
          <w:sz w:val="24"/>
          <w:szCs w:val="24"/>
          <w:lang w:val="en-GB"/>
        </w:rPr>
        <w:t xml:space="preserve"> Verdier-Chouchane, A. (2012),</w:t>
      </w:r>
      <w:r w:rsidRPr="00E81A4C">
        <w:rPr>
          <w:rFonts w:ascii="Times New Roman" w:eastAsia="Calibri" w:hAnsi="Times New Roman" w:cs="Times New Roman"/>
          <w:sz w:val="24"/>
          <w:szCs w:val="24"/>
          <w:lang w:val="en-GB"/>
        </w:rPr>
        <w:t xml:space="preserve"> Real effective exchange rate misalignment: When will the CFA </w:t>
      </w:r>
      <w:r w:rsidR="00452567" w:rsidRPr="00E81A4C">
        <w:rPr>
          <w:rFonts w:ascii="Times New Roman" w:eastAsia="Calibri" w:hAnsi="Times New Roman" w:cs="Times New Roman"/>
          <w:sz w:val="24"/>
          <w:szCs w:val="24"/>
          <w:lang w:val="en-GB"/>
        </w:rPr>
        <w:t>franc needs</w:t>
      </w:r>
      <w:r w:rsidRPr="00E81A4C">
        <w:rPr>
          <w:rFonts w:ascii="Times New Roman" w:eastAsia="Calibri" w:hAnsi="Times New Roman" w:cs="Times New Roman"/>
          <w:sz w:val="24"/>
          <w:szCs w:val="24"/>
          <w:lang w:val="en-GB"/>
        </w:rPr>
        <w:t xml:space="preserve"> to be devalued again? African Development Bank.</w:t>
      </w:r>
    </w:p>
    <w:p w14:paraId="3A71E2A7" w14:textId="6C2BE171"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Gulde, M. A. M., </w:t>
      </w:r>
      <w:r w:rsidR="00373C4E">
        <w:rPr>
          <w:rFonts w:ascii="Times New Roman" w:eastAsia="Calibri" w:hAnsi="Times New Roman" w:cs="Times New Roman"/>
          <w:sz w:val="24"/>
          <w:szCs w:val="24"/>
          <w:lang w:val="en-GB"/>
        </w:rPr>
        <w:t>and</w:t>
      </w:r>
      <w:r w:rsidR="00452567">
        <w:rPr>
          <w:rFonts w:ascii="Times New Roman" w:eastAsia="Calibri" w:hAnsi="Times New Roman" w:cs="Times New Roman"/>
          <w:sz w:val="24"/>
          <w:szCs w:val="24"/>
          <w:lang w:val="en-GB"/>
        </w:rPr>
        <w:t xml:space="preserve"> Tsangarides, M. C. G. (2008),</w:t>
      </w:r>
      <w:r w:rsidRPr="00E81A4C">
        <w:rPr>
          <w:rFonts w:ascii="Times New Roman" w:eastAsia="Calibri" w:hAnsi="Times New Roman" w:cs="Times New Roman"/>
          <w:sz w:val="24"/>
          <w:szCs w:val="24"/>
          <w:lang w:val="en-GB"/>
        </w:rPr>
        <w:t xml:space="preserve"> The CFA franc zone: common currency, uncommon challeng</w:t>
      </w:r>
      <w:r w:rsidR="00452567">
        <w:rPr>
          <w:rFonts w:ascii="Times New Roman" w:eastAsia="Calibri" w:hAnsi="Times New Roman" w:cs="Times New Roman"/>
          <w:sz w:val="24"/>
          <w:szCs w:val="24"/>
          <w:lang w:val="en-GB"/>
        </w:rPr>
        <w:t>es. International Monetary Fund</w:t>
      </w:r>
    </w:p>
    <w:p w14:paraId="3E10FF4E" w14:textId="5E7AE5C7" w:rsidR="00E81A4C" w:rsidRPr="00E81A4C"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Guillaumont, P. and Jeanneney, S. G. (2013), </w:t>
      </w:r>
      <w:r w:rsidR="00E81A4C" w:rsidRPr="00E81A4C">
        <w:rPr>
          <w:rFonts w:ascii="Times New Roman" w:eastAsia="Calibri" w:hAnsi="Times New Roman" w:cs="Times New Roman"/>
          <w:sz w:val="24"/>
          <w:szCs w:val="24"/>
          <w:lang w:val="en-GB"/>
        </w:rPr>
        <w:t>Monetary cooperation agreements of the franc zone: assets and constraints. Clermont-Ferrand: F</w:t>
      </w:r>
      <w:r>
        <w:rPr>
          <w:rFonts w:ascii="Times New Roman" w:eastAsia="Calibri" w:hAnsi="Times New Roman" w:cs="Times New Roman"/>
          <w:sz w:val="24"/>
          <w:szCs w:val="24"/>
          <w:lang w:val="en-GB"/>
        </w:rPr>
        <w:t>erdi, Working Paper, (65)</w:t>
      </w:r>
    </w:p>
    <w:p w14:paraId="2D1F169F" w14:textId="77777777"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Gounin, Y. (2009). France in Africa: The fight of the Ancients and the Moderns. Louvain-la-Neuve, Belgium: De Boeck Supérieur. doi:10.3917/dbu.gouni.2009.01.</w:t>
      </w:r>
    </w:p>
    <w:p w14:paraId="5806F1B3" w14:textId="121B89B9" w:rsidR="00373C4E"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lastRenderedPageBreak/>
        <w:t>Hugon, P. (1999),</w:t>
      </w:r>
      <w:r w:rsidR="00E81A4C" w:rsidRPr="00E81A4C">
        <w:rPr>
          <w:rFonts w:ascii="Times New Roman" w:eastAsia="Calibri" w:hAnsi="Times New Roman" w:cs="Times New Roman"/>
          <w:sz w:val="24"/>
          <w:szCs w:val="24"/>
          <w:lang w:val="en-GB"/>
        </w:rPr>
        <w:t xml:space="preserve"> The fra</w:t>
      </w:r>
      <w:r>
        <w:rPr>
          <w:rFonts w:ascii="Times New Roman" w:eastAsia="Calibri" w:hAnsi="Times New Roman" w:cs="Times New Roman"/>
          <w:sz w:val="24"/>
          <w:szCs w:val="24"/>
          <w:lang w:val="en-GB"/>
        </w:rPr>
        <w:t>nc zone in the time of the euro,</w:t>
      </w:r>
      <w:r w:rsidR="00E81A4C" w:rsidRPr="00E81A4C">
        <w:rPr>
          <w:rFonts w:ascii="Times New Roman" w:eastAsia="Calibri" w:hAnsi="Times New Roman" w:cs="Times New Roman"/>
          <w:sz w:val="24"/>
          <w:szCs w:val="24"/>
          <w:lang w:val="en-GB"/>
        </w:rPr>
        <w:t xml:space="preserve"> KARTHALA Edit</w:t>
      </w:r>
      <w:r>
        <w:rPr>
          <w:rFonts w:ascii="Times New Roman" w:eastAsia="Calibri" w:hAnsi="Times New Roman" w:cs="Times New Roman"/>
          <w:sz w:val="24"/>
          <w:szCs w:val="24"/>
          <w:lang w:val="en-GB"/>
        </w:rPr>
        <w:t>ions</w:t>
      </w:r>
    </w:p>
    <w:p w14:paraId="0E512A87" w14:textId="0D9D582F" w:rsidR="00237B15" w:rsidRPr="00E81A4C"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Hugon, P. (2007),</w:t>
      </w:r>
      <w:r w:rsidR="00237B15" w:rsidRPr="00237B15">
        <w:rPr>
          <w:rFonts w:ascii="Times New Roman" w:eastAsia="Calibri" w:hAnsi="Times New Roman" w:cs="Times New Roman"/>
          <w:sz w:val="24"/>
          <w:szCs w:val="24"/>
          <w:lang w:val="en-GB"/>
        </w:rPr>
        <w:t xml:space="preserve"> France’s economic policy in Afr</w:t>
      </w:r>
      <w:r>
        <w:rPr>
          <w:rFonts w:ascii="Times New Roman" w:eastAsia="Calibri" w:hAnsi="Times New Roman" w:cs="Times New Roman"/>
          <w:sz w:val="24"/>
          <w:szCs w:val="24"/>
          <w:lang w:val="en-GB"/>
        </w:rPr>
        <w:t>ica, African policy, (1), 54-69</w:t>
      </w:r>
    </w:p>
    <w:p w14:paraId="0A70F873" w14:textId="51475A9A" w:rsid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La Tribune Afrique. (2013). Frenc</w:t>
      </w:r>
      <w:r w:rsidR="00452567">
        <w:rPr>
          <w:rFonts w:ascii="Times New Roman" w:eastAsia="Calibri" w:hAnsi="Times New Roman" w:cs="Times New Roman"/>
          <w:sz w:val="24"/>
          <w:szCs w:val="24"/>
          <w:lang w:val="en-GB"/>
        </w:rPr>
        <w:t>h companies reconquering Africa, A</w:t>
      </w:r>
      <w:r w:rsidRPr="00E81A4C">
        <w:rPr>
          <w:rFonts w:ascii="Times New Roman" w:eastAsia="Calibri" w:hAnsi="Times New Roman" w:cs="Times New Roman"/>
          <w:sz w:val="24"/>
          <w:szCs w:val="24"/>
          <w:lang w:val="en-GB"/>
        </w:rPr>
        <w:t xml:space="preserve">t </w:t>
      </w:r>
      <w:hyperlink r:id="rId23" w:history="1">
        <w:r w:rsidR="00373C4E" w:rsidRPr="00C45CDA">
          <w:rPr>
            <w:rStyle w:val="Hyperlink"/>
            <w:rFonts w:ascii="Times New Roman" w:eastAsia="Calibri" w:hAnsi="Times New Roman" w:cs="Times New Roman"/>
            <w:sz w:val="24"/>
            <w:szCs w:val="24"/>
            <w:lang w:val="en-GB"/>
          </w:rPr>
          <w:t>http://www.latribune.fr/actualites/economie/france/20131204trib000799270/les-entreprisesfrancaises-a-la-reconquete-de-l-afrique.html</w:t>
        </w:r>
      </w:hyperlink>
    </w:p>
    <w:p w14:paraId="4FA7759D" w14:textId="08112ED2" w:rsidR="00373C4E" w:rsidRPr="00E81A4C"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Laurent Joye, T. (2014),</w:t>
      </w:r>
      <w:r w:rsidR="00237B15" w:rsidRPr="00237B15">
        <w:rPr>
          <w:rFonts w:ascii="Times New Roman" w:eastAsia="Calibri" w:hAnsi="Times New Roman" w:cs="Times New Roman"/>
          <w:sz w:val="24"/>
          <w:szCs w:val="24"/>
          <w:lang w:val="en-GB"/>
        </w:rPr>
        <w:t xml:space="preserve"> Theory of monetary zones: critique of orthodoxy and prospects for redesign.</w:t>
      </w:r>
    </w:p>
    <w:p w14:paraId="2AF8115F" w14:textId="615B133B"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Mbemba, A. (2011). Fiscal Policy in Selected African Countries: The CFA Franc Zone. International Journal of E</w:t>
      </w:r>
      <w:r w:rsidR="00452567">
        <w:rPr>
          <w:rFonts w:ascii="Times New Roman" w:eastAsia="Calibri" w:hAnsi="Times New Roman" w:cs="Times New Roman"/>
          <w:sz w:val="24"/>
          <w:szCs w:val="24"/>
          <w:lang w:val="en-GB"/>
        </w:rPr>
        <w:t>conomics and Finance, 3(2), 101</w:t>
      </w:r>
    </w:p>
    <w:p w14:paraId="09BF28D4" w14:textId="4DAC7B63"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Médard, J. F. (2002). “Politics is at the end of the network”. Questions on the Focca</w:t>
      </w:r>
      <w:r w:rsidR="00452567">
        <w:rPr>
          <w:rFonts w:ascii="Times New Roman" w:eastAsia="Calibri" w:hAnsi="Times New Roman" w:cs="Times New Roman"/>
          <w:sz w:val="24"/>
          <w:szCs w:val="24"/>
          <w:lang w:val="en-GB"/>
        </w:rPr>
        <w:t>rt method,</w:t>
      </w:r>
      <w:r w:rsidRPr="00E81A4C">
        <w:rPr>
          <w:rFonts w:ascii="Times New Roman" w:eastAsia="Calibri" w:hAnsi="Times New Roman" w:cs="Times New Roman"/>
          <w:sz w:val="24"/>
          <w:szCs w:val="24"/>
          <w:lang w:val="en-GB"/>
        </w:rPr>
        <w:t xml:space="preserve"> The Notebooks of the </w:t>
      </w:r>
      <w:r w:rsidR="00373C4E" w:rsidRPr="00E81A4C">
        <w:rPr>
          <w:rFonts w:ascii="Times New Roman" w:eastAsia="Calibri" w:hAnsi="Times New Roman" w:cs="Times New Roman"/>
          <w:sz w:val="24"/>
          <w:szCs w:val="24"/>
          <w:lang w:val="en-GB"/>
        </w:rPr>
        <w:t>Centre</w:t>
      </w:r>
      <w:r w:rsidRPr="00E81A4C">
        <w:rPr>
          <w:rFonts w:ascii="Times New Roman" w:eastAsia="Calibri" w:hAnsi="Times New Roman" w:cs="Times New Roman"/>
          <w:sz w:val="24"/>
          <w:szCs w:val="24"/>
          <w:lang w:val="en-GB"/>
        </w:rPr>
        <w:t xml:space="preserve"> for Hist</w:t>
      </w:r>
      <w:r w:rsidR="00452567">
        <w:rPr>
          <w:rFonts w:ascii="Times New Roman" w:eastAsia="Calibri" w:hAnsi="Times New Roman" w:cs="Times New Roman"/>
          <w:sz w:val="24"/>
          <w:szCs w:val="24"/>
          <w:lang w:val="en-GB"/>
        </w:rPr>
        <w:t>orical Research, Archives, (30)</w:t>
      </w:r>
    </w:p>
    <w:p w14:paraId="058E1327" w14:textId="77777777"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Migani, G. (2012). Sékou Touré and the contestation of the colonial order in sub-Saharan Africa, 1958-1963. World(s), 2,(2), 257-273. doi:10.3917/mond.122.0257.</w:t>
      </w:r>
    </w:p>
    <w:p w14:paraId="3681733E" w14:textId="77777777"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Musungaie, A. (2010). Monetary integration in Africa: particularities and economic rationality. Reflections and perspectives of economic life, volume xlix,(4), 83-92. doi:10.3917/rpve.494.0083.</w:t>
      </w:r>
    </w:p>
    <w:p w14:paraId="1F2EF495" w14:textId="009306F3" w:rsidR="00E81A4C" w:rsidRPr="00E81A4C"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Noirot, T. (2012), French companies in Africa,</w:t>
      </w:r>
      <w:r w:rsidR="00E81A4C" w:rsidRPr="00E81A4C">
        <w:rPr>
          <w:rFonts w:ascii="Times New Roman" w:eastAsia="Calibri" w:hAnsi="Times New Roman" w:cs="Times New Roman"/>
          <w:sz w:val="24"/>
          <w:szCs w:val="24"/>
          <w:lang w:val="en-GB"/>
        </w:rPr>
        <w:t xml:space="preserve"> Plunder against transparency. Outre-Terre, (3), 537-546.</w:t>
      </w:r>
    </w:p>
    <w:p w14:paraId="6769B08C" w14:textId="3FF423A8"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Nubukpo, K. (2007). The Effectiveness of Monetary Policy in Situations of Uncertainty and Extraversion: The Case of the West African Economic and Monetary Union (WAEMU). The European Journal of Development Research, 19(3), 480-495.</w:t>
      </w:r>
    </w:p>
    <w:p w14:paraId="5CA6E272" w14:textId="77777777"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Nubukpo, K. (2013). Fifty Years of West African Monetary Union: What Have We Learned? Revue d'économie financière, 110,(2), 145-164. doi:10.3917/ecofi.110.0145.</w:t>
      </w:r>
    </w:p>
    <w:p w14:paraId="094A055C" w14:textId="77777777"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Nubukpo, K. (2015). The CFA franc, a brake on the emergence of African economies? Political Economy, (4), 71-79.</w:t>
      </w:r>
    </w:p>
    <w:p w14:paraId="77BC5B02" w14:textId="3AA1D2CE" w:rsidR="00E81A4C" w:rsidRPr="00E81A4C"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Ondo Ossa, A. (2000),</w:t>
      </w:r>
      <w:r w:rsidR="00E81A4C" w:rsidRPr="00E81A4C">
        <w:rPr>
          <w:rFonts w:ascii="Times New Roman" w:eastAsia="Calibri" w:hAnsi="Times New Roman" w:cs="Times New Roman"/>
          <w:sz w:val="24"/>
          <w:szCs w:val="24"/>
          <w:lang w:val="en-GB"/>
        </w:rPr>
        <w:t xml:space="preserve"> Monetary zone and exchange rate crisis: the case of the African franc zone. Cahiers du SISERA/Secretariat d'appui institutionnel pour la recherch</w:t>
      </w:r>
      <w:r>
        <w:rPr>
          <w:rFonts w:ascii="Times New Roman" w:eastAsia="Calibri" w:hAnsi="Times New Roman" w:cs="Times New Roman"/>
          <w:sz w:val="24"/>
          <w:szCs w:val="24"/>
          <w:lang w:val="en-GB"/>
        </w:rPr>
        <w:t>e économique en Afrique; 2000/1</w:t>
      </w:r>
    </w:p>
    <w:p w14:paraId="764B84CD" w14:textId="6AFD9DBF" w:rsidR="006C7FBD"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Ott, A. C., </w:t>
      </w:r>
      <w:r w:rsidR="00373C4E">
        <w:rPr>
          <w:rFonts w:ascii="Times New Roman" w:eastAsia="Calibri" w:hAnsi="Times New Roman" w:cs="Times New Roman"/>
          <w:sz w:val="24"/>
          <w:szCs w:val="24"/>
          <w:lang w:val="en-GB"/>
        </w:rPr>
        <w:t>and</w:t>
      </w:r>
      <w:r w:rsidRPr="00E81A4C">
        <w:rPr>
          <w:rFonts w:ascii="Times New Roman" w:eastAsia="Calibri" w:hAnsi="Times New Roman" w:cs="Times New Roman"/>
          <w:sz w:val="24"/>
          <w:szCs w:val="24"/>
          <w:lang w:val="en-GB"/>
        </w:rPr>
        <w:t xml:space="preserve"> Vignolles, B.</w:t>
      </w:r>
      <w:r w:rsidR="00452567">
        <w:rPr>
          <w:rFonts w:ascii="Times New Roman" w:eastAsia="Calibri" w:hAnsi="Times New Roman" w:cs="Times New Roman"/>
          <w:sz w:val="24"/>
          <w:szCs w:val="24"/>
          <w:lang w:val="en-GB"/>
        </w:rPr>
        <w:t xml:space="preserve"> (2012),</w:t>
      </w:r>
      <w:r w:rsidRPr="00E81A4C">
        <w:rPr>
          <w:rFonts w:ascii="Times New Roman" w:eastAsia="Calibri" w:hAnsi="Times New Roman" w:cs="Times New Roman"/>
          <w:sz w:val="24"/>
          <w:szCs w:val="24"/>
          <w:lang w:val="en-GB"/>
        </w:rPr>
        <w:t xml:space="preserve"> What is an optimal currency area? Crossed views on economics, (1), 31-32</w:t>
      </w:r>
    </w:p>
    <w:p w14:paraId="5CECE766" w14:textId="1AE6C34B" w:rsidR="00E81A4C" w:rsidRPr="00E81A4C"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Ramdé, M. (2004),</w:t>
      </w:r>
      <w:r w:rsidR="00E81A4C" w:rsidRPr="00E81A4C">
        <w:rPr>
          <w:rFonts w:ascii="Times New Roman" w:eastAsia="Calibri" w:hAnsi="Times New Roman" w:cs="Times New Roman"/>
          <w:sz w:val="24"/>
          <w:szCs w:val="24"/>
          <w:lang w:val="en-GB"/>
        </w:rPr>
        <w:t xml:space="preserve"> The limits of international regional integration: the case of the Economic Community of West African States (ECOWAS).</w:t>
      </w:r>
    </w:p>
    <w:p w14:paraId="07762473" w14:textId="4AAB3208" w:rsidR="00E81A4C" w:rsidRPr="00E81A4C"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lastRenderedPageBreak/>
        <w:t>Rist, C. (1938),</w:t>
      </w:r>
      <w:r w:rsidR="00E81A4C" w:rsidRPr="00E81A4C">
        <w:rPr>
          <w:rFonts w:ascii="Times New Roman" w:eastAsia="Calibri" w:hAnsi="Times New Roman" w:cs="Times New Roman"/>
          <w:sz w:val="24"/>
          <w:szCs w:val="24"/>
          <w:lang w:val="en-GB"/>
        </w:rPr>
        <w:t xml:space="preserve"> History of the doctrines relating to credit and currency f</w:t>
      </w:r>
      <w:r>
        <w:rPr>
          <w:rFonts w:ascii="Times New Roman" w:eastAsia="Calibri" w:hAnsi="Times New Roman" w:cs="Times New Roman"/>
          <w:sz w:val="24"/>
          <w:szCs w:val="24"/>
          <w:lang w:val="en-GB"/>
        </w:rPr>
        <w:t>rom John Law to the present day</w:t>
      </w:r>
    </w:p>
    <w:p w14:paraId="5A6114EF" w14:textId="11546C73" w:rsidR="00E81A4C" w:rsidRPr="00E81A4C"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Sall, A. K. (2016),</w:t>
      </w:r>
      <w:r w:rsidR="00E81A4C" w:rsidRPr="00E81A4C">
        <w:rPr>
          <w:rFonts w:ascii="Times New Roman" w:eastAsia="Calibri" w:hAnsi="Times New Roman" w:cs="Times New Roman"/>
          <w:sz w:val="24"/>
          <w:szCs w:val="24"/>
          <w:lang w:val="en-GB"/>
        </w:rPr>
        <w:t xml:space="preserve"> The prospects for inflation targeting in the countries of the West African Economic and Monetary Union (WAEMU) (Doctoral disse</w:t>
      </w:r>
      <w:r>
        <w:rPr>
          <w:rFonts w:ascii="Times New Roman" w:eastAsia="Calibri" w:hAnsi="Times New Roman" w:cs="Times New Roman"/>
          <w:sz w:val="24"/>
          <w:szCs w:val="24"/>
          <w:lang w:val="en-GB"/>
        </w:rPr>
        <w:t>rtation, University of Orléans)</w:t>
      </w:r>
    </w:p>
    <w:p w14:paraId="596D07C3" w14:textId="4F42C78E"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Smith, S., </w:t>
      </w:r>
      <w:r w:rsidR="00756643">
        <w:rPr>
          <w:rFonts w:ascii="Times New Roman" w:eastAsia="Calibri" w:hAnsi="Times New Roman" w:cs="Times New Roman"/>
          <w:sz w:val="24"/>
          <w:szCs w:val="24"/>
          <w:lang w:val="en-GB"/>
        </w:rPr>
        <w:t>and</w:t>
      </w:r>
      <w:r w:rsidR="00452567">
        <w:rPr>
          <w:rFonts w:ascii="Times New Roman" w:eastAsia="Calibri" w:hAnsi="Times New Roman" w:cs="Times New Roman"/>
          <w:sz w:val="24"/>
          <w:szCs w:val="24"/>
          <w:lang w:val="en-GB"/>
        </w:rPr>
        <w:t xml:space="preserve"> Glaser, A. (2005), </w:t>
      </w:r>
      <w:r w:rsidRPr="00E81A4C">
        <w:rPr>
          <w:rFonts w:ascii="Times New Roman" w:eastAsia="Calibri" w:hAnsi="Times New Roman" w:cs="Times New Roman"/>
          <w:sz w:val="24"/>
          <w:szCs w:val="24"/>
          <w:lang w:val="en-GB"/>
        </w:rPr>
        <w:t>How F</w:t>
      </w:r>
      <w:r w:rsidR="00452567">
        <w:rPr>
          <w:rFonts w:ascii="Times New Roman" w:eastAsia="Calibri" w:hAnsi="Times New Roman" w:cs="Times New Roman"/>
          <w:sz w:val="24"/>
          <w:szCs w:val="24"/>
          <w:lang w:val="en-GB"/>
        </w:rPr>
        <w:t>rance lost Africa. Calmann-Lévy</w:t>
      </w:r>
    </w:p>
    <w:p w14:paraId="261C07B5" w14:textId="0F2048BF" w:rsidR="009C4EDA"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Tadenyo, Y. D. (2015), “Impact of BCEAO Interest Rate Shocks on Inflation Evolution in the WAEMU Zone: Implications for the Pursuit of a Price Stability Objective”, BCEAO. Economic and </w:t>
      </w:r>
      <w:r w:rsidR="00452567">
        <w:rPr>
          <w:rFonts w:ascii="Times New Roman" w:eastAsia="Calibri" w:hAnsi="Times New Roman" w:cs="Times New Roman"/>
          <w:sz w:val="24"/>
          <w:szCs w:val="24"/>
          <w:lang w:val="en-GB"/>
        </w:rPr>
        <w:t>Monetary Review, (18)</w:t>
      </w:r>
    </w:p>
    <w:p w14:paraId="0E465E60" w14:textId="0D7E6262" w:rsidR="00237B15" w:rsidRPr="00E81A4C" w:rsidRDefault="00237B15" w:rsidP="00E81A4C">
      <w:pPr>
        <w:jc w:val="both"/>
        <w:rPr>
          <w:rFonts w:ascii="Times New Roman" w:eastAsia="Calibri" w:hAnsi="Times New Roman" w:cs="Times New Roman"/>
          <w:sz w:val="24"/>
          <w:szCs w:val="24"/>
          <w:lang w:val="en-GB"/>
        </w:rPr>
      </w:pPr>
      <w:r w:rsidRPr="00237B15">
        <w:rPr>
          <w:rFonts w:ascii="Times New Roman" w:eastAsia="Calibri" w:hAnsi="Times New Roman" w:cs="Times New Roman"/>
          <w:sz w:val="24"/>
          <w:szCs w:val="24"/>
          <w:lang w:val="en-GB"/>
        </w:rPr>
        <w:t>Trinnou G. M, (2015). Charlemagne B. Igue. “Bank credit risk and monetary policy in the West African Economic and</w:t>
      </w:r>
      <w:r w:rsidR="00452567">
        <w:rPr>
          <w:rFonts w:ascii="Times New Roman" w:eastAsia="Calibri" w:hAnsi="Times New Roman" w:cs="Times New Roman"/>
          <w:sz w:val="24"/>
          <w:szCs w:val="24"/>
          <w:lang w:val="en-GB"/>
        </w:rPr>
        <w:t xml:space="preserve"> Monetary Union (WAEMU)”, BCEAO</w:t>
      </w:r>
      <w:r w:rsidRPr="00237B15">
        <w:rPr>
          <w:rFonts w:ascii="Times New Roman" w:eastAsia="Calibri" w:hAnsi="Times New Roman" w:cs="Times New Roman"/>
          <w:sz w:val="24"/>
          <w:szCs w:val="24"/>
          <w:lang w:val="en-GB"/>
        </w:rPr>
        <w:t xml:space="preserve"> Eco</w:t>
      </w:r>
      <w:r w:rsidR="00452567">
        <w:rPr>
          <w:rFonts w:ascii="Times New Roman" w:eastAsia="Calibri" w:hAnsi="Times New Roman" w:cs="Times New Roman"/>
          <w:sz w:val="24"/>
          <w:szCs w:val="24"/>
          <w:lang w:val="en-GB"/>
        </w:rPr>
        <w:t>nomic and Monetary Review, (18)</w:t>
      </w:r>
    </w:p>
    <w:p w14:paraId="298A03B9" w14:textId="0CADD2E2"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Yao, S. P. (2011). The CFA Franc: A Colonial Currency that is Delaying Africa’s Development. Eur</w:t>
      </w:r>
      <w:r w:rsidR="00452567">
        <w:rPr>
          <w:rFonts w:ascii="Times New Roman" w:eastAsia="Calibri" w:hAnsi="Times New Roman" w:cs="Times New Roman"/>
          <w:sz w:val="24"/>
          <w:szCs w:val="24"/>
          <w:lang w:val="en-GB"/>
        </w:rPr>
        <w:t>opean Review of Social Law, 145</w:t>
      </w:r>
    </w:p>
    <w:p w14:paraId="69FE8EB5" w14:textId="2EBDA8D9" w:rsidR="00410A08" w:rsidRPr="00410A08"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ZHAO, Xiaodan and KIM, Yoonbai. Is the CFA Franc Zone an Optimum Currency Area? World Development, 2009, vol. 37, no. 12, pp. 1877-1886.</w:t>
      </w:r>
    </w:p>
    <w:p w14:paraId="3235D437" w14:textId="77777777" w:rsidR="00750ED1" w:rsidRPr="00750ED1" w:rsidRDefault="00750ED1" w:rsidP="00750ED1">
      <w:pPr>
        <w:jc w:val="both"/>
        <w:rPr>
          <w:rFonts w:ascii="Times New Roman" w:eastAsia="Calibri" w:hAnsi="Times New Roman" w:cs="Times New Roman"/>
          <w:sz w:val="24"/>
          <w:szCs w:val="24"/>
          <w:lang w:val="en-GB"/>
        </w:rPr>
      </w:pPr>
    </w:p>
    <w:sectPr w:rsidR="00750ED1" w:rsidRPr="00750ED1" w:rsidSect="00181E55">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84AEA" w14:textId="77777777" w:rsidR="00D3637A" w:rsidRDefault="00D3637A" w:rsidP="00DD4083">
      <w:pPr>
        <w:spacing w:after="0" w:line="240" w:lineRule="auto"/>
      </w:pPr>
      <w:r>
        <w:separator/>
      </w:r>
    </w:p>
  </w:endnote>
  <w:endnote w:type="continuationSeparator" w:id="0">
    <w:p w14:paraId="69AF7272" w14:textId="77777777" w:rsidR="00D3637A" w:rsidRDefault="00D3637A" w:rsidP="00DD4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0461324"/>
      <w:docPartObj>
        <w:docPartGallery w:val="Page Numbers (Bottom of Page)"/>
        <w:docPartUnique/>
      </w:docPartObj>
    </w:sdtPr>
    <w:sdtEndPr/>
    <w:sdtContent>
      <w:p w14:paraId="40D25D84" w14:textId="069AB5CC" w:rsidR="002E4F63" w:rsidRDefault="002E4F63">
        <w:pPr>
          <w:pStyle w:val="Footer"/>
        </w:pPr>
        <w:r>
          <w:rPr>
            <w:rFonts w:asciiTheme="majorHAnsi" w:eastAsiaTheme="majorEastAsia" w:hAnsiTheme="majorHAnsi" w:cstheme="majorBidi"/>
            <w:noProof/>
            <w:sz w:val="28"/>
            <w:szCs w:val="28"/>
            <w:lang w:val="en-GB" w:eastAsia="en-GB"/>
          </w:rPr>
          <mc:AlternateContent>
            <mc:Choice Requires="wps">
              <w:drawing>
                <wp:anchor distT="0" distB="0" distL="114300" distR="114300" simplePos="0" relativeHeight="251659264" behindDoc="0" locked="0" layoutInCell="1" allowOverlap="1" wp14:anchorId="62671624" wp14:editId="4270C144">
                  <wp:simplePos x="0" y="0"/>
                  <wp:positionH relativeFrom="margin">
                    <wp:align>center</wp:align>
                  </wp:positionH>
                  <wp:positionV relativeFrom="bottomMargin">
                    <wp:align>center</wp:align>
                  </wp:positionV>
                  <wp:extent cx="661670" cy="502920"/>
                  <wp:effectExtent l="9525" t="9525" r="5080" b="11430"/>
                  <wp:wrapNone/>
                  <wp:docPr id="1984241968" name="Scroll: Horizont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27C93FC4" w14:textId="77777777" w:rsidR="002E4F63" w:rsidRDefault="002E4F63">
                              <w:pPr>
                                <w:jc w:val="center"/>
                                <w:rPr>
                                  <w:color w:val="808080" w:themeColor="text1" w:themeTint="7F"/>
                                </w:rPr>
                              </w:pPr>
                              <w:r>
                                <w:fldChar w:fldCharType="begin"/>
                              </w:r>
                              <w:r>
                                <w:instrText xml:space="preserve"> PAGE    \* MERGEFORMAT </w:instrText>
                              </w:r>
                              <w:r>
                                <w:fldChar w:fldCharType="separate"/>
                              </w:r>
                              <w:r w:rsidR="00A435EB" w:rsidRPr="00A435EB">
                                <w:rPr>
                                  <w:noProof/>
                                  <w:color w:val="808080" w:themeColor="text1" w:themeTint="7F"/>
                                </w:rPr>
                                <w:t>1</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" adj="5400" filled="f" fillcolor="#17365d" strokecolor="#a5a5a5">
                  <v:textbox>
                    <w:txbxContent>
                      <w:p w14:paraId="27C93FC4" w14:textId="77777777" w:rsidR="002E4F63" w:rsidRDefault="002E4F63">
                        <w:pPr>
                          <w:jc w:val="center"/>
                          <w:rPr>
                            <w:color w:val="808080" w:themeColor="text1" w:themeTint="7F"/>
                          </w:rPr>
                        </w:pPr>
                        <w:r>
                          <w:fldChar w:fldCharType="begin"/>
                        </w:r>
                        <w:r>
                          <w:instrText xml:space="preserve"> PAGE    \* MERGEFORMAT </w:instrText>
                        </w:r>
                        <w:r>
                          <w:fldChar w:fldCharType="separate"/>
                        </w:r>
                        <w:r w:rsidR="00A435EB" w:rsidRPr="00A435EB">
                          <w:rPr>
                            <w:noProof/>
                            <w:color w:val="808080" w:themeColor="text1" w:themeTint="7F"/>
                          </w:rPr>
                          <w:t>1</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C646B3" w14:textId="77777777" w:rsidR="00D3637A" w:rsidRDefault="00D3637A" w:rsidP="00DD4083">
      <w:pPr>
        <w:spacing w:after="0" w:line="240" w:lineRule="auto"/>
      </w:pPr>
      <w:r>
        <w:separator/>
      </w:r>
    </w:p>
  </w:footnote>
  <w:footnote w:type="continuationSeparator" w:id="0">
    <w:p w14:paraId="1DE3343D" w14:textId="77777777" w:rsidR="00D3637A" w:rsidRDefault="00D3637A" w:rsidP="00DD40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C2B59"/>
    <w:multiLevelType w:val="hybridMultilevel"/>
    <w:tmpl w:val="5B043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54405EDC"/>
    <w:multiLevelType w:val="hybridMultilevel"/>
    <w:tmpl w:val="E3FA9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18C51DD"/>
    <w:multiLevelType w:val="hybridMultilevel"/>
    <w:tmpl w:val="8988B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22C"/>
    <w:rsid w:val="000011F5"/>
    <w:rsid w:val="000129BB"/>
    <w:rsid w:val="00013805"/>
    <w:rsid w:val="000173A0"/>
    <w:rsid w:val="00033DB7"/>
    <w:rsid w:val="000355DC"/>
    <w:rsid w:val="00035BE6"/>
    <w:rsid w:val="0004559C"/>
    <w:rsid w:val="000574CE"/>
    <w:rsid w:val="00060E54"/>
    <w:rsid w:val="0006516A"/>
    <w:rsid w:val="00084D13"/>
    <w:rsid w:val="00085324"/>
    <w:rsid w:val="00085CCF"/>
    <w:rsid w:val="00086377"/>
    <w:rsid w:val="00090B93"/>
    <w:rsid w:val="000922C0"/>
    <w:rsid w:val="00096216"/>
    <w:rsid w:val="00097BD1"/>
    <w:rsid w:val="000B222C"/>
    <w:rsid w:val="000B31BD"/>
    <w:rsid w:val="000B429F"/>
    <w:rsid w:val="000C1D2A"/>
    <w:rsid w:val="000C660B"/>
    <w:rsid w:val="000C778C"/>
    <w:rsid w:val="000D1B6F"/>
    <w:rsid w:val="000D5605"/>
    <w:rsid w:val="000F5898"/>
    <w:rsid w:val="00100EE8"/>
    <w:rsid w:val="001070EB"/>
    <w:rsid w:val="0011150A"/>
    <w:rsid w:val="0011384D"/>
    <w:rsid w:val="00115EB9"/>
    <w:rsid w:val="00123C96"/>
    <w:rsid w:val="001250C1"/>
    <w:rsid w:val="00125487"/>
    <w:rsid w:val="00141BFB"/>
    <w:rsid w:val="001432E5"/>
    <w:rsid w:val="00143C95"/>
    <w:rsid w:val="00146533"/>
    <w:rsid w:val="00146EE2"/>
    <w:rsid w:val="00154B2B"/>
    <w:rsid w:val="00154DA9"/>
    <w:rsid w:val="00161EC4"/>
    <w:rsid w:val="0016380B"/>
    <w:rsid w:val="001642F4"/>
    <w:rsid w:val="0016506D"/>
    <w:rsid w:val="00165EF8"/>
    <w:rsid w:val="00173F58"/>
    <w:rsid w:val="001742F6"/>
    <w:rsid w:val="00174AE5"/>
    <w:rsid w:val="00177AC2"/>
    <w:rsid w:val="00177C26"/>
    <w:rsid w:val="00181E55"/>
    <w:rsid w:val="00183363"/>
    <w:rsid w:val="00183F43"/>
    <w:rsid w:val="00187672"/>
    <w:rsid w:val="00190473"/>
    <w:rsid w:val="00190EAC"/>
    <w:rsid w:val="00197EF3"/>
    <w:rsid w:val="001A3E4A"/>
    <w:rsid w:val="001A4A90"/>
    <w:rsid w:val="001B0A7E"/>
    <w:rsid w:val="001B108E"/>
    <w:rsid w:val="001B3E42"/>
    <w:rsid w:val="001B53B2"/>
    <w:rsid w:val="001B6781"/>
    <w:rsid w:val="001E1F09"/>
    <w:rsid w:val="001E3EC7"/>
    <w:rsid w:val="001E6E94"/>
    <w:rsid w:val="001E7D6A"/>
    <w:rsid w:val="001F2969"/>
    <w:rsid w:val="001F2D33"/>
    <w:rsid w:val="001F33CB"/>
    <w:rsid w:val="001F43E5"/>
    <w:rsid w:val="00200CFE"/>
    <w:rsid w:val="00201598"/>
    <w:rsid w:val="0020531E"/>
    <w:rsid w:val="00207247"/>
    <w:rsid w:val="0020733D"/>
    <w:rsid w:val="002079F2"/>
    <w:rsid w:val="00211274"/>
    <w:rsid w:val="00213CE5"/>
    <w:rsid w:val="00215193"/>
    <w:rsid w:val="00215F51"/>
    <w:rsid w:val="0021776B"/>
    <w:rsid w:val="00222D92"/>
    <w:rsid w:val="00224F9D"/>
    <w:rsid w:val="002262F3"/>
    <w:rsid w:val="00230209"/>
    <w:rsid w:val="0023071E"/>
    <w:rsid w:val="002345DC"/>
    <w:rsid w:val="00237B15"/>
    <w:rsid w:val="00250032"/>
    <w:rsid w:val="00255374"/>
    <w:rsid w:val="002557C8"/>
    <w:rsid w:val="0025789F"/>
    <w:rsid w:val="00257944"/>
    <w:rsid w:val="002608A0"/>
    <w:rsid w:val="00262752"/>
    <w:rsid w:val="00264714"/>
    <w:rsid w:val="00264D59"/>
    <w:rsid w:val="002719D2"/>
    <w:rsid w:val="002775B4"/>
    <w:rsid w:val="002778ED"/>
    <w:rsid w:val="00281959"/>
    <w:rsid w:val="00282AD5"/>
    <w:rsid w:val="002865EC"/>
    <w:rsid w:val="00295C07"/>
    <w:rsid w:val="002A0429"/>
    <w:rsid w:val="002A309E"/>
    <w:rsid w:val="002C6439"/>
    <w:rsid w:val="002D0FA6"/>
    <w:rsid w:val="002D1F1B"/>
    <w:rsid w:val="002D32F6"/>
    <w:rsid w:val="002D6C4C"/>
    <w:rsid w:val="002E0CC2"/>
    <w:rsid w:val="002E4F63"/>
    <w:rsid w:val="002F5D92"/>
    <w:rsid w:val="002F7A61"/>
    <w:rsid w:val="003016CF"/>
    <w:rsid w:val="00304A1C"/>
    <w:rsid w:val="00307800"/>
    <w:rsid w:val="003133E7"/>
    <w:rsid w:val="003271CF"/>
    <w:rsid w:val="00327428"/>
    <w:rsid w:val="0032747F"/>
    <w:rsid w:val="0033001F"/>
    <w:rsid w:val="00330799"/>
    <w:rsid w:val="00333210"/>
    <w:rsid w:val="00333B01"/>
    <w:rsid w:val="00334DDE"/>
    <w:rsid w:val="003407B1"/>
    <w:rsid w:val="00341BAE"/>
    <w:rsid w:val="00346732"/>
    <w:rsid w:val="00351E93"/>
    <w:rsid w:val="00353144"/>
    <w:rsid w:val="00356056"/>
    <w:rsid w:val="00356623"/>
    <w:rsid w:val="003603EA"/>
    <w:rsid w:val="0036157A"/>
    <w:rsid w:val="00370FD1"/>
    <w:rsid w:val="00371CA5"/>
    <w:rsid w:val="003726CD"/>
    <w:rsid w:val="00372C59"/>
    <w:rsid w:val="00373C4E"/>
    <w:rsid w:val="003757AE"/>
    <w:rsid w:val="003762DF"/>
    <w:rsid w:val="003816ED"/>
    <w:rsid w:val="00382E0B"/>
    <w:rsid w:val="0038375C"/>
    <w:rsid w:val="0039184A"/>
    <w:rsid w:val="00393F66"/>
    <w:rsid w:val="0039487F"/>
    <w:rsid w:val="00396671"/>
    <w:rsid w:val="00397EAF"/>
    <w:rsid w:val="003A74FE"/>
    <w:rsid w:val="003B63AB"/>
    <w:rsid w:val="003B7C2E"/>
    <w:rsid w:val="003B7C6F"/>
    <w:rsid w:val="003C09EC"/>
    <w:rsid w:val="003C6A57"/>
    <w:rsid w:val="003E27C6"/>
    <w:rsid w:val="003E3BE0"/>
    <w:rsid w:val="003F1E10"/>
    <w:rsid w:val="003F5C1B"/>
    <w:rsid w:val="00400010"/>
    <w:rsid w:val="004003AB"/>
    <w:rsid w:val="0040265F"/>
    <w:rsid w:val="00406B6A"/>
    <w:rsid w:val="00410A08"/>
    <w:rsid w:val="0041538C"/>
    <w:rsid w:val="00420D50"/>
    <w:rsid w:val="00423CE7"/>
    <w:rsid w:val="00430078"/>
    <w:rsid w:val="00433260"/>
    <w:rsid w:val="0043386D"/>
    <w:rsid w:val="00437A19"/>
    <w:rsid w:val="00444EA0"/>
    <w:rsid w:val="004450EA"/>
    <w:rsid w:val="00447EC0"/>
    <w:rsid w:val="00452567"/>
    <w:rsid w:val="00461588"/>
    <w:rsid w:val="0046190F"/>
    <w:rsid w:val="00462214"/>
    <w:rsid w:val="004627F4"/>
    <w:rsid w:val="00463804"/>
    <w:rsid w:val="00466034"/>
    <w:rsid w:val="00471F3D"/>
    <w:rsid w:val="00481226"/>
    <w:rsid w:val="00482466"/>
    <w:rsid w:val="00490F0C"/>
    <w:rsid w:val="004924F8"/>
    <w:rsid w:val="00494255"/>
    <w:rsid w:val="00496262"/>
    <w:rsid w:val="004A0B64"/>
    <w:rsid w:val="004A76E0"/>
    <w:rsid w:val="004A7D3A"/>
    <w:rsid w:val="004C29DB"/>
    <w:rsid w:val="004C5610"/>
    <w:rsid w:val="004E0ACC"/>
    <w:rsid w:val="004E2EC2"/>
    <w:rsid w:val="004E4F3F"/>
    <w:rsid w:val="004F0EF4"/>
    <w:rsid w:val="004F7245"/>
    <w:rsid w:val="004F73C6"/>
    <w:rsid w:val="00501834"/>
    <w:rsid w:val="00521854"/>
    <w:rsid w:val="00521FAE"/>
    <w:rsid w:val="0052519F"/>
    <w:rsid w:val="0052763D"/>
    <w:rsid w:val="0053275E"/>
    <w:rsid w:val="005353D7"/>
    <w:rsid w:val="00537763"/>
    <w:rsid w:val="00537A5E"/>
    <w:rsid w:val="005413DD"/>
    <w:rsid w:val="00543956"/>
    <w:rsid w:val="005478E0"/>
    <w:rsid w:val="00553900"/>
    <w:rsid w:val="00553F26"/>
    <w:rsid w:val="0055561D"/>
    <w:rsid w:val="0055626F"/>
    <w:rsid w:val="00560053"/>
    <w:rsid w:val="00560447"/>
    <w:rsid w:val="00566AC0"/>
    <w:rsid w:val="00567AC4"/>
    <w:rsid w:val="00575F78"/>
    <w:rsid w:val="005769CC"/>
    <w:rsid w:val="00583A21"/>
    <w:rsid w:val="0059566B"/>
    <w:rsid w:val="005A34D4"/>
    <w:rsid w:val="005B7AC7"/>
    <w:rsid w:val="005C039D"/>
    <w:rsid w:val="005C0D4F"/>
    <w:rsid w:val="005C6C2A"/>
    <w:rsid w:val="005C7954"/>
    <w:rsid w:val="005D4174"/>
    <w:rsid w:val="005D6149"/>
    <w:rsid w:val="005D68B4"/>
    <w:rsid w:val="005D723A"/>
    <w:rsid w:val="005E198B"/>
    <w:rsid w:val="005E4416"/>
    <w:rsid w:val="005E6995"/>
    <w:rsid w:val="005E6B28"/>
    <w:rsid w:val="005F2412"/>
    <w:rsid w:val="005F50EE"/>
    <w:rsid w:val="005F5E86"/>
    <w:rsid w:val="005F60D1"/>
    <w:rsid w:val="00610098"/>
    <w:rsid w:val="00613ABD"/>
    <w:rsid w:val="006211CD"/>
    <w:rsid w:val="006234B7"/>
    <w:rsid w:val="0062480C"/>
    <w:rsid w:val="0063203B"/>
    <w:rsid w:val="00632079"/>
    <w:rsid w:val="00632DAF"/>
    <w:rsid w:val="006420FA"/>
    <w:rsid w:val="00642765"/>
    <w:rsid w:val="006468BC"/>
    <w:rsid w:val="006508D9"/>
    <w:rsid w:val="00650D4E"/>
    <w:rsid w:val="0065110F"/>
    <w:rsid w:val="00653FB6"/>
    <w:rsid w:val="006606AC"/>
    <w:rsid w:val="00673B32"/>
    <w:rsid w:val="00680003"/>
    <w:rsid w:val="006843D8"/>
    <w:rsid w:val="00691A6A"/>
    <w:rsid w:val="00691B6A"/>
    <w:rsid w:val="00692CBD"/>
    <w:rsid w:val="006A4D68"/>
    <w:rsid w:val="006B3539"/>
    <w:rsid w:val="006C635E"/>
    <w:rsid w:val="006C782B"/>
    <w:rsid w:val="006C7FBD"/>
    <w:rsid w:val="006D076F"/>
    <w:rsid w:val="006D7F83"/>
    <w:rsid w:val="006E4B03"/>
    <w:rsid w:val="006E7389"/>
    <w:rsid w:val="006F10F8"/>
    <w:rsid w:val="006F1404"/>
    <w:rsid w:val="006F49CF"/>
    <w:rsid w:val="006F54E3"/>
    <w:rsid w:val="006F7A69"/>
    <w:rsid w:val="0070426A"/>
    <w:rsid w:val="00706080"/>
    <w:rsid w:val="007068F7"/>
    <w:rsid w:val="0071025A"/>
    <w:rsid w:val="00711419"/>
    <w:rsid w:val="00725898"/>
    <w:rsid w:val="00730A8C"/>
    <w:rsid w:val="007424C5"/>
    <w:rsid w:val="007474D9"/>
    <w:rsid w:val="00750ED1"/>
    <w:rsid w:val="0075267D"/>
    <w:rsid w:val="007540A9"/>
    <w:rsid w:val="00754EE4"/>
    <w:rsid w:val="00756643"/>
    <w:rsid w:val="007652FA"/>
    <w:rsid w:val="007944D2"/>
    <w:rsid w:val="007A026C"/>
    <w:rsid w:val="007A580F"/>
    <w:rsid w:val="007B468E"/>
    <w:rsid w:val="007C2A9B"/>
    <w:rsid w:val="007D6202"/>
    <w:rsid w:val="007D62B3"/>
    <w:rsid w:val="007D741D"/>
    <w:rsid w:val="007E38F3"/>
    <w:rsid w:val="007E5CF5"/>
    <w:rsid w:val="007E7901"/>
    <w:rsid w:val="007F142C"/>
    <w:rsid w:val="007F4298"/>
    <w:rsid w:val="0080022E"/>
    <w:rsid w:val="00805719"/>
    <w:rsid w:val="00805DB2"/>
    <w:rsid w:val="00805F2C"/>
    <w:rsid w:val="008119AB"/>
    <w:rsid w:val="00812C71"/>
    <w:rsid w:val="00813C20"/>
    <w:rsid w:val="00823DAD"/>
    <w:rsid w:val="00831201"/>
    <w:rsid w:val="008368E2"/>
    <w:rsid w:val="00845F90"/>
    <w:rsid w:val="00851180"/>
    <w:rsid w:val="0085355D"/>
    <w:rsid w:val="00855BE4"/>
    <w:rsid w:val="00857FE5"/>
    <w:rsid w:val="0086223D"/>
    <w:rsid w:val="008652B4"/>
    <w:rsid w:val="008841CC"/>
    <w:rsid w:val="008924F2"/>
    <w:rsid w:val="0089450D"/>
    <w:rsid w:val="00896703"/>
    <w:rsid w:val="008A14C3"/>
    <w:rsid w:val="008A219B"/>
    <w:rsid w:val="008A2E67"/>
    <w:rsid w:val="008A4C37"/>
    <w:rsid w:val="008A4CF8"/>
    <w:rsid w:val="008A7387"/>
    <w:rsid w:val="008B7B3C"/>
    <w:rsid w:val="008C1C6C"/>
    <w:rsid w:val="008C6698"/>
    <w:rsid w:val="008C694F"/>
    <w:rsid w:val="008D0901"/>
    <w:rsid w:val="008D2652"/>
    <w:rsid w:val="008D7499"/>
    <w:rsid w:val="008F17CD"/>
    <w:rsid w:val="008F33EB"/>
    <w:rsid w:val="008F6C37"/>
    <w:rsid w:val="00905CD2"/>
    <w:rsid w:val="00910932"/>
    <w:rsid w:val="00912D94"/>
    <w:rsid w:val="00913889"/>
    <w:rsid w:val="00917107"/>
    <w:rsid w:val="00917760"/>
    <w:rsid w:val="00922378"/>
    <w:rsid w:val="009328A8"/>
    <w:rsid w:val="009530F7"/>
    <w:rsid w:val="009569FA"/>
    <w:rsid w:val="00956CE1"/>
    <w:rsid w:val="00960654"/>
    <w:rsid w:val="00962DF6"/>
    <w:rsid w:val="0096334E"/>
    <w:rsid w:val="009644EB"/>
    <w:rsid w:val="00966EF9"/>
    <w:rsid w:val="00970076"/>
    <w:rsid w:val="009720E9"/>
    <w:rsid w:val="00976159"/>
    <w:rsid w:val="00977A53"/>
    <w:rsid w:val="009924A3"/>
    <w:rsid w:val="00992839"/>
    <w:rsid w:val="00994B21"/>
    <w:rsid w:val="00996815"/>
    <w:rsid w:val="009A02DC"/>
    <w:rsid w:val="009A43AE"/>
    <w:rsid w:val="009A5584"/>
    <w:rsid w:val="009A558D"/>
    <w:rsid w:val="009A63D0"/>
    <w:rsid w:val="009B5CB0"/>
    <w:rsid w:val="009B63B2"/>
    <w:rsid w:val="009B7017"/>
    <w:rsid w:val="009C2D9A"/>
    <w:rsid w:val="009C4EDA"/>
    <w:rsid w:val="009C506E"/>
    <w:rsid w:val="009C6409"/>
    <w:rsid w:val="009D3170"/>
    <w:rsid w:val="009D3C9A"/>
    <w:rsid w:val="009E1B1D"/>
    <w:rsid w:val="009F18F7"/>
    <w:rsid w:val="009F2228"/>
    <w:rsid w:val="009F3452"/>
    <w:rsid w:val="009F44B9"/>
    <w:rsid w:val="009F7C43"/>
    <w:rsid w:val="00A0493E"/>
    <w:rsid w:val="00A04F30"/>
    <w:rsid w:val="00A055FD"/>
    <w:rsid w:val="00A10A3F"/>
    <w:rsid w:val="00A14D52"/>
    <w:rsid w:val="00A2321E"/>
    <w:rsid w:val="00A241F9"/>
    <w:rsid w:val="00A35869"/>
    <w:rsid w:val="00A36523"/>
    <w:rsid w:val="00A42331"/>
    <w:rsid w:val="00A435EB"/>
    <w:rsid w:val="00A46375"/>
    <w:rsid w:val="00A47340"/>
    <w:rsid w:val="00A5763E"/>
    <w:rsid w:val="00A57E3E"/>
    <w:rsid w:val="00A647D8"/>
    <w:rsid w:val="00A6653A"/>
    <w:rsid w:val="00A708AF"/>
    <w:rsid w:val="00A71FA5"/>
    <w:rsid w:val="00A721C7"/>
    <w:rsid w:val="00A7537E"/>
    <w:rsid w:val="00A7795C"/>
    <w:rsid w:val="00A77E52"/>
    <w:rsid w:val="00A81524"/>
    <w:rsid w:val="00A81CDD"/>
    <w:rsid w:val="00AA10B8"/>
    <w:rsid w:val="00AA256A"/>
    <w:rsid w:val="00AA4D12"/>
    <w:rsid w:val="00AA73CC"/>
    <w:rsid w:val="00AB006F"/>
    <w:rsid w:val="00AB09D6"/>
    <w:rsid w:val="00AB7C6E"/>
    <w:rsid w:val="00AB7DE9"/>
    <w:rsid w:val="00AC2F7E"/>
    <w:rsid w:val="00AC3F71"/>
    <w:rsid w:val="00AC512F"/>
    <w:rsid w:val="00AC59A5"/>
    <w:rsid w:val="00AC5BD2"/>
    <w:rsid w:val="00AD0817"/>
    <w:rsid w:val="00AE05AC"/>
    <w:rsid w:val="00AE1E6E"/>
    <w:rsid w:val="00AE2BCB"/>
    <w:rsid w:val="00AF44B4"/>
    <w:rsid w:val="00AF70B4"/>
    <w:rsid w:val="00AF7135"/>
    <w:rsid w:val="00AF798B"/>
    <w:rsid w:val="00AF7E30"/>
    <w:rsid w:val="00B019C7"/>
    <w:rsid w:val="00B111E1"/>
    <w:rsid w:val="00B147CC"/>
    <w:rsid w:val="00B15D05"/>
    <w:rsid w:val="00B17706"/>
    <w:rsid w:val="00B20B3A"/>
    <w:rsid w:val="00B20D7E"/>
    <w:rsid w:val="00B218BA"/>
    <w:rsid w:val="00B246FE"/>
    <w:rsid w:val="00B25E6F"/>
    <w:rsid w:val="00B2768E"/>
    <w:rsid w:val="00B3317E"/>
    <w:rsid w:val="00B3797A"/>
    <w:rsid w:val="00B42032"/>
    <w:rsid w:val="00B44ED1"/>
    <w:rsid w:val="00B45FEA"/>
    <w:rsid w:val="00B520D6"/>
    <w:rsid w:val="00B52634"/>
    <w:rsid w:val="00B566FF"/>
    <w:rsid w:val="00B61219"/>
    <w:rsid w:val="00B66877"/>
    <w:rsid w:val="00B668B6"/>
    <w:rsid w:val="00B66FC7"/>
    <w:rsid w:val="00B76FB9"/>
    <w:rsid w:val="00B832A1"/>
    <w:rsid w:val="00B862BD"/>
    <w:rsid w:val="00B905F6"/>
    <w:rsid w:val="00B90955"/>
    <w:rsid w:val="00B92A4A"/>
    <w:rsid w:val="00B95D22"/>
    <w:rsid w:val="00B95F45"/>
    <w:rsid w:val="00B9659E"/>
    <w:rsid w:val="00BA1012"/>
    <w:rsid w:val="00BA252C"/>
    <w:rsid w:val="00BB0133"/>
    <w:rsid w:val="00BB1841"/>
    <w:rsid w:val="00BB4127"/>
    <w:rsid w:val="00BC2376"/>
    <w:rsid w:val="00BC3F1D"/>
    <w:rsid w:val="00BC7311"/>
    <w:rsid w:val="00BD589A"/>
    <w:rsid w:val="00BD640E"/>
    <w:rsid w:val="00BE0BD7"/>
    <w:rsid w:val="00BE36DF"/>
    <w:rsid w:val="00BE72E4"/>
    <w:rsid w:val="00BF532A"/>
    <w:rsid w:val="00BF7332"/>
    <w:rsid w:val="00C00590"/>
    <w:rsid w:val="00C03791"/>
    <w:rsid w:val="00C11123"/>
    <w:rsid w:val="00C1171C"/>
    <w:rsid w:val="00C13B06"/>
    <w:rsid w:val="00C15E52"/>
    <w:rsid w:val="00C2300D"/>
    <w:rsid w:val="00C24CC3"/>
    <w:rsid w:val="00C2734A"/>
    <w:rsid w:val="00C33905"/>
    <w:rsid w:val="00C33D0B"/>
    <w:rsid w:val="00C3536B"/>
    <w:rsid w:val="00C35D11"/>
    <w:rsid w:val="00C3633E"/>
    <w:rsid w:val="00C403CA"/>
    <w:rsid w:val="00C43763"/>
    <w:rsid w:val="00C474F2"/>
    <w:rsid w:val="00C47780"/>
    <w:rsid w:val="00C50635"/>
    <w:rsid w:val="00C5499F"/>
    <w:rsid w:val="00C56821"/>
    <w:rsid w:val="00C62F23"/>
    <w:rsid w:val="00C64E96"/>
    <w:rsid w:val="00C6573F"/>
    <w:rsid w:val="00C67ECD"/>
    <w:rsid w:val="00C7094B"/>
    <w:rsid w:val="00C7166E"/>
    <w:rsid w:val="00C82022"/>
    <w:rsid w:val="00C92917"/>
    <w:rsid w:val="00C92F35"/>
    <w:rsid w:val="00C94A4B"/>
    <w:rsid w:val="00C96B4B"/>
    <w:rsid w:val="00C974E7"/>
    <w:rsid w:val="00CA1FF6"/>
    <w:rsid w:val="00CA7B5B"/>
    <w:rsid w:val="00CB111E"/>
    <w:rsid w:val="00CB1D14"/>
    <w:rsid w:val="00CB28D5"/>
    <w:rsid w:val="00CB2EBE"/>
    <w:rsid w:val="00CD202F"/>
    <w:rsid w:val="00CD5B4D"/>
    <w:rsid w:val="00CE1707"/>
    <w:rsid w:val="00CE1798"/>
    <w:rsid w:val="00CE5307"/>
    <w:rsid w:val="00CE716F"/>
    <w:rsid w:val="00CE7992"/>
    <w:rsid w:val="00D036C1"/>
    <w:rsid w:val="00D0646A"/>
    <w:rsid w:val="00D12A1C"/>
    <w:rsid w:val="00D12D63"/>
    <w:rsid w:val="00D148EA"/>
    <w:rsid w:val="00D17300"/>
    <w:rsid w:val="00D20182"/>
    <w:rsid w:val="00D27EDB"/>
    <w:rsid w:val="00D30DF7"/>
    <w:rsid w:val="00D34C43"/>
    <w:rsid w:val="00D3637A"/>
    <w:rsid w:val="00D44C78"/>
    <w:rsid w:val="00D50DA9"/>
    <w:rsid w:val="00D5131E"/>
    <w:rsid w:val="00D5241B"/>
    <w:rsid w:val="00D53476"/>
    <w:rsid w:val="00D57DC1"/>
    <w:rsid w:val="00D64D19"/>
    <w:rsid w:val="00D729C5"/>
    <w:rsid w:val="00D75E2E"/>
    <w:rsid w:val="00D76214"/>
    <w:rsid w:val="00D762C5"/>
    <w:rsid w:val="00D804F8"/>
    <w:rsid w:val="00D831FC"/>
    <w:rsid w:val="00D9085D"/>
    <w:rsid w:val="00D96F49"/>
    <w:rsid w:val="00DA3D7B"/>
    <w:rsid w:val="00DA7552"/>
    <w:rsid w:val="00DB3647"/>
    <w:rsid w:val="00DB5C5B"/>
    <w:rsid w:val="00DB5C7E"/>
    <w:rsid w:val="00DC4342"/>
    <w:rsid w:val="00DC618D"/>
    <w:rsid w:val="00DD02EF"/>
    <w:rsid w:val="00DD4083"/>
    <w:rsid w:val="00DD78C9"/>
    <w:rsid w:val="00DE57C0"/>
    <w:rsid w:val="00DF258F"/>
    <w:rsid w:val="00DF2AD9"/>
    <w:rsid w:val="00DF6680"/>
    <w:rsid w:val="00E031D2"/>
    <w:rsid w:val="00E04A8E"/>
    <w:rsid w:val="00E05DA9"/>
    <w:rsid w:val="00E21BC9"/>
    <w:rsid w:val="00E21DB7"/>
    <w:rsid w:val="00E301C5"/>
    <w:rsid w:val="00E33ABB"/>
    <w:rsid w:val="00E40124"/>
    <w:rsid w:val="00E45B02"/>
    <w:rsid w:val="00E47F10"/>
    <w:rsid w:val="00E5043B"/>
    <w:rsid w:val="00E53215"/>
    <w:rsid w:val="00E54935"/>
    <w:rsid w:val="00E61A1F"/>
    <w:rsid w:val="00E702CD"/>
    <w:rsid w:val="00E746AF"/>
    <w:rsid w:val="00E81A4C"/>
    <w:rsid w:val="00E81E81"/>
    <w:rsid w:val="00E84064"/>
    <w:rsid w:val="00E87EE0"/>
    <w:rsid w:val="00E90FD0"/>
    <w:rsid w:val="00E92012"/>
    <w:rsid w:val="00E9365C"/>
    <w:rsid w:val="00E93E09"/>
    <w:rsid w:val="00E94420"/>
    <w:rsid w:val="00E96487"/>
    <w:rsid w:val="00EA4A76"/>
    <w:rsid w:val="00EA5021"/>
    <w:rsid w:val="00EA5976"/>
    <w:rsid w:val="00EB2463"/>
    <w:rsid w:val="00EB61AE"/>
    <w:rsid w:val="00EB727F"/>
    <w:rsid w:val="00EC08C2"/>
    <w:rsid w:val="00EC5E3D"/>
    <w:rsid w:val="00ED6357"/>
    <w:rsid w:val="00ED7C98"/>
    <w:rsid w:val="00EE0D1E"/>
    <w:rsid w:val="00EF2049"/>
    <w:rsid w:val="00EF24C6"/>
    <w:rsid w:val="00EF2FB2"/>
    <w:rsid w:val="00EF4EA7"/>
    <w:rsid w:val="00EF50A0"/>
    <w:rsid w:val="00F03201"/>
    <w:rsid w:val="00F037E1"/>
    <w:rsid w:val="00F11F6B"/>
    <w:rsid w:val="00F12021"/>
    <w:rsid w:val="00F12425"/>
    <w:rsid w:val="00F153EF"/>
    <w:rsid w:val="00F265B2"/>
    <w:rsid w:val="00F304D8"/>
    <w:rsid w:val="00F36715"/>
    <w:rsid w:val="00F36D41"/>
    <w:rsid w:val="00F400E3"/>
    <w:rsid w:val="00F43C0F"/>
    <w:rsid w:val="00F446E0"/>
    <w:rsid w:val="00F44B95"/>
    <w:rsid w:val="00F461BD"/>
    <w:rsid w:val="00F52097"/>
    <w:rsid w:val="00F5273C"/>
    <w:rsid w:val="00F53663"/>
    <w:rsid w:val="00F53705"/>
    <w:rsid w:val="00F70906"/>
    <w:rsid w:val="00F72167"/>
    <w:rsid w:val="00F74041"/>
    <w:rsid w:val="00F7492D"/>
    <w:rsid w:val="00F83A30"/>
    <w:rsid w:val="00F83C72"/>
    <w:rsid w:val="00F84D55"/>
    <w:rsid w:val="00F86E4F"/>
    <w:rsid w:val="00F92BD2"/>
    <w:rsid w:val="00FA2BFC"/>
    <w:rsid w:val="00FA4E1C"/>
    <w:rsid w:val="00FA674F"/>
    <w:rsid w:val="00FA7EA3"/>
    <w:rsid w:val="00FB55C3"/>
    <w:rsid w:val="00FB582B"/>
    <w:rsid w:val="00FC00A5"/>
    <w:rsid w:val="00FC699A"/>
    <w:rsid w:val="00FE00F7"/>
    <w:rsid w:val="00FF0F40"/>
    <w:rsid w:val="00FF7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DE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222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B222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B222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B222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B222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B2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22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B222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B222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B222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B222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B2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22C"/>
    <w:rPr>
      <w:rFonts w:eastAsiaTheme="majorEastAsia" w:cstheme="majorBidi"/>
      <w:color w:val="272727" w:themeColor="text1" w:themeTint="D8"/>
    </w:rPr>
  </w:style>
  <w:style w:type="paragraph" w:styleId="Title">
    <w:name w:val="Title"/>
    <w:basedOn w:val="Normal"/>
    <w:next w:val="Normal"/>
    <w:link w:val="TitleChar"/>
    <w:uiPriority w:val="10"/>
    <w:qFormat/>
    <w:rsid w:val="000B2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22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2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222C"/>
    <w:rPr>
      <w:i/>
      <w:iCs/>
      <w:color w:val="404040" w:themeColor="text1" w:themeTint="BF"/>
    </w:rPr>
  </w:style>
  <w:style w:type="paragraph" w:styleId="ListParagraph">
    <w:name w:val="List Paragraph"/>
    <w:basedOn w:val="Normal"/>
    <w:uiPriority w:val="34"/>
    <w:qFormat/>
    <w:rsid w:val="000B222C"/>
    <w:pPr>
      <w:ind w:left="720"/>
      <w:contextualSpacing/>
    </w:pPr>
  </w:style>
  <w:style w:type="character" w:styleId="IntenseEmphasis">
    <w:name w:val="Intense Emphasis"/>
    <w:basedOn w:val="DefaultParagraphFont"/>
    <w:uiPriority w:val="21"/>
    <w:qFormat/>
    <w:rsid w:val="000B222C"/>
    <w:rPr>
      <w:i/>
      <w:iCs/>
      <w:color w:val="365F91" w:themeColor="accent1" w:themeShade="BF"/>
    </w:rPr>
  </w:style>
  <w:style w:type="paragraph" w:styleId="IntenseQuote">
    <w:name w:val="Intense Quote"/>
    <w:basedOn w:val="Normal"/>
    <w:next w:val="Normal"/>
    <w:link w:val="IntenseQuoteChar"/>
    <w:uiPriority w:val="30"/>
    <w:qFormat/>
    <w:rsid w:val="000B22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B222C"/>
    <w:rPr>
      <w:i/>
      <w:iCs/>
      <w:color w:val="365F91" w:themeColor="accent1" w:themeShade="BF"/>
    </w:rPr>
  </w:style>
  <w:style w:type="character" w:styleId="IntenseReference">
    <w:name w:val="Intense Reference"/>
    <w:basedOn w:val="DefaultParagraphFont"/>
    <w:uiPriority w:val="32"/>
    <w:qFormat/>
    <w:rsid w:val="000B222C"/>
    <w:rPr>
      <w:b/>
      <w:bCs/>
      <w:smallCaps/>
      <w:color w:val="365F91" w:themeColor="accent1" w:themeShade="BF"/>
      <w:spacing w:val="5"/>
    </w:rPr>
  </w:style>
  <w:style w:type="character" w:styleId="Hyperlink">
    <w:name w:val="Hyperlink"/>
    <w:basedOn w:val="DefaultParagraphFont"/>
    <w:uiPriority w:val="99"/>
    <w:unhideWhenUsed/>
    <w:rsid w:val="00553F26"/>
    <w:rPr>
      <w:color w:val="0000FF" w:themeColor="hyperlink"/>
      <w:u w:val="single"/>
    </w:rPr>
  </w:style>
  <w:style w:type="character" w:customStyle="1" w:styleId="UnresolvedMention1">
    <w:name w:val="Unresolved Mention1"/>
    <w:basedOn w:val="DefaultParagraphFont"/>
    <w:uiPriority w:val="99"/>
    <w:semiHidden/>
    <w:unhideWhenUsed/>
    <w:rsid w:val="00553F26"/>
    <w:rPr>
      <w:color w:val="605E5C"/>
      <w:shd w:val="clear" w:color="auto" w:fill="E1DFDD"/>
    </w:rPr>
  </w:style>
  <w:style w:type="paragraph" w:styleId="BalloonText">
    <w:name w:val="Balloon Text"/>
    <w:basedOn w:val="Normal"/>
    <w:link w:val="BalloonTextChar"/>
    <w:uiPriority w:val="99"/>
    <w:semiHidden/>
    <w:unhideWhenUsed/>
    <w:rsid w:val="00F43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C0F"/>
    <w:rPr>
      <w:rFonts w:ascii="Tahoma" w:hAnsi="Tahoma" w:cs="Tahoma"/>
      <w:sz w:val="16"/>
      <w:szCs w:val="16"/>
    </w:rPr>
  </w:style>
  <w:style w:type="paragraph" w:styleId="EndnoteText">
    <w:name w:val="endnote text"/>
    <w:basedOn w:val="Normal"/>
    <w:link w:val="EndnoteTextChar"/>
    <w:uiPriority w:val="99"/>
    <w:semiHidden/>
    <w:unhideWhenUsed/>
    <w:rsid w:val="00DD408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4083"/>
    <w:rPr>
      <w:sz w:val="20"/>
      <w:szCs w:val="20"/>
    </w:rPr>
  </w:style>
  <w:style w:type="character" w:styleId="EndnoteReference">
    <w:name w:val="endnote reference"/>
    <w:basedOn w:val="DefaultParagraphFont"/>
    <w:uiPriority w:val="99"/>
    <w:semiHidden/>
    <w:unhideWhenUsed/>
    <w:rsid w:val="00DD4083"/>
    <w:rPr>
      <w:vertAlign w:val="superscript"/>
    </w:rPr>
  </w:style>
  <w:style w:type="paragraph" w:styleId="Header">
    <w:name w:val="header"/>
    <w:basedOn w:val="Normal"/>
    <w:link w:val="HeaderChar"/>
    <w:uiPriority w:val="99"/>
    <w:unhideWhenUsed/>
    <w:rsid w:val="002E4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F63"/>
  </w:style>
  <w:style w:type="paragraph" w:styleId="Footer">
    <w:name w:val="footer"/>
    <w:basedOn w:val="Normal"/>
    <w:link w:val="FooterChar"/>
    <w:uiPriority w:val="99"/>
    <w:unhideWhenUsed/>
    <w:rsid w:val="002E4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F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222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B222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B222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B222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B222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B2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22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B222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B222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B222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B222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B2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22C"/>
    <w:rPr>
      <w:rFonts w:eastAsiaTheme="majorEastAsia" w:cstheme="majorBidi"/>
      <w:color w:val="272727" w:themeColor="text1" w:themeTint="D8"/>
    </w:rPr>
  </w:style>
  <w:style w:type="paragraph" w:styleId="Title">
    <w:name w:val="Title"/>
    <w:basedOn w:val="Normal"/>
    <w:next w:val="Normal"/>
    <w:link w:val="TitleChar"/>
    <w:uiPriority w:val="10"/>
    <w:qFormat/>
    <w:rsid w:val="000B2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22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2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222C"/>
    <w:rPr>
      <w:i/>
      <w:iCs/>
      <w:color w:val="404040" w:themeColor="text1" w:themeTint="BF"/>
    </w:rPr>
  </w:style>
  <w:style w:type="paragraph" w:styleId="ListParagraph">
    <w:name w:val="List Paragraph"/>
    <w:basedOn w:val="Normal"/>
    <w:uiPriority w:val="34"/>
    <w:qFormat/>
    <w:rsid w:val="000B222C"/>
    <w:pPr>
      <w:ind w:left="720"/>
      <w:contextualSpacing/>
    </w:pPr>
  </w:style>
  <w:style w:type="character" w:styleId="IntenseEmphasis">
    <w:name w:val="Intense Emphasis"/>
    <w:basedOn w:val="DefaultParagraphFont"/>
    <w:uiPriority w:val="21"/>
    <w:qFormat/>
    <w:rsid w:val="000B222C"/>
    <w:rPr>
      <w:i/>
      <w:iCs/>
      <w:color w:val="365F91" w:themeColor="accent1" w:themeShade="BF"/>
    </w:rPr>
  </w:style>
  <w:style w:type="paragraph" w:styleId="IntenseQuote">
    <w:name w:val="Intense Quote"/>
    <w:basedOn w:val="Normal"/>
    <w:next w:val="Normal"/>
    <w:link w:val="IntenseQuoteChar"/>
    <w:uiPriority w:val="30"/>
    <w:qFormat/>
    <w:rsid w:val="000B22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B222C"/>
    <w:rPr>
      <w:i/>
      <w:iCs/>
      <w:color w:val="365F91" w:themeColor="accent1" w:themeShade="BF"/>
    </w:rPr>
  </w:style>
  <w:style w:type="character" w:styleId="IntenseReference">
    <w:name w:val="Intense Reference"/>
    <w:basedOn w:val="DefaultParagraphFont"/>
    <w:uiPriority w:val="32"/>
    <w:qFormat/>
    <w:rsid w:val="000B222C"/>
    <w:rPr>
      <w:b/>
      <w:bCs/>
      <w:smallCaps/>
      <w:color w:val="365F91" w:themeColor="accent1" w:themeShade="BF"/>
      <w:spacing w:val="5"/>
    </w:rPr>
  </w:style>
  <w:style w:type="character" w:styleId="Hyperlink">
    <w:name w:val="Hyperlink"/>
    <w:basedOn w:val="DefaultParagraphFont"/>
    <w:uiPriority w:val="99"/>
    <w:unhideWhenUsed/>
    <w:rsid w:val="00553F26"/>
    <w:rPr>
      <w:color w:val="0000FF" w:themeColor="hyperlink"/>
      <w:u w:val="single"/>
    </w:rPr>
  </w:style>
  <w:style w:type="character" w:customStyle="1" w:styleId="UnresolvedMention1">
    <w:name w:val="Unresolved Mention1"/>
    <w:basedOn w:val="DefaultParagraphFont"/>
    <w:uiPriority w:val="99"/>
    <w:semiHidden/>
    <w:unhideWhenUsed/>
    <w:rsid w:val="00553F26"/>
    <w:rPr>
      <w:color w:val="605E5C"/>
      <w:shd w:val="clear" w:color="auto" w:fill="E1DFDD"/>
    </w:rPr>
  </w:style>
  <w:style w:type="paragraph" w:styleId="BalloonText">
    <w:name w:val="Balloon Text"/>
    <w:basedOn w:val="Normal"/>
    <w:link w:val="BalloonTextChar"/>
    <w:uiPriority w:val="99"/>
    <w:semiHidden/>
    <w:unhideWhenUsed/>
    <w:rsid w:val="00F43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C0F"/>
    <w:rPr>
      <w:rFonts w:ascii="Tahoma" w:hAnsi="Tahoma" w:cs="Tahoma"/>
      <w:sz w:val="16"/>
      <w:szCs w:val="16"/>
    </w:rPr>
  </w:style>
  <w:style w:type="paragraph" w:styleId="EndnoteText">
    <w:name w:val="endnote text"/>
    <w:basedOn w:val="Normal"/>
    <w:link w:val="EndnoteTextChar"/>
    <w:uiPriority w:val="99"/>
    <w:semiHidden/>
    <w:unhideWhenUsed/>
    <w:rsid w:val="00DD408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4083"/>
    <w:rPr>
      <w:sz w:val="20"/>
      <w:szCs w:val="20"/>
    </w:rPr>
  </w:style>
  <w:style w:type="character" w:styleId="EndnoteReference">
    <w:name w:val="endnote reference"/>
    <w:basedOn w:val="DefaultParagraphFont"/>
    <w:uiPriority w:val="99"/>
    <w:semiHidden/>
    <w:unhideWhenUsed/>
    <w:rsid w:val="00DD4083"/>
    <w:rPr>
      <w:vertAlign w:val="superscript"/>
    </w:rPr>
  </w:style>
  <w:style w:type="paragraph" w:styleId="Header">
    <w:name w:val="header"/>
    <w:basedOn w:val="Normal"/>
    <w:link w:val="HeaderChar"/>
    <w:uiPriority w:val="99"/>
    <w:unhideWhenUsed/>
    <w:rsid w:val="002E4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F63"/>
  </w:style>
  <w:style w:type="paragraph" w:styleId="Footer">
    <w:name w:val="footer"/>
    <w:basedOn w:val="Normal"/>
    <w:link w:val="FooterChar"/>
    <w:uiPriority w:val="99"/>
    <w:unhideWhenUsed/>
    <w:rsid w:val="002E4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6419">
      <w:bodyDiv w:val="1"/>
      <w:marLeft w:val="0"/>
      <w:marRight w:val="0"/>
      <w:marTop w:val="0"/>
      <w:marBottom w:val="0"/>
      <w:divBdr>
        <w:top w:val="none" w:sz="0" w:space="0" w:color="auto"/>
        <w:left w:val="none" w:sz="0" w:space="0" w:color="auto"/>
        <w:bottom w:val="none" w:sz="0" w:space="0" w:color="auto"/>
        <w:right w:val="none" w:sz="0" w:space="0" w:color="auto"/>
      </w:divBdr>
    </w:div>
    <w:div w:id="306402372">
      <w:bodyDiv w:val="1"/>
      <w:marLeft w:val="0"/>
      <w:marRight w:val="0"/>
      <w:marTop w:val="0"/>
      <w:marBottom w:val="0"/>
      <w:divBdr>
        <w:top w:val="none" w:sz="0" w:space="0" w:color="auto"/>
        <w:left w:val="none" w:sz="0" w:space="0" w:color="auto"/>
        <w:bottom w:val="none" w:sz="0" w:space="0" w:color="auto"/>
        <w:right w:val="none" w:sz="0" w:space="0" w:color="auto"/>
      </w:divBdr>
    </w:div>
    <w:div w:id="601961955">
      <w:bodyDiv w:val="1"/>
      <w:marLeft w:val="0"/>
      <w:marRight w:val="0"/>
      <w:marTop w:val="0"/>
      <w:marBottom w:val="0"/>
      <w:divBdr>
        <w:top w:val="none" w:sz="0" w:space="0" w:color="auto"/>
        <w:left w:val="none" w:sz="0" w:space="0" w:color="auto"/>
        <w:bottom w:val="none" w:sz="0" w:space="0" w:color="auto"/>
        <w:right w:val="none" w:sz="0" w:space="0" w:color="auto"/>
      </w:divBdr>
    </w:div>
    <w:div w:id="1369837784">
      <w:bodyDiv w:val="1"/>
      <w:marLeft w:val="0"/>
      <w:marRight w:val="0"/>
      <w:marTop w:val="0"/>
      <w:marBottom w:val="0"/>
      <w:divBdr>
        <w:top w:val="none" w:sz="0" w:space="0" w:color="auto"/>
        <w:left w:val="none" w:sz="0" w:space="0" w:color="auto"/>
        <w:bottom w:val="none" w:sz="0" w:space="0" w:color="auto"/>
        <w:right w:val="none" w:sz="0" w:space="0" w:color="auto"/>
      </w:divBdr>
    </w:div>
    <w:div w:id="183009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www.latribune.fr/actualites/economie/france/20131204trib000799270/les-entreprisesfrancaises-a-la-reconquete-de-l-afrique.html" TargetMode="External"/><Relationship Id="rId10" Type="http://schemas.openxmlformats.org/officeDocument/2006/relationships/image" Target="media/image2.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s://www.france24.com/fr/20171129-afrique-franc-cfa-emmanuel-macron-changement-perimetre-n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54BE6-34A8-42EC-80F4-4F6CEEDEF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29</Pages>
  <Words>7023</Words>
  <Characters>40033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Francine TAGOUDI</dc:creator>
  <cp:lastModifiedBy>Admin</cp:lastModifiedBy>
  <cp:revision>8</cp:revision>
  <dcterms:created xsi:type="dcterms:W3CDTF">2024-08-21T03:35:00Z</dcterms:created>
  <dcterms:modified xsi:type="dcterms:W3CDTF">2024-08-21T03:48:00Z</dcterms:modified>
</cp:coreProperties>
</file>