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022D2" w14:textId="77777777" w:rsidR="00754A60" w:rsidRPr="00754A60" w:rsidRDefault="00754A60" w:rsidP="00754A60">
      <w:pPr>
        <w:rPr>
          <w:sz w:val="18"/>
          <w:szCs w:val="18"/>
        </w:rPr>
      </w:pPr>
      <w:r w:rsidRPr="00754A60">
        <w:rPr>
          <w:noProof/>
          <w:sz w:val="18"/>
          <w:szCs w:val="18"/>
        </w:rPr>
        <w:drawing>
          <wp:inline distT="0" distB="0" distL="0" distR="0" wp14:anchorId="7878C50E" wp14:editId="4C2CAEDC">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334A47C" w14:textId="77777777" w:rsidR="00754A60" w:rsidRPr="00754A60" w:rsidRDefault="00754A60" w:rsidP="00754A60">
      <w:pPr>
        <w:rPr>
          <w:rFonts w:ascii="Times New Roman" w:hAnsi="Times New Roman" w:cs="Times New Roman"/>
          <w:sz w:val="18"/>
          <w:szCs w:val="18"/>
        </w:rPr>
      </w:pPr>
    </w:p>
    <w:p w14:paraId="55970CDA" w14:textId="77777777" w:rsidR="00754A60" w:rsidRPr="00754A60" w:rsidRDefault="00754A60" w:rsidP="00754A60">
      <w:pPr>
        <w:rPr>
          <w:rFonts w:ascii="Times New Roman" w:hAnsi="Times New Roman"/>
          <w:b/>
          <w:bCs/>
          <w:sz w:val="36"/>
          <w:szCs w:val="36"/>
        </w:rPr>
      </w:pPr>
      <w:r w:rsidRPr="00754A60">
        <w:rPr>
          <w:rFonts w:ascii="Times New Roman" w:hAnsi="Times New Roman" w:cs="Times New Roman"/>
          <w:b/>
          <w:sz w:val="36"/>
          <w:szCs w:val="36"/>
        </w:rPr>
        <w:t xml:space="preserve">GRADUATE CERTIFICATE in </w:t>
      </w:r>
      <w:r w:rsidRPr="00754A60">
        <w:rPr>
          <w:rFonts w:ascii="Times New Roman" w:hAnsi="Times New Roman"/>
          <w:b/>
          <w:bCs/>
          <w:sz w:val="36"/>
          <w:szCs w:val="36"/>
        </w:rPr>
        <w:t>Consolidation of Social Work Practice</w:t>
      </w:r>
    </w:p>
    <w:p w14:paraId="1ED4DEF0" w14:textId="77777777" w:rsidR="00754A60" w:rsidRPr="00754A60" w:rsidRDefault="00754A60" w:rsidP="00754A60">
      <w:pPr>
        <w:ind w:right="-957"/>
        <w:rPr>
          <w:rFonts w:ascii="Times New Roman" w:hAnsi="Times New Roman" w:cs="Times New Roman"/>
          <w:b/>
          <w:sz w:val="36"/>
          <w:szCs w:val="18"/>
        </w:rPr>
      </w:pPr>
      <w:r w:rsidRPr="00754A60">
        <w:rPr>
          <w:rFonts w:ascii="Times New Roman" w:hAnsi="Times New Roman" w:cs="Times New Roman"/>
          <w:b/>
          <w:sz w:val="36"/>
          <w:szCs w:val="18"/>
        </w:rPr>
        <w:t>LEVEL 6 - 60 Credits</w:t>
      </w:r>
    </w:p>
    <w:p w14:paraId="67796B8F" w14:textId="77777777" w:rsidR="00754A60" w:rsidRPr="00754A60" w:rsidRDefault="00754A60" w:rsidP="00754A60">
      <w:pPr>
        <w:ind w:right="-957"/>
        <w:rPr>
          <w:rFonts w:ascii="Times New Roman" w:hAnsi="Times New Roman" w:cs="Times New Roman"/>
          <w:b/>
          <w:sz w:val="36"/>
          <w:szCs w:val="18"/>
        </w:rPr>
      </w:pPr>
      <w:r w:rsidRPr="00754A60">
        <w:rPr>
          <w:rFonts w:ascii="Times New Roman" w:hAnsi="Times New Roman" w:cs="Times New Roman"/>
          <w:b/>
          <w:sz w:val="36"/>
          <w:szCs w:val="18"/>
        </w:rPr>
        <w:t>BMPF6044</w:t>
      </w:r>
    </w:p>
    <w:p w14:paraId="38204D01" w14:textId="77777777" w:rsidR="00754A60" w:rsidRPr="00754A60" w:rsidRDefault="00754A60" w:rsidP="00754A60">
      <w:pPr>
        <w:ind w:right="-957"/>
        <w:rPr>
          <w:rFonts w:ascii="Times New Roman" w:hAnsi="Times New Roman" w:cs="Times New Roman"/>
          <w:b/>
          <w:sz w:val="36"/>
          <w:szCs w:val="18"/>
        </w:rPr>
      </w:pPr>
    </w:p>
    <w:p w14:paraId="4A36E319" w14:textId="77777777" w:rsidR="00754A60" w:rsidRPr="00754A60" w:rsidRDefault="00754A60" w:rsidP="00754A60">
      <w:pPr>
        <w:ind w:right="-957"/>
        <w:rPr>
          <w:rFonts w:ascii="Times New Roman" w:hAnsi="Times New Roman" w:cs="Times New Roman"/>
          <w:b/>
          <w:sz w:val="12"/>
          <w:szCs w:val="2"/>
        </w:rPr>
      </w:pPr>
    </w:p>
    <w:p w14:paraId="36B317B7" w14:textId="77777777" w:rsidR="00754A60" w:rsidRPr="00754A60" w:rsidRDefault="00754A60" w:rsidP="00754A60">
      <w:pPr>
        <w:ind w:right="-957"/>
        <w:rPr>
          <w:rFonts w:ascii="Times New Roman" w:hAnsi="Times New Roman" w:cs="Times New Roman"/>
          <w:b/>
          <w:sz w:val="36"/>
          <w:szCs w:val="18"/>
        </w:rPr>
      </w:pPr>
      <w:r w:rsidRPr="00754A60">
        <w:rPr>
          <w:rFonts w:ascii="Times New Roman" w:hAnsi="Times New Roman" w:cs="Times New Roman"/>
          <w:b/>
          <w:sz w:val="36"/>
          <w:szCs w:val="18"/>
        </w:rPr>
        <w:t>LEARNER PORTFOLIO</w:t>
      </w:r>
    </w:p>
    <w:p w14:paraId="0FA194F6" w14:textId="77777777" w:rsidR="00754A60" w:rsidRPr="00754A60" w:rsidRDefault="00754A60" w:rsidP="00754A60">
      <w:pPr>
        <w:ind w:right="-957"/>
        <w:rPr>
          <w:rFonts w:ascii="Times New Roman" w:hAnsi="Times New Roman" w:cs="Times New Roman"/>
          <w:b/>
          <w:bCs/>
          <w:sz w:val="36"/>
          <w:szCs w:val="36"/>
        </w:rPr>
      </w:pPr>
      <w:r w:rsidRPr="00754A60">
        <w:rPr>
          <w:rFonts w:ascii="Times New Roman" w:hAnsi="Times New Roman" w:cs="Times New Roman"/>
          <w:b/>
          <w:bCs/>
          <w:sz w:val="36"/>
          <w:szCs w:val="36"/>
        </w:rPr>
        <w:t>(PORTH AGORED and UNIVERSITY OF WALES TRINITY SAINT DAVID)</w:t>
      </w:r>
    </w:p>
    <w:p w14:paraId="44DC4DCD" w14:textId="77777777" w:rsidR="00754A60" w:rsidRPr="00754A60" w:rsidRDefault="00754A60" w:rsidP="00754A60">
      <w:pPr>
        <w:ind w:right="-957"/>
        <w:rPr>
          <w:rFonts w:ascii="Times New Roman" w:hAnsi="Times New Roman" w:cs="Times New Roman"/>
          <w:b/>
          <w:sz w:val="8"/>
          <w:szCs w:val="2"/>
        </w:rPr>
      </w:pPr>
    </w:p>
    <w:p w14:paraId="52A1804C" w14:textId="77777777" w:rsidR="00754A60" w:rsidRPr="00754A60" w:rsidRDefault="00754A60" w:rsidP="00754A60">
      <w:pPr>
        <w:ind w:right="-957"/>
        <w:rPr>
          <w:rFonts w:ascii="Times New Roman" w:hAnsi="Times New Roman" w:cs="Times New Roman"/>
          <w:b/>
          <w:sz w:val="36"/>
          <w:szCs w:val="1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754A60" w:rsidRPr="00754A60" w14:paraId="54ACAD45" w14:textId="77777777" w:rsidTr="00EC13E6">
        <w:tc>
          <w:tcPr>
            <w:tcW w:w="10368" w:type="dxa"/>
          </w:tcPr>
          <w:p w14:paraId="18C3C0BF" w14:textId="77777777" w:rsidR="00754A60" w:rsidRPr="00754A60" w:rsidRDefault="00754A60" w:rsidP="00EC13E6">
            <w:pPr>
              <w:ind w:right="-957"/>
              <w:rPr>
                <w:rFonts w:ascii="Times New Roman" w:hAnsi="Times New Roman" w:cs="Times New Roman"/>
                <w:b/>
                <w:sz w:val="36"/>
                <w:szCs w:val="18"/>
              </w:rPr>
            </w:pPr>
            <w:r w:rsidRPr="00754A60">
              <w:rPr>
                <w:rFonts w:ascii="Times New Roman" w:hAnsi="Times New Roman" w:cs="Times New Roman"/>
                <w:b/>
                <w:sz w:val="36"/>
                <w:szCs w:val="18"/>
              </w:rPr>
              <w:t xml:space="preserve">Learner’s name: Phil Pybus </w:t>
            </w:r>
          </w:p>
          <w:p w14:paraId="28C630C3" w14:textId="77777777" w:rsidR="00754A60" w:rsidRPr="00754A60" w:rsidRDefault="00754A60" w:rsidP="00EC13E6">
            <w:pPr>
              <w:ind w:right="-957"/>
              <w:rPr>
                <w:rFonts w:ascii="Times New Roman" w:hAnsi="Times New Roman" w:cs="Times New Roman"/>
                <w:b/>
                <w:sz w:val="36"/>
                <w:szCs w:val="18"/>
              </w:rPr>
            </w:pPr>
          </w:p>
          <w:p w14:paraId="5649665B" w14:textId="032C9AF7" w:rsidR="00754A60" w:rsidRPr="00754A60" w:rsidRDefault="00754A60" w:rsidP="00EC13E6">
            <w:pPr>
              <w:ind w:right="-957"/>
              <w:rPr>
                <w:rFonts w:ascii="Times New Roman" w:hAnsi="Times New Roman" w:cs="Times New Roman"/>
                <w:b/>
                <w:sz w:val="36"/>
                <w:szCs w:val="18"/>
              </w:rPr>
            </w:pPr>
            <w:r w:rsidRPr="00754A60">
              <w:rPr>
                <w:rFonts w:ascii="Times New Roman" w:hAnsi="Times New Roman" w:cs="Times New Roman"/>
                <w:b/>
                <w:sz w:val="36"/>
                <w:szCs w:val="18"/>
              </w:rPr>
              <w:t>Email address: phil.pybus@</w:t>
            </w:r>
            <w:r>
              <w:rPr>
                <w:rFonts w:ascii="Times New Roman" w:hAnsi="Times New Roman" w:cs="Times New Roman"/>
                <w:b/>
                <w:sz w:val="36"/>
                <w:szCs w:val="18"/>
              </w:rPr>
              <w:t>w</w:t>
            </w:r>
            <w:r w:rsidRPr="00754A60">
              <w:rPr>
                <w:rFonts w:ascii="Times New Roman" w:hAnsi="Times New Roman" w:cs="Times New Roman"/>
                <w:b/>
                <w:sz w:val="36"/>
                <w:szCs w:val="18"/>
              </w:rPr>
              <w:t>rexham.gov.uk</w:t>
            </w:r>
          </w:p>
          <w:p w14:paraId="58E88FC4" w14:textId="77777777" w:rsidR="00754A60" w:rsidRPr="00754A60" w:rsidRDefault="00754A60" w:rsidP="00EC13E6">
            <w:pPr>
              <w:ind w:right="-957"/>
              <w:rPr>
                <w:rFonts w:ascii="Times New Roman" w:hAnsi="Times New Roman" w:cs="Times New Roman"/>
                <w:b/>
                <w:sz w:val="36"/>
                <w:szCs w:val="18"/>
              </w:rPr>
            </w:pPr>
          </w:p>
          <w:p w14:paraId="72704C5A" w14:textId="3DB3AB4F" w:rsidR="00754A60" w:rsidRDefault="00754A60" w:rsidP="00EC13E6">
            <w:pPr>
              <w:ind w:right="-957"/>
              <w:rPr>
                <w:rFonts w:ascii="Times New Roman" w:hAnsi="Times New Roman" w:cs="Times New Roman"/>
                <w:b/>
                <w:sz w:val="36"/>
                <w:szCs w:val="18"/>
              </w:rPr>
            </w:pPr>
            <w:r w:rsidRPr="00754A60">
              <w:rPr>
                <w:rFonts w:ascii="Times New Roman" w:hAnsi="Times New Roman" w:cs="Times New Roman"/>
                <w:b/>
                <w:sz w:val="36"/>
                <w:szCs w:val="18"/>
              </w:rPr>
              <w:t>Learner’s University Registration Number:</w:t>
            </w:r>
            <w:r>
              <w:rPr>
                <w:rFonts w:ascii="Times New Roman" w:hAnsi="Times New Roman" w:cs="Times New Roman"/>
                <w:b/>
                <w:sz w:val="36"/>
                <w:szCs w:val="18"/>
              </w:rPr>
              <w:t xml:space="preserve"> </w:t>
            </w:r>
            <w:r w:rsidRPr="00754A60">
              <w:rPr>
                <w:rFonts w:ascii="Times New Roman" w:hAnsi="Times New Roman" w:cs="Times New Roman"/>
                <w:b/>
                <w:sz w:val="36"/>
                <w:szCs w:val="18"/>
              </w:rPr>
              <w:t>2422519</w:t>
            </w:r>
          </w:p>
          <w:p w14:paraId="482DE274" w14:textId="77777777" w:rsidR="00754A60" w:rsidRPr="00754A60" w:rsidRDefault="00754A60" w:rsidP="00EC13E6">
            <w:pPr>
              <w:ind w:right="-957"/>
              <w:rPr>
                <w:rFonts w:ascii="Times New Roman" w:hAnsi="Times New Roman" w:cs="Times New Roman"/>
                <w:b/>
                <w:sz w:val="36"/>
                <w:szCs w:val="18"/>
              </w:rPr>
            </w:pPr>
          </w:p>
          <w:p w14:paraId="592DFF6C" w14:textId="77777777" w:rsidR="00754A60" w:rsidRPr="00754A60" w:rsidRDefault="00754A60" w:rsidP="00EC13E6">
            <w:pPr>
              <w:ind w:right="-957"/>
              <w:rPr>
                <w:rFonts w:ascii="Times New Roman" w:hAnsi="Times New Roman" w:cs="Times New Roman"/>
                <w:b/>
                <w:sz w:val="36"/>
                <w:szCs w:val="18"/>
              </w:rPr>
            </w:pPr>
            <w:r w:rsidRPr="00754A60">
              <w:rPr>
                <w:rFonts w:ascii="Times New Roman" w:hAnsi="Times New Roman" w:cs="Times New Roman"/>
                <w:b/>
                <w:sz w:val="36"/>
                <w:szCs w:val="18"/>
              </w:rPr>
              <w:t>Cohort: 21 onwards</w:t>
            </w:r>
          </w:p>
        </w:tc>
      </w:tr>
    </w:tbl>
    <w:p w14:paraId="7F802480" w14:textId="77777777" w:rsidR="00754A60" w:rsidRPr="00754A60" w:rsidRDefault="00754A60" w:rsidP="00754A60">
      <w:pPr>
        <w:ind w:right="-957"/>
        <w:rPr>
          <w:rFonts w:ascii="Times New Roman" w:hAnsi="Times New Roman" w:cs="Times New Roman"/>
          <w:b/>
          <w:sz w:val="36"/>
          <w:szCs w:val="18"/>
        </w:rPr>
      </w:pPr>
      <w:r w:rsidRPr="00754A60">
        <w:rPr>
          <w:rFonts w:ascii="Times New Roman" w:hAnsi="Times New Roman" w:cs="Times New Roman"/>
          <w:b/>
          <w:sz w:val="36"/>
          <w:szCs w:val="18"/>
        </w:rPr>
        <w:t xml:space="preserve"> </w:t>
      </w:r>
    </w:p>
    <w:p w14:paraId="72054D0A" w14:textId="77777777" w:rsidR="00754A60" w:rsidRPr="00F927A1" w:rsidRDefault="00754A60" w:rsidP="00754A60">
      <w:pPr>
        <w:rPr>
          <w:rFonts w:ascii="Times New Roman" w:hAnsi="Times New Roman" w:cs="Times New Roman"/>
        </w:rPr>
      </w:pPr>
    </w:p>
    <w:p w14:paraId="5069734A" w14:textId="77777777" w:rsidR="00754A60" w:rsidRPr="00F927A1" w:rsidRDefault="00754A60" w:rsidP="00754A60">
      <w:pPr>
        <w:ind w:right="-957"/>
        <w:rPr>
          <w:rFonts w:ascii="Times New Roman" w:hAnsi="Times New Roman" w:cs="Times New Roman"/>
          <w:b/>
          <w:sz w:val="48"/>
        </w:rPr>
      </w:pPr>
    </w:p>
    <w:p w14:paraId="555482F5" w14:textId="503B7D19" w:rsidR="007E68EF" w:rsidRPr="00233459" w:rsidRDefault="007E68EF" w:rsidP="00233459">
      <w:pPr>
        <w:pStyle w:val="Heading1"/>
        <w:spacing w:line="360" w:lineRule="auto"/>
        <w:jc w:val="center"/>
        <w:rPr>
          <w:rFonts w:ascii="Arial" w:hAnsi="Arial" w:cs="Arial"/>
          <w:sz w:val="22"/>
          <w:szCs w:val="22"/>
        </w:rPr>
      </w:pPr>
      <w:r w:rsidRPr="00233459">
        <w:rPr>
          <w:rFonts w:ascii="Arial" w:hAnsi="Arial" w:cs="Arial"/>
          <w:sz w:val="22"/>
          <w:szCs w:val="22"/>
        </w:rPr>
        <w:lastRenderedPageBreak/>
        <w:t xml:space="preserve">Observation – Task 2 </w:t>
      </w:r>
    </w:p>
    <w:p w14:paraId="27BE97B6" w14:textId="6477FE79" w:rsidR="00233459" w:rsidRDefault="00EB196C" w:rsidP="00233459">
      <w:pPr>
        <w:spacing w:line="360" w:lineRule="auto"/>
        <w:rPr>
          <w:rFonts w:ascii="Arial" w:hAnsi="Arial" w:cs="Arial"/>
          <w:sz w:val="22"/>
          <w:szCs w:val="22"/>
        </w:rPr>
      </w:pPr>
      <w:r>
        <w:rPr>
          <w:rFonts w:ascii="Arial" w:hAnsi="Arial" w:cs="Arial"/>
          <w:sz w:val="22"/>
          <w:szCs w:val="22"/>
        </w:rPr>
        <w:t>Date of Observation: 15/05/2026</w:t>
      </w:r>
    </w:p>
    <w:p w14:paraId="795AC636" w14:textId="7362936C" w:rsidR="008F28E4" w:rsidRPr="00233459" w:rsidRDefault="009A1332" w:rsidP="00233459">
      <w:pPr>
        <w:spacing w:line="360" w:lineRule="auto"/>
        <w:rPr>
          <w:rFonts w:ascii="Arial" w:hAnsi="Arial" w:cs="Arial"/>
          <w:sz w:val="22"/>
          <w:szCs w:val="22"/>
        </w:rPr>
      </w:pPr>
      <w:r w:rsidRPr="00233459">
        <w:rPr>
          <w:rFonts w:ascii="Arial" w:hAnsi="Arial" w:cs="Arial"/>
          <w:sz w:val="22"/>
          <w:szCs w:val="22"/>
        </w:rPr>
        <w:t xml:space="preserve">Applying critical reflection to our own practice requires us to turn our professional curiosity inward, focusing not only on the intended outcomes of our interventions but also on how our actions are experienced by those receiving support. Allowing another professional to observe our practice sharpens this critical lens by offering an external perspective, encouraging deeper engagement with the profession’s evidence base and helping us move away from a ‘Just get on with the job’ attitude to daily social work practice (Thompson, 2019). </w:t>
      </w:r>
      <w:r w:rsidR="008F28E4" w:rsidRPr="00233459">
        <w:rPr>
          <w:rFonts w:ascii="Arial" w:hAnsi="Arial" w:cs="Arial"/>
          <w:sz w:val="22"/>
          <w:szCs w:val="22"/>
        </w:rPr>
        <w:t xml:space="preserve">This reflective process reinforces professional accountability, requiring practitioners to evaluate the degree to which their behaviour aligns with the ethical principles and values of the social work profession. By interrogating the rationale behind practice choices and examining the evidence supporting </w:t>
      </w:r>
      <w:r w:rsidR="008670A7" w:rsidRPr="00233459">
        <w:rPr>
          <w:rFonts w:ascii="Arial" w:hAnsi="Arial" w:cs="Arial"/>
          <w:sz w:val="22"/>
          <w:szCs w:val="22"/>
        </w:rPr>
        <w:t>interventions</w:t>
      </w:r>
      <w:r w:rsidR="008F28E4" w:rsidRPr="00233459">
        <w:rPr>
          <w:rFonts w:ascii="Arial" w:hAnsi="Arial" w:cs="Arial"/>
          <w:sz w:val="22"/>
          <w:szCs w:val="22"/>
        </w:rPr>
        <w:t xml:space="preserve">, practitioners develop a more sophisticated understanding of the relationship between theory and practice </w:t>
      </w:r>
      <w:sdt>
        <w:sdtPr>
          <w:rPr>
            <w:rFonts w:ascii="Arial" w:hAnsi="Arial" w:cs="Arial"/>
            <w:sz w:val="22"/>
            <w:szCs w:val="22"/>
          </w:rPr>
          <w:id w:val="-1244175325"/>
          <w:citation/>
        </w:sdtPr>
        <w:sdtContent>
          <w:r w:rsidR="008F28E4" w:rsidRPr="00233459">
            <w:rPr>
              <w:rFonts w:ascii="Arial" w:hAnsi="Arial" w:cs="Arial"/>
              <w:sz w:val="22"/>
              <w:szCs w:val="22"/>
            </w:rPr>
            <w:fldChar w:fldCharType="begin"/>
          </w:r>
          <w:r w:rsidR="008F28E4" w:rsidRPr="00233459">
            <w:rPr>
              <w:rFonts w:ascii="Arial" w:hAnsi="Arial" w:cs="Arial"/>
              <w:sz w:val="22"/>
              <w:szCs w:val="22"/>
            </w:rPr>
            <w:instrText xml:space="preserve"> CITATION Mac16 \l 2057 </w:instrText>
          </w:r>
          <w:r w:rsidR="008F28E4" w:rsidRPr="00233459">
            <w:rPr>
              <w:rFonts w:ascii="Arial" w:hAnsi="Arial" w:cs="Arial"/>
              <w:sz w:val="22"/>
              <w:szCs w:val="22"/>
            </w:rPr>
            <w:fldChar w:fldCharType="separate"/>
          </w:r>
          <w:r w:rsidR="008F28E4" w:rsidRPr="00233459">
            <w:rPr>
              <w:rFonts w:ascii="Arial" w:hAnsi="Arial" w:cs="Arial"/>
              <w:sz w:val="22"/>
              <w:szCs w:val="22"/>
            </w:rPr>
            <w:t>(Maclean, 2016)</w:t>
          </w:r>
          <w:r w:rsidR="008F28E4" w:rsidRPr="00233459">
            <w:rPr>
              <w:rFonts w:ascii="Arial" w:hAnsi="Arial" w:cs="Arial"/>
              <w:sz w:val="22"/>
              <w:szCs w:val="22"/>
            </w:rPr>
            <w:fldChar w:fldCharType="end"/>
          </w:r>
        </w:sdtContent>
      </w:sdt>
      <w:r w:rsidR="008F28E4" w:rsidRPr="00233459">
        <w:rPr>
          <w:rFonts w:ascii="Arial" w:hAnsi="Arial" w:cs="Arial"/>
          <w:sz w:val="22"/>
          <w:szCs w:val="22"/>
        </w:rPr>
        <w:t>.</w:t>
      </w:r>
    </w:p>
    <w:p w14:paraId="18FB2F7A" w14:textId="77777777" w:rsidR="008670A7" w:rsidRPr="00233459" w:rsidRDefault="008670A7" w:rsidP="00233459">
      <w:pPr>
        <w:spacing w:line="360" w:lineRule="auto"/>
        <w:rPr>
          <w:rFonts w:ascii="Arial" w:hAnsi="Arial" w:cs="Arial"/>
          <w:sz w:val="22"/>
          <w:szCs w:val="22"/>
        </w:rPr>
      </w:pPr>
      <w:r w:rsidRPr="00233459">
        <w:rPr>
          <w:rFonts w:ascii="Arial" w:hAnsi="Arial" w:cs="Arial"/>
          <w:sz w:val="22"/>
          <w:szCs w:val="22"/>
        </w:rPr>
        <w:t>To contextualise the observed intervention, it is necessary to outline the antecedents to my involvement and the family’s circumstances. The family comprises two children, aged two and seven, living in a first</w:t>
      </w:r>
      <w:r w:rsidRPr="00233459">
        <w:rPr>
          <w:rFonts w:ascii="Arial" w:hAnsi="Arial" w:cs="Arial"/>
          <w:sz w:val="22"/>
          <w:szCs w:val="22"/>
        </w:rPr>
        <w:noBreakHyphen/>
        <w:t>floor, two</w:t>
      </w:r>
      <w:r w:rsidRPr="00233459">
        <w:rPr>
          <w:rFonts w:ascii="Arial" w:hAnsi="Arial" w:cs="Arial"/>
          <w:sz w:val="22"/>
          <w:szCs w:val="22"/>
        </w:rPr>
        <w:noBreakHyphen/>
        <w:t>bedroom temporary accommodation placement. Wales has seen an increase in the use of temporary housing, with local guidance advising that children under three should not remain in such accommodation for more than eighteen months.</w:t>
      </w:r>
    </w:p>
    <w:p w14:paraId="775915FC" w14:textId="77777777" w:rsidR="008670A7" w:rsidRPr="00233459" w:rsidRDefault="008670A7" w:rsidP="00233459">
      <w:pPr>
        <w:spacing w:line="360" w:lineRule="auto"/>
        <w:rPr>
          <w:rFonts w:ascii="Arial" w:hAnsi="Arial" w:cs="Arial"/>
          <w:sz w:val="22"/>
          <w:szCs w:val="22"/>
        </w:rPr>
      </w:pPr>
      <w:r w:rsidRPr="00233459">
        <w:rPr>
          <w:rFonts w:ascii="Arial" w:hAnsi="Arial" w:cs="Arial"/>
          <w:sz w:val="22"/>
          <w:szCs w:val="22"/>
        </w:rPr>
        <w:t>Both parents rely on welfare benefits. The mother receives health</w:t>
      </w:r>
      <w:r w:rsidRPr="00233459">
        <w:rPr>
          <w:rFonts w:ascii="Arial" w:hAnsi="Arial" w:cs="Arial"/>
          <w:sz w:val="22"/>
          <w:szCs w:val="22"/>
        </w:rPr>
        <w:noBreakHyphen/>
        <w:t>related financial support due to mobility issues arising from birth complications, while the father’s limited education and sporadic employment contribute to ongoing financial instability. The eldest child presents with ASD traits and awaits neurodevelopmental assessment, supported by school</w:t>
      </w:r>
      <w:r w:rsidRPr="00233459">
        <w:rPr>
          <w:rFonts w:ascii="Arial" w:hAnsi="Arial" w:cs="Arial"/>
          <w:sz w:val="22"/>
          <w:szCs w:val="22"/>
        </w:rPr>
        <w:noBreakHyphen/>
        <w:t>based interventions and an Individual Development Plan under the Additional Learning Needs and Education Tribunal (Wales) Act 2018 (Dearden, 2024).</w:t>
      </w:r>
    </w:p>
    <w:p w14:paraId="2FAD6D5E" w14:textId="3951DACE" w:rsidR="008670A7" w:rsidRPr="00233459" w:rsidRDefault="008670A7" w:rsidP="00233459">
      <w:pPr>
        <w:spacing w:line="360" w:lineRule="auto"/>
        <w:rPr>
          <w:rFonts w:ascii="Arial" w:hAnsi="Arial" w:cs="Arial"/>
          <w:sz w:val="22"/>
          <w:szCs w:val="22"/>
        </w:rPr>
      </w:pPr>
      <w:r w:rsidRPr="00233459">
        <w:rPr>
          <w:rFonts w:ascii="Arial" w:hAnsi="Arial" w:cs="Arial"/>
          <w:sz w:val="22"/>
          <w:szCs w:val="22"/>
        </w:rPr>
        <w:t>At referral, both children were placed on the Child Protection Register for emotional harm, following repeated police attendance for domestic disturbances. A Section 47 enquiry was initiated through information shared via the CID16 safeguarding process (HMICFIS, 2022). Although initially referred for a denial</w:t>
      </w:r>
      <w:r w:rsidRPr="00233459">
        <w:rPr>
          <w:rFonts w:ascii="Arial" w:hAnsi="Arial" w:cs="Arial"/>
          <w:sz w:val="22"/>
          <w:szCs w:val="22"/>
        </w:rPr>
        <w:noBreakHyphen/>
        <w:t>focused therapeutic intervention, assessment indicated that the incidents arose primarily from the father and eldest son’s emotional dysregulation (Guy Evans, 2024), resulting in heightened vocal expression and stress responses. Their flat</w:t>
      </w:r>
      <w:r w:rsidRPr="00233459">
        <w:rPr>
          <w:rFonts w:ascii="Arial" w:hAnsi="Arial" w:cs="Arial"/>
          <w:sz w:val="22"/>
          <w:szCs w:val="22"/>
        </w:rPr>
        <w:noBreakHyphen/>
        <w:t>based accommodation amplified noise transmission, prompting neighbour complaints and police callouts, during which the parents frequently became confrontational, consistent with escalation associated with dysregulation.</w:t>
      </w:r>
    </w:p>
    <w:p w14:paraId="2B497CB3" w14:textId="77777777" w:rsidR="008670A7" w:rsidRPr="00233459" w:rsidRDefault="008670A7" w:rsidP="00233459">
      <w:pPr>
        <w:spacing w:line="360" w:lineRule="auto"/>
        <w:rPr>
          <w:rFonts w:ascii="Arial" w:hAnsi="Arial" w:cs="Arial"/>
          <w:sz w:val="22"/>
          <w:szCs w:val="22"/>
        </w:rPr>
      </w:pPr>
      <w:r w:rsidRPr="00233459">
        <w:rPr>
          <w:rFonts w:ascii="Arial" w:hAnsi="Arial" w:cs="Arial"/>
          <w:sz w:val="22"/>
          <w:szCs w:val="22"/>
        </w:rPr>
        <w:lastRenderedPageBreak/>
        <w:t>Before the observed session, interventions were implemented to enhance parental understanding of their children’s additional needs and develop effective parenting strategies (Vseteckova, 2022). Financial and housing difficulties were addressed through referral to Welfare Rights and coordinated work with the housing team, supported by a professional letter outlining the family’s specific needs. Targeted support referrals enabled the eldest child to access specialist community activities, providing both developmental benefit and essential respite for the parents, consistent with community</w:t>
      </w:r>
      <w:r w:rsidRPr="00233459">
        <w:rPr>
          <w:rFonts w:ascii="Arial" w:hAnsi="Arial" w:cs="Arial"/>
          <w:sz w:val="22"/>
          <w:szCs w:val="22"/>
        </w:rPr>
        <w:noBreakHyphen/>
        <w:t>based support models (Family Support Wales, 2024).</w:t>
      </w:r>
    </w:p>
    <w:p w14:paraId="5CD9D8A3" w14:textId="28304D0E" w:rsidR="00233459" w:rsidRPr="00233459" w:rsidRDefault="008670A7" w:rsidP="00233459">
      <w:pPr>
        <w:spacing w:line="360" w:lineRule="auto"/>
        <w:rPr>
          <w:rFonts w:ascii="Arial" w:hAnsi="Arial" w:cs="Arial"/>
          <w:sz w:val="22"/>
          <w:szCs w:val="22"/>
        </w:rPr>
      </w:pPr>
      <w:r w:rsidRPr="00233459">
        <w:rPr>
          <w:rFonts w:ascii="Arial" w:hAnsi="Arial" w:cs="Arial"/>
          <w:sz w:val="22"/>
          <w:szCs w:val="22"/>
        </w:rPr>
        <w:t xml:space="preserve">During </w:t>
      </w:r>
      <w:r w:rsidR="00531BE6" w:rsidRPr="00233459">
        <w:rPr>
          <w:rFonts w:ascii="Arial" w:hAnsi="Arial" w:cs="Arial"/>
          <w:sz w:val="22"/>
          <w:szCs w:val="22"/>
        </w:rPr>
        <w:t xml:space="preserve">service </w:t>
      </w:r>
      <w:r w:rsidR="008A2A74" w:rsidRPr="00233459">
        <w:rPr>
          <w:rFonts w:ascii="Arial" w:hAnsi="Arial" w:cs="Arial"/>
          <w:sz w:val="22"/>
          <w:szCs w:val="22"/>
        </w:rPr>
        <w:t>involvement</w:t>
      </w:r>
      <w:r w:rsidRPr="00233459">
        <w:rPr>
          <w:rFonts w:ascii="Arial" w:hAnsi="Arial" w:cs="Arial"/>
          <w:sz w:val="22"/>
          <w:szCs w:val="22"/>
        </w:rPr>
        <w:t>, both children were deregistered from the Child Protection Register following positive multi</w:t>
      </w:r>
      <w:r w:rsidRPr="00233459">
        <w:rPr>
          <w:rFonts w:ascii="Arial" w:hAnsi="Arial" w:cs="Arial"/>
          <w:sz w:val="22"/>
          <w:szCs w:val="22"/>
        </w:rPr>
        <w:noBreakHyphen/>
        <w:t>agency reports, and no further police incidents occurred. The father also expressed a desire to pursue assessment for suspected neurodivergence to better understand his experiences. The observed session was the second meeting in which I supported him to complete this application.</w:t>
      </w:r>
    </w:p>
    <w:p w14:paraId="78CEFF3B" w14:textId="0A9C45D9" w:rsidR="00233459" w:rsidRPr="00233459" w:rsidRDefault="001B74C7" w:rsidP="00233459">
      <w:pPr>
        <w:spacing w:line="360" w:lineRule="auto"/>
        <w:rPr>
          <w:rFonts w:ascii="Arial" w:hAnsi="Arial" w:cs="Arial"/>
          <w:sz w:val="22"/>
          <w:szCs w:val="22"/>
        </w:rPr>
      </w:pPr>
      <w:r w:rsidRPr="00233459">
        <w:rPr>
          <w:rFonts w:ascii="Arial" w:hAnsi="Arial" w:cs="Arial"/>
          <w:sz w:val="22"/>
          <w:szCs w:val="22"/>
        </w:rPr>
        <w:t xml:space="preserve">I introduced the planned observation several weeks before the session, ensuring the father had sufficient time to consider the request and ask questions. This approach aligned with established ethical requirements for valid informed consent, which emphasise voluntariness, capacity, and full disclosure under professional codes such as the BASW Codes of Ethics (2021). In practice, this meant ensuring the father could make a voluntary decision without pressure, assessing his capacity to understand the purpose of the observation, and providing clear information about its aims, potential implications, and his right to withdraw at any time. Based on my involvement with the family, I recognised the need to offer additional processing time, so the proposal was introduced two weeks in advance. This allowed the father space to reflect, seek clarification, and formally provide informed consent at the following session. </w:t>
      </w:r>
      <w:r w:rsidR="007A030D" w:rsidRPr="00233459">
        <w:rPr>
          <w:rFonts w:ascii="Arial" w:hAnsi="Arial" w:cs="Arial"/>
          <w:sz w:val="22"/>
          <w:szCs w:val="22"/>
        </w:rPr>
        <w:t xml:space="preserve">Further I sent a reminder communication the day prior to the session – as had become regular practice with this individual – and within this text reminded of the observation taking place. </w:t>
      </w:r>
    </w:p>
    <w:p w14:paraId="7387CB3B" w14:textId="2B6CDE63" w:rsidR="007A030D" w:rsidRPr="00233459" w:rsidRDefault="007A030D" w:rsidP="00233459">
      <w:pPr>
        <w:spacing w:line="360" w:lineRule="auto"/>
        <w:rPr>
          <w:rFonts w:ascii="Arial" w:hAnsi="Arial" w:cs="Arial"/>
          <w:sz w:val="22"/>
          <w:szCs w:val="22"/>
        </w:rPr>
      </w:pPr>
      <w:r w:rsidRPr="00233459">
        <w:rPr>
          <w:rFonts w:ascii="Arial" w:hAnsi="Arial" w:cs="Arial"/>
          <w:sz w:val="22"/>
          <w:szCs w:val="22"/>
        </w:rPr>
        <w:t xml:space="preserve">Consideration had been given to the location of the observation, planning to undertake this session in the same space used for previous sessions. Through my support with this family, I have completed direct session both at their family residence and at the family centres. Having completed joint parenting support at the home a decision to separate out the individual support for Father led to his decision to complete interventions at the family centre. </w:t>
      </w:r>
      <w:r w:rsidR="007C04DE" w:rsidRPr="00233459">
        <w:rPr>
          <w:rFonts w:ascii="Arial" w:hAnsi="Arial" w:cs="Arial"/>
          <w:sz w:val="22"/>
          <w:szCs w:val="22"/>
        </w:rPr>
        <w:t xml:space="preserve">Given the infrequency of public transport within their locality, I offered transport to and from session and when this was </w:t>
      </w:r>
      <w:r w:rsidR="00A242FF" w:rsidRPr="00233459">
        <w:rPr>
          <w:rFonts w:ascii="Arial" w:hAnsi="Arial" w:cs="Arial"/>
          <w:sz w:val="22"/>
          <w:szCs w:val="22"/>
        </w:rPr>
        <w:t>explored,</w:t>
      </w:r>
      <w:r w:rsidR="007C04DE" w:rsidRPr="00233459">
        <w:rPr>
          <w:rFonts w:ascii="Arial" w:hAnsi="Arial" w:cs="Arial"/>
          <w:sz w:val="22"/>
          <w:szCs w:val="22"/>
        </w:rPr>
        <w:t xml:space="preserve"> </w:t>
      </w:r>
      <w:r w:rsidR="00DC66FC" w:rsidRPr="00233459">
        <w:rPr>
          <w:rFonts w:ascii="Arial" w:hAnsi="Arial" w:cs="Arial"/>
          <w:sz w:val="22"/>
          <w:szCs w:val="22"/>
        </w:rPr>
        <w:t xml:space="preserve">he expressed that the journey back gave him opportunity to regulate and process </w:t>
      </w:r>
      <w:r w:rsidR="00A242FF" w:rsidRPr="00233459">
        <w:rPr>
          <w:rFonts w:ascii="Arial" w:hAnsi="Arial" w:cs="Arial"/>
          <w:sz w:val="22"/>
          <w:szCs w:val="22"/>
        </w:rPr>
        <w:t xml:space="preserve">prior to returning to the family home. On the morning of the observation, I used this opportunity to ask again if he was consenting to the planned </w:t>
      </w:r>
      <w:r w:rsidR="00A242FF" w:rsidRPr="00233459">
        <w:rPr>
          <w:rFonts w:ascii="Arial" w:hAnsi="Arial" w:cs="Arial"/>
          <w:sz w:val="22"/>
          <w:szCs w:val="22"/>
        </w:rPr>
        <w:lastRenderedPageBreak/>
        <w:t>session for today, and if he had any questions or anxiety he would like to discuss. This reflects the Code of Professional Practice (COPP) 2026, for Social Workers which requires workers to respect individuals’ wishes and promote their well</w:t>
      </w:r>
      <w:r w:rsidR="00A242FF" w:rsidRPr="00233459">
        <w:rPr>
          <w:rFonts w:ascii="Arial" w:hAnsi="Arial" w:cs="Arial"/>
          <w:sz w:val="22"/>
          <w:szCs w:val="22"/>
        </w:rPr>
        <w:noBreakHyphen/>
        <w:t>being, voice and control.</w:t>
      </w:r>
    </w:p>
    <w:p w14:paraId="7A5CC84F" w14:textId="41A34C4F" w:rsidR="00D404E9" w:rsidRPr="00B05EBD" w:rsidRDefault="00CD0F31" w:rsidP="00233459">
      <w:pPr>
        <w:spacing w:line="360" w:lineRule="auto"/>
        <w:rPr>
          <w:rFonts w:ascii="Arial" w:hAnsi="Arial" w:cs="Arial"/>
          <w:sz w:val="22"/>
          <w:szCs w:val="22"/>
        </w:rPr>
      </w:pPr>
      <w:r w:rsidRPr="00CD0F31">
        <w:rPr>
          <w:rFonts w:ascii="Arial" w:hAnsi="Arial" w:cs="Arial"/>
          <w:sz w:val="22"/>
          <w:szCs w:val="22"/>
        </w:rPr>
        <w:t xml:space="preserve">Rural practice also demands recognition of the structural constraints that shape service engagement. Limited and unreliable public transport remains a persistent barrier across rural Wales, where many communities depend on private car use and those without access face heightened isolation and reduced service accessibility. Welsh Government guidance identifies rural transport insufficiency as a key contributor to diminished opportunities for </w:t>
      </w:r>
      <w:r w:rsidRPr="00233459">
        <w:rPr>
          <w:rFonts w:ascii="Arial" w:hAnsi="Arial" w:cs="Arial"/>
          <w:sz w:val="22"/>
          <w:szCs w:val="22"/>
        </w:rPr>
        <w:t>individuals</w:t>
      </w:r>
      <w:r w:rsidRPr="00CD0F31">
        <w:rPr>
          <w:rFonts w:ascii="Arial" w:hAnsi="Arial" w:cs="Arial"/>
          <w:sz w:val="22"/>
          <w:szCs w:val="22"/>
        </w:rPr>
        <w:t xml:space="preserve"> to engage with essential services. Such challenges are reinforced by research highlighting declining bus provision and constrained funding for non</w:t>
      </w:r>
      <w:r w:rsidRPr="00CD0F31">
        <w:rPr>
          <w:rFonts w:ascii="Arial" w:hAnsi="Arial" w:cs="Arial"/>
          <w:sz w:val="22"/>
          <w:szCs w:val="22"/>
        </w:rPr>
        <w:noBreakHyphen/>
        <w:t>commercial routes, which further restricts individuals’ ability to attend appointments consistently. Within this context, providing transport constituted an ethically informed, person</w:t>
      </w:r>
      <w:r w:rsidRPr="00CD0F31">
        <w:rPr>
          <w:rFonts w:ascii="Arial" w:hAnsi="Arial" w:cs="Arial"/>
          <w:sz w:val="22"/>
          <w:szCs w:val="22"/>
        </w:rPr>
        <w:noBreakHyphen/>
        <w:t xml:space="preserve">centred adjustment that sought to mitigate environmental disadvantage and support equitable participation in the </w:t>
      </w:r>
      <w:r w:rsidRPr="00233459">
        <w:rPr>
          <w:rFonts w:ascii="Arial" w:hAnsi="Arial" w:cs="Arial"/>
          <w:sz w:val="22"/>
          <w:szCs w:val="22"/>
        </w:rPr>
        <w:t>planned session.</w:t>
      </w:r>
      <w:r w:rsidRPr="00CD0F31">
        <w:rPr>
          <w:rFonts w:ascii="Arial" w:hAnsi="Arial" w:cs="Arial"/>
          <w:sz w:val="22"/>
          <w:szCs w:val="22"/>
        </w:rPr>
        <w:t xml:space="preserve"> This physical barrier often necessitates what is known </w:t>
      </w:r>
      <w:r w:rsidRPr="00233459">
        <w:rPr>
          <w:rFonts w:ascii="Arial" w:hAnsi="Arial" w:cs="Arial"/>
          <w:sz w:val="22"/>
          <w:szCs w:val="22"/>
        </w:rPr>
        <w:t xml:space="preserve">as </w:t>
      </w:r>
      <w:r w:rsidRPr="00CD0F31">
        <w:rPr>
          <w:rFonts w:ascii="Arial" w:hAnsi="Arial" w:cs="Arial"/>
          <w:sz w:val="22"/>
          <w:szCs w:val="22"/>
        </w:rPr>
        <w:t xml:space="preserve"> ‘Mobile Practice.’ Research by Cook (2020) suggests that the liminal space of a car journey can alter traditional power dynamics, enabling side</w:t>
      </w:r>
      <w:r w:rsidRPr="00CD0F31">
        <w:rPr>
          <w:rFonts w:ascii="Arial" w:hAnsi="Arial" w:cs="Arial"/>
          <w:sz w:val="22"/>
          <w:szCs w:val="22"/>
        </w:rPr>
        <w:noBreakHyphen/>
        <w:t>by</w:t>
      </w:r>
      <w:r w:rsidRPr="00CD0F31">
        <w:rPr>
          <w:rFonts w:ascii="Arial" w:hAnsi="Arial" w:cs="Arial"/>
          <w:sz w:val="22"/>
          <w:szCs w:val="22"/>
        </w:rPr>
        <w:noBreakHyphen/>
        <w:t>side communication perceived as less confrontational than formal interactions. For this individual, this was particularly pertinent given his ASD profile; the car journey provided a low</w:t>
      </w:r>
      <w:r w:rsidRPr="00CD0F31">
        <w:rPr>
          <w:rFonts w:ascii="Arial" w:hAnsi="Arial" w:cs="Arial"/>
          <w:sz w:val="22"/>
          <w:szCs w:val="22"/>
        </w:rPr>
        <w:noBreakHyphen/>
        <w:t>arousal environment that minimised demands for sustained eye contact, a common barrier to effective communication for neurodivergent individuals (Ferguson, 2016). By utilising this space to support the father’s regulation and processing, I was able to apply informal interpersonal skills that enhanced his emotional readiness for the session. This approach reflects principles of relationship</w:t>
      </w:r>
      <w:r w:rsidRPr="00CD0F31">
        <w:rPr>
          <w:rFonts w:ascii="Arial" w:hAnsi="Arial" w:cs="Arial"/>
          <w:sz w:val="22"/>
          <w:szCs w:val="22"/>
        </w:rPr>
        <w:noBreakHyphen/>
        <w:t>based practice, which emphasise the centrality of high</w:t>
      </w:r>
      <w:r w:rsidRPr="00CD0F31">
        <w:rPr>
          <w:rFonts w:ascii="Arial" w:hAnsi="Arial" w:cs="Arial"/>
          <w:sz w:val="22"/>
          <w:szCs w:val="22"/>
        </w:rPr>
        <w:noBreakHyphen/>
        <w:t>quality, emotionally attuned practitioner–service</w:t>
      </w:r>
      <w:r w:rsidRPr="00CD0F31">
        <w:rPr>
          <w:rFonts w:ascii="Arial" w:hAnsi="Arial" w:cs="Arial"/>
          <w:sz w:val="22"/>
          <w:szCs w:val="22"/>
        </w:rPr>
        <w:noBreakHyphen/>
        <w:t>user relationships</w:t>
      </w:r>
      <w:r w:rsidR="00EA5CD6" w:rsidRPr="00233459">
        <w:rPr>
          <w:rFonts w:ascii="Arial" w:hAnsi="Arial" w:cs="Arial"/>
          <w:sz w:val="22"/>
          <w:szCs w:val="22"/>
        </w:rPr>
        <w:t>.</w:t>
      </w:r>
    </w:p>
    <w:p w14:paraId="66F9929B" w14:textId="21FB68C1" w:rsidR="000D1FF4" w:rsidRPr="000D1FF4" w:rsidRDefault="000D1FF4" w:rsidP="00233459">
      <w:pPr>
        <w:spacing w:line="360" w:lineRule="auto"/>
        <w:rPr>
          <w:rFonts w:ascii="Arial" w:hAnsi="Arial" w:cs="Arial"/>
          <w:sz w:val="22"/>
          <w:szCs w:val="22"/>
        </w:rPr>
      </w:pPr>
      <w:r w:rsidRPr="000D1FF4">
        <w:rPr>
          <w:rFonts w:ascii="Arial" w:hAnsi="Arial" w:cs="Arial"/>
          <w:sz w:val="22"/>
          <w:szCs w:val="22"/>
        </w:rPr>
        <w:t>Identifying the father’s limited literacy and his previous negative experiences within the education system was crucial in tailoring my communication style. I recognised that the 'school feel' of formal workbooks acted as a tactical and psychological barrier, triggering a reluctance to engage that was rooted in past educational trauma. Within a person-centred framework, I adapted my methods to move away from text-heavy interventions, which Social Care Wales (2026) notes can disempower individuals with lower literacy or neurodivergent profiles such as ASD. To address this, I employed Trevithick’s (2012) concept of the 'conscious use of self,' intentionally shifting from a technical-rational approach to a relational one. By internalising the formal assessment criteria and translating rigid application questions into a structured, yet fluid, dialogue, I ensured that the 'procedural' requirements of the observation did not eclipse the 'personal' needs of the father.</w:t>
      </w:r>
    </w:p>
    <w:p w14:paraId="71255154" w14:textId="0D896643" w:rsidR="00803CDF" w:rsidRPr="00233459" w:rsidRDefault="000D1FF4" w:rsidP="00233459">
      <w:pPr>
        <w:spacing w:line="360" w:lineRule="auto"/>
        <w:rPr>
          <w:rFonts w:ascii="Arial" w:hAnsi="Arial" w:cs="Arial"/>
          <w:sz w:val="22"/>
          <w:szCs w:val="22"/>
        </w:rPr>
      </w:pPr>
      <w:r w:rsidRPr="000D1FF4">
        <w:rPr>
          <w:rFonts w:ascii="Arial" w:hAnsi="Arial" w:cs="Arial"/>
          <w:sz w:val="22"/>
          <w:szCs w:val="22"/>
        </w:rPr>
        <w:lastRenderedPageBreak/>
        <w:t xml:space="preserve">This 'conversational intervention' model allowed me to reduce the cognitive load and 'performance anxiety' often associated with formal testing for neurodivergent individuals. This approach aligns with the 'More than Just Words' (2022) philosophy of providing an 'Active Offer' of support that is instinctively accessible; in this case, the 'language' I adapted was not just linguistic, but a shift from written to verbal-relational communication to accommodate his specific cognitive profile. Ultimately, this ensured the father could exercise voice and control (BASW, 2021) without the shame or inhibition caused by his literacy struggles, allowing for a more authentic representation of his </w:t>
      </w:r>
      <w:r w:rsidRPr="00233459">
        <w:rPr>
          <w:rFonts w:ascii="Arial" w:hAnsi="Arial" w:cs="Arial"/>
          <w:sz w:val="22"/>
          <w:szCs w:val="22"/>
        </w:rPr>
        <w:t>personal experiences</w:t>
      </w:r>
      <w:r w:rsidRPr="000D1FF4">
        <w:rPr>
          <w:rFonts w:ascii="Arial" w:hAnsi="Arial" w:cs="Arial"/>
          <w:sz w:val="22"/>
          <w:szCs w:val="22"/>
        </w:rPr>
        <w:t xml:space="preserve"> during the observation.</w:t>
      </w:r>
    </w:p>
    <w:p w14:paraId="3CEC3803" w14:textId="69417D92" w:rsidR="00233459" w:rsidRPr="00233459" w:rsidRDefault="00233459" w:rsidP="00233459">
      <w:pPr>
        <w:spacing w:line="360" w:lineRule="auto"/>
        <w:rPr>
          <w:rFonts w:ascii="Arial" w:hAnsi="Arial" w:cs="Arial"/>
          <w:sz w:val="22"/>
          <w:szCs w:val="22"/>
        </w:rPr>
      </w:pPr>
      <w:r w:rsidRPr="00233459">
        <w:rPr>
          <w:rFonts w:ascii="Arial" w:hAnsi="Arial" w:cs="Arial"/>
          <w:sz w:val="22"/>
          <w:szCs w:val="22"/>
        </w:rPr>
        <w:t>Throughout my time supporting this father, it became clear that maintaining focus for long periods was a genuine challenge for him, especially when discussing his past-history. To manage this, I made the practice decision to shorten our sessions from 60 minutes to 45 minutes, building in a short break and a change of environment. This adjustment was informed by an understanding of ASD-related cognitive fatigue; for many neurodivergent individuals, the mental energy required to process emotive information and stay socially engaged can lead to significant 'overload' (Attwood, 2007).</w:t>
      </w:r>
    </w:p>
    <w:p w14:paraId="4D2D965B" w14:textId="351E58AD" w:rsidR="00233459" w:rsidRPr="00233459" w:rsidRDefault="00233459" w:rsidP="00233459">
      <w:pPr>
        <w:spacing w:line="360" w:lineRule="auto"/>
        <w:rPr>
          <w:rFonts w:ascii="Arial" w:hAnsi="Arial" w:cs="Arial"/>
          <w:sz w:val="22"/>
          <w:szCs w:val="22"/>
        </w:rPr>
      </w:pPr>
      <w:r w:rsidRPr="00233459">
        <w:rPr>
          <w:rFonts w:ascii="Arial" w:hAnsi="Arial" w:cs="Arial"/>
          <w:sz w:val="22"/>
          <w:szCs w:val="22"/>
        </w:rPr>
        <w:t>In supervision, we discussed the tension between meeting fixed service timeframes and the need for a more flexible approach. We resolved this through a practical compromise: reducing the session by just 15 minutes. This felt like a fair balance—it kept the intervention moving at a necessary pace while ensuring the father didn't become overwhelmed and disengage. From a Radical Social Work perspective, this minor shift is important because it resists a 'one-size-fits-all' approach that can often disadvantage people with different cognitive needs (Lavalette, 2011). By adapting the service to fit the person, I was able to uphold the Code of Professional Practice (2026) and the 'Active Offer' (2022) by ensuring the support was delivered in a way he could use, rather than just tick a box for a 60-minute appointment.</w:t>
      </w:r>
    </w:p>
    <w:p w14:paraId="78581F2A" w14:textId="77777777" w:rsidR="000534FF" w:rsidRPr="000534FF" w:rsidRDefault="000534FF" w:rsidP="000534FF">
      <w:pPr>
        <w:spacing w:line="360" w:lineRule="auto"/>
        <w:rPr>
          <w:rFonts w:ascii="Arial" w:hAnsi="Arial" w:cs="Arial"/>
          <w:sz w:val="22"/>
          <w:szCs w:val="22"/>
        </w:rPr>
      </w:pPr>
      <w:r w:rsidRPr="000534FF">
        <w:rPr>
          <w:rFonts w:ascii="Arial" w:hAnsi="Arial" w:cs="Arial"/>
          <w:sz w:val="22"/>
          <w:szCs w:val="22"/>
        </w:rPr>
        <w:t>Through the completion of this critical reflective task, I have significantly strengthened my understanding of my application of key communication skills. Reflecting has offered a vital opportunity to explore this practice from an evidence-based perspective, allowing for a necessary discourse between anti-oppressive practice and my statutory safeguarding functions. I reflect that this case has demonstrated the immense value of professional curiosity, especially when considering the engagement of fathers in the child protection process. Without this tailored approach, this father might have continued to be viewed through a lens of 'risk,' potentially escalating the level of statutory intervention required.</w:t>
      </w:r>
    </w:p>
    <w:p w14:paraId="67B08E29" w14:textId="77777777" w:rsidR="000534FF" w:rsidRPr="000534FF" w:rsidRDefault="000534FF" w:rsidP="000534FF">
      <w:pPr>
        <w:spacing w:line="360" w:lineRule="auto"/>
        <w:rPr>
          <w:rFonts w:ascii="Arial" w:hAnsi="Arial" w:cs="Arial"/>
          <w:sz w:val="22"/>
          <w:szCs w:val="22"/>
        </w:rPr>
      </w:pPr>
      <w:r w:rsidRPr="000534FF">
        <w:rPr>
          <w:rFonts w:ascii="Arial" w:hAnsi="Arial" w:cs="Arial"/>
          <w:sz w:val="22"/>
          <w:szCs w:val="22"/>
        </w:rPr>
        <w:lastRenderedPageBreak/>
        <w:t>Instead, by identifying his ASD-related dysregulation and literacy barriers, I was able to reflect the 'Active Offer' philosophy (Welsh Government, 2022), which moves the responsibility for accessible communication from the individual to the practitioner. I achieved this by proactively modifying intervention formats to align with his literacy and neurodivergent needs, ensuring his voice and control (Social Care Wales, 2026) remained central. Moving forward, I am committed to this adaptive practice to ensure that institutional frameworks do not become a barrier to equitable support for neurodivergent families.</w:t>
      </w:r>
    </w:p>
    <w:p w14:paraId="1B8EEFC7" w14:textId="569819FA" w:rsidR="0076166E" w:rsidRDefault="0076166E" w:rsidP="00233459">
      <w:pPr>
        <w:spacing w:line="360" w:lineRule="auto"/>
        <w:rPr>
          <w:rFonts w:ascii="Arial" w:hAnsi="Arial" w:cs="Arial"/>
          <w:sz w:val="22"/>
          <w:szCs w:val="22"/>
        </w:rPr>
      </w:pPr>
    </w:p>
    <w:p w14:paraId="576DF14C" w14:textId="43AEEA48" w:rsidR="000534FF" w:rsidRDefault="000534FF" w:rsidP="00233459">
      <w:pPr>
        <w:spacing w:line="360" w:lineRule="auto"/>
        <w:rPr>
          <w:rFonts w:ascii="Arial" w:hAnsi="Arial" w:cs="Arial"/>
          <w:sz w:val="22"/>
          <w:szCs w:val="22"/>
        </w:rPr>
      </w:pPr>
      <w:r>
        <w:rPr>
          <w:rFonts w:ascii="Arial" w:hAnsi="Arial" w:cs="Arial"/>
          <w:sz w:val="22"/>
          <w:szCs w:val="22"/>
        </w:rPr>
        <w:t xml:space="preserve">Word count: 1730 </w:t>
      </w:r>
    </w:p>
    <w:p w14:paraId="70E68F70" w14:textId="77777777" w:rsidR="000534FF" w:rsidRDefault="000534FF" w:rsidP="00233459">
      <w:pPr>
        <w:spacing w:line="360" w:lineRule="auto"/>
        <w:rPr>
          <w:rFonts w:ascii="Arial" w:hAnsi="Arial" w:cs="Arial"/>
          <w:sz w:val="22"/>
          <w:szCs w:val="22"/>
        </w:rPr>
      </w:pPr>
    </w:p>
    <w:p w14:paraId="6C4762A6" w14:textId="77777777" w:rsidR="000534FF" w:rsidRDefault="000534FF" w:rsidP="00233459">
      <w:pPr>
        <w:spacing w:line="360" w:lineRule="auto"/>
        <w:rPr>
          <w:rFonts w:ascii="Arial" w:hAnsi="Arial" w:cs="Arial"/>
          <w:sz w:val="22"/>
          <w:szCs w:val="22"/>
        </w:rPr>
      </w:pPr>
    </w:p>
    <w:p w14:paraId="6807F2E8" w14:textId="77777777" w:rsidR="000534FF" w:rsidRDefault="000534FF" w:rsidP="00233459">
      <w:pPr>
        <w:spacing w:line="360" w:lineRule="auto"/>
        <w:rPr>
          <w:rFonts w:ascii="Arial" w:hAnsi="Arial" w:cs="Arial"/>
          <w:sz w:val="22"/>
          <w:szCs w:val="22"/>
        </w:rPr>
      </w:pPr>
    </w:p>
    <w:p w14:paraId="292E629D" w14:textId="77777777" w:rsidR="000534FF" w:rsidRDefault="000534FF" w:rsidP="00233459">
      <w:pPr>
        <w:spacing w:line="360" w:lineRule="auto"/>
        <w:rPr>
          <w:rFonts w:ascii="Arial" w:hAnsi="Arial" w:cs="Arial"/>
          <w:sz w:val="22"/>
          <w:szCs w:val="22"/>
        </w:rPr>
      </w:pPr>
    </w:p>
    <w:p w14:paraId="0C53B89D" w14:textId="77777777" w:rsidR="000534FF" w:rsidRDefault="000534FF" w:rsidP="00233459">
      <w:pPr>
        <w:spacing w:line="360" w:lineRule="auto"/>
        <w:rPr>
          <w:rFonts w:ascii="Arial" w:hAnsi="Arial" w:cs="Arial"/>
          <w:sz w:val="22"/>
          <w:szCs w:val="22"/>
        </w:rPr>
      </w:pPr>
    </w:p>
    <w:p w14:paraId="1F86DA16" w14:textId="77777777" w:rsidR="000534FF" w:rsidRDefault="000534FF" w:rsidP="00233459">
      <w:pPr>
        <w:spacing w:line="360" w:lineRule="auto"/>
        <w:rPr>
          <w:rFonts w:ascii="Arial" w:hAnsi="Arial" w:cs="Arial"/>
          <w:sz w:val="22"/>
          <w:szCs w:val="22"/>
        </w:rPr>
      </w:pPr>
    </w:p>
    <w:p w14:paraId="4A083E50" w14:textId="77777777" w:rsidR="000534FF" w:rsidRDefault="000534FF" w:rsidP="00233459">
      <w:pPr>
        <w:spacing w:line="360" w:lineRule="auto"/>
        <w:rPr>
          <w:rFonts w:ascii="Arial" w:hAnsi="Arial" w:cs="Arial"/>
          <w:sz w:val="22"/>
          <w:szCs w:val="22"/>
        </w:rPr>
      </w:pPr>
    </w:p>
    <w:p w14:paraId="1DAD5F45" w14:textId="77777777" w:rsidR="000534FF" w:rsidRDefault="000534FF" w:rsidP="00233459">
      <w:pPr>
        <w:spacing w:line="360" w:lineRule="auto"/>
        <w:rPr>
          <w:rFonts w:ascii="Arial" w:hAnsi="Arial" w:cs="Arial"/>
          <w:sz w:val="22"/>
          <w:szCs w:val="22"/>
        </w:rPr>
      </w:pPr>
    </w:p>
    <w:p w14:paraId="0DE82085" w14:textId="77777777" w:rsidR="000534FF" w:rsidRDefault="000534FF" w:rsidP="00233459">
      <w:pPr>
        <w:spacing w:line="360" w:lineRule="auto"/>
        <w:rPr>
          <w:rFonts w:ascii="Arial" w:hAnsi="Arial" w:cs="Arial"/>
          <w:sz w:val="22"/>
          <w:szCs w:val="22"/>
        </w:rPr>
      </w:pPr>
    </w:p>
    <w:p w14:paraId="7BD7D75E" w14:textId="77777777" w:rsidR="000534FF" w:rsidRDefault="000534FF" w:rsidP="00233459">
      <w:pPr>
        <w:spacing w:line="360" w:lineRule="auto"/>
        <w:rPr>
          <w:rFonts w:ascii="Arial" w:hAnsi="Arial" w:cs="Arial"/>
          <w:sz w:val="22"/>
          <w:szCs w:val="22"/>
        </w:rPr>
      </w:pPr>
    </w:p>
    <w:p w14:paraId="2ECB8653" w14:textId="2E625D0B" w:rsidR="000534FF" w:rsidRDefault="000534FF" w:rsidP="00754A60">
      <w:pPr>
        <w:pStyle w:val="Heading1"/>
      </w:pPr>
    </w:p>
    <w:p w14:paraId="1F4A5B12" w14:textId="77777777" w:rsidR="00754A60" w:rsidRDefault="00754A60" w:rsidP="00754A60"/>
    <w:p w14:paraId="18873C05" w14:textId="77777777" w:rsidR="00754A60" w:rsidRDefault="00754A60" w:rsidP="00754A60"/>
    <w:p w14:paraId="4BAF471C" w14:textId="77777777" w:rsidR="00754A60" w:rsidRDefault="00754A60" w:rsidP="00754A60"/>
    <w:p w14:paraId="467D6F56" w14:textId="77777777" w:rsidR="00754A60" w:rsidRDefault="00754A60" w:rsidP="00754A60"/>
    <w:p w14:paraId="0BE3906A" w14:textId="77777777" w:rsidR="00754A60" w:rsidRDefault="00754A60" w:rsidP="00754A60"/>
    <w:p w14:paraId="798967E6" w14:textId="77777777" w:rsidR="00754A60" w:rsidRDefault="00754A60" w:rsidP="00754A60"/>
    <w:p w14:paraId="3A7586E3" w14:textId="77777777" w:rsidR="00754A60" w:rsidRDefault="00754A60" w:rsidP="00754A60"/>
    <w:p w14:paraId="13478985" w14:textId="77777777" w:rsidR="00754A60" w:rsidRDefault="00754A60" w:rsidP="00754A60"/>
    <w:p w14:paraId="21135C8A" w14:textId="77777777" w:rsidR="00754A60" w:rsidRPr="00392F73" w:rsidRDefault="00754A60" w:rsidP="00754A60">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 xml:space="preserve">carers </w:t>
      </w:r>
    </w:p>
    <w:p w14:paraId="7ED1DEB0" w14:textId="77777777" w:rsidR="00754A60" w:rsidRDefault="00754A60" w:rsidP="00754A60">
      <w:pPr>
        <w:jc w:val="both"/>
        <w:rPr>
          <w:b/>
        </w:rPr>
      </w:pPr>
    </w:p>
    <w:p w14:paraId="54590DDB" w14:textId="77777777" w:rsidR="00754A60" w:rsidRPr="00D0503D" w:rsidRDefault="00754A60" w:rsidP="00754A60">
      <w:pPr>
        <w:jc w:val="both"/>
        <w:rPr>
          <w:b/>
        </w:rPr>
      </w:pPr>
      <w:r w:rsidRPr="00D0503D">
        <w:rPr>
          <w:b/>
        </w:rPr>
        <w:t>Information for the observer</w:t>
      </w:r>
    </w:p>
    <w:p w14:paraId="77757794" w14:textId="77777777" w:rsidR="00754A60" w:rsidRPr="003C3C67" w:rsidRDefault="00754A60" w:rsidP="00754A60">
      <w:pPr>
        <w:jc w:val="both"/>
        <w:rPr>
          <w:i/>
        </w:rPr>
      </w:pPr>
    </w:p>
    <w:p w14:paraId="70794D9E" w14:textId="77777777" w:rsidR="00754A60" w:rsidRPr="00E3288D" w:rsidRDefault="00754A60" w:rsidP="00754A60">
      <w:pPr>
        <w:jc w:val="both"/>
        <w:rPr>
          <w:i/>
        </w:rPr>
      </w:pPr>
      <w:r w:rsidRPr="00E3288D">
        <w:rPr>
          <w:i/>
        </w:rPr>
        <w:t xml:space="preserve">This section of the Observation should not be </w:t>
      </w:r>
      <w:r w:rsidRPr="00392F73">
        <w:rPr>
          <w:i/>
        </w:rPr>
        <w:t>completed</w:t>
      </w:r>
      <w:r w:rsidRPr="00392F73">
        <w:rPr>
          <w:b/>
        </w:rPr>
        <w:t xml:space="preserve"> </w:t>
      </w:r>
      <w:r w:rsidRPr="00E3288D">
        <w:rPr>
          <w:i/>
        </w:rPr>
        <w:t xml:space="preserve">in the presence of the learner. </w:t>
      </w:r>
    </w:p>
    <w:p w14:paraId="78A3931E" w14:textId="77777777" w:rsidR="00754A60" w:rsidRPr="00E3288D" w:rsidRDefault="00754A60" w:rsidP="00754A60">
      <w:pPr>
        <w:jc w:val="both"/>
        <w:rPr>
          <w:i/>
        </w:rPr>
      </w:pPr>
    </w:p>
    <w:p w14:paraId="364FD551" w14:textId="77777777" w:rsidR="00754A60" w:rsidRPr="00706BB5" w:rsidRDefault="00754A60" w:rsidP="00754A60">
      <w:pPr>
        <w:jc w:val="both"/>
        <w:rPr>
          <w:i/>
          <w:iCs/>
        </w:rPr>
      </w:pPr>
      <w:r w:rsidRPr="00F15354">
        <w:rPr>
          <w:i/>
          <w:iCs/>
        </w:rPr>
        <w:t>No formal written feedback is required from the observer on the learner’s</w:t>
      </w:r>
      <w:r w:rsidRPr="006179BB">
        <w:rPr>
          <w:i/>
          <w:iCs/>
        </w:rPr>
        <w:t xml:space="preserve"> practice. </w:t>
      </w:r>
      <w:r w:rsidRPr="00A5656A">
        <w:rPr>
          <w:i/>
          <w:iCs/>
        </w:rPr>
        <w:t>However verbal feedback should be provided to the learner as soon as possible after the observation</w:t>
      </w:r>
      <w:r w:rsidRPr="00A5656A">
        <w:rPr>
          <w:b/>
          <w:bCs/>
          <w:i/>
          <w:iCs/>
        </w:rPr>
        <w:t xml:space="preserve">. </w:t>
      </w:r>
      <w:r w:rsidRPr="00A5656A">
        <w:rPr>
          <w:i/>
          <w:iCs/>
        </w:rPr>
        <w:t>If the observer is not the mentor, then feedback should also</w:t>
      </w:r>
      <w:r w:rsidRPr="009C7342">
        <w:rPr>
          <w:i/>
          <w:iCs/>
        </w:rPr>
        <w:t xml:space="preserve"> be provided to the mentor. </w:t>
      </w:r>
    </w:p>
    <w:p w14:paraId="2FB7622A" w14:textId="77777777" w:rsidR="00754A60" w:rsidRPr="00E3288D" w:rsidRDefault="00754A60" w:rsidP="00754A60">
      <w:pPr>
        <w:jc w:val="both"/>
        <w:rPr>
          <w:i/>
        </w:rPr>
      </w:pPr>
    </w:p>
    <w:p w14:paraId="293DA1A7" w14:textId="77777777" w:rsidR="00754A60" w:rsidRPr="00E3288D" w:rsidRDefault="00754A60" w:rsidP="00754A60">
      <w:pPr>
        <w:jc w:val="both"/>
        <w:rPr>
          <w:i/>
        </w:rPr>
      </w:pPr>
      <w:r w:rsidRPr="00E3288D">
        <w:rPr>
          <w:i/>
        </w:rPr>
        <w:t>Some or all of th</w:t>
      </w:r>
      <w:r>
        <w:rPr>
          <w:i/>
        </w:rPr>
        <w:t xml:space="preserve">e </w:t>
      </w:r>
      <w:r w:rsidRPr="00E3288D">
        <w:rPr>
          <w:i/>
        </w:rPr>
        <w:t>questions</w:t>
      </w:r>
      <w:r>
        <w:rPr>
          <w:i/>
        </w:rPr>
        <w:t xml:space="preserve"> below</w:t>
      </w:r>
      <w:r w:rsidRPr="00E3288D">
        <w:rPr>
          <w:i/>
        </w:rPr>
        <w:t xml:space="preserve"> may be used by the observer who </w:t>
      </w:r>
      <w:r w:rsidRPr="00392F73">
        <w:t xml:space="preserve">can </w:t>
      </w:r>
      <w:r w:rsidRPr="00392F73">
        <w:rPr>
          <w:i/>
        </w:rPr>
        <w:t>rephrase</w:t>
      </w:r>
      <w:r w:rsidRPr="00E3288D">
        <w:rPr>
          <w:i/>
        </w:rPr>
        <w:t xml:space="preserve"> and add explanations and prompts as required. The observer should record responses from the individual</w:t>
      </w:r>
      <w:r>
        <w:t xml:space="preserve"> </w:t>
      </w:r>
      <w:r w:rsidRPr="00BC4ED3">
        <w:rPr>
          <w:i/>
        </w:rPr>
        <w:t>in need of care and support and/or their carers</w:t>
      </w:r>
      <w:r w:rsidRPr="00467F66">
        <w:t xml:space="preserve"> </w:t>
      </w:r>
      <w:r w:rsidRPr="00E3288D">
        <w:rPr>
          <w:i/>
        </w:rPr>
        <w:t>below</w:t>
      </w:r>
      <w:r>
        <w:rPr>
          <w:i/>
        </w:rPr>
        <w:t>,</w:t>
      </w:r>
      <w:r w:rsidRPr="00E3288D">
        <w:rPr>
          <w:i/>
        </w:rPr>
        <w:t xml:space="preserve"> or by using an alternative method if required/provided.  </w:t>
      </w:r>
    </w:p>
    <w:p w14:paraId="3C6F4694" w14:textId="77777777" w:rsidR="00754A60" w:rsidRPr="00E3288D" w:rsidRDefault="00754A60" w:rsidP="00754A60">
      <w:pPr>
        <w:jc w:val="both"/>
        <w:rPr>
          <w:i/>
        </w:rPr>
      </w:pPr>
      <w:r w:rsidRPr="00E3288D">
        <w:rPr>
          <w:i/>
        </w:rPr>
        <w:t xml:space="preserve">Before asking the questions, the observer must explain to the individual comments will be shared with the learner. It may be useful to explain that it is used as a learning tool for the learner to develop their own practice. </w:t>
      </w:r>
    </w:p>
    <w:p w14:paraId="13F37D7A" w14:textId="77777777" w:rsidR="00754A60" w:rsidRPr="00E3288D" w:rsidRDefault="00754A60" w:rsidP="00754A60">
      <w:pPr>
        <w:jc w:val="both"/>
        <w:rPr>
          <w:i/>
        </w:rPr>
      </w:pPr>
    </w:p>
    <w:p w14:paraId="7F215F66" w14:textId="77777777" w:rsidR="00754A60" w:rsidRPr="00E3288D" w:rsidRDefault="00754A60" w:rsidP="00754A60">
      <w:pPr>
        <w:jc w:val="both"/>
        <w:rPr>
          <w:i/>
        </w:rPr>
      </w:pPr>
      <w:r w:rsidRPr="00E3288D">
        <w:rPr>
          <w:i/>
        </w:rPr>
        <w:t>If the observer is unable to gain feedback,</w:t>
      </w:r>
      <w:r w:rsidRPr="003C3C67">
        <w:rPr>
          <w:i/>
        </w:rPr>
        <w:t xml:space="preserve"> </w:t>
      </w:r>
      <w:r w:rsidRPr="00E3288D">
        <w:rPr>
          <w:i/>
        </w:rPr>
        <w:t>they should briefly say why.</w:t>
      </w:r>
    </w:p>
    <w:p w14:paraId="3E55C118" w14:textId="77777777" w:rsidR="00754A60" w:rsidRPr="008B28E7" w:rsidRDefault="00754A60" w:rsidP="00754A60">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99"/>
        <w:gridCol w:w="6517"/>
      </w:tblGrid>
      <w:tr w:rsidR="00754A60" w:rsidRPr="008B28E7" w14:paraId="0DCFA4C0" w14:textId="77777777" w:rsidTr="00EC13E6">
        <w:tc>
          <w:tcPr>
            <w:tcW w:w="2718" w:type="dxa"/>
          </w:tcPr>
          <w:p w14:paraId="7ADD8511" w14:textId="77777777" w:rsidR="00754A60" w:rsidRPr="00C7108B" w:rsidRDefault="00754A60" w:rsidP="00EC13E6">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1F46C4BB" w14:textId="77777777" w:rsidR="00754A60" w:rsidRPr="00C7108B" w:rsidRDefault="00754A60" w:rsidP="00EC13E6">
            <w:pPr>
              <w:rPr>
                <w:sz w:val="22"/>
                <w:szCs w:val="22"/>
              </w:rPr>
            </w:pPr>
          </w:p>
        </w:tc>
        <w:tc>
          <w:tcPr>
            <w:tcW w:w="7470" w:type="dxa"/>
          </w:tcPr>
          <w:p w14:paraId="78F5EE9B" w14:textId="697692A9" w:rsidR="00754A60" w:rsidRPr="008B28E7" w:rsidRDefault="000B2B5D" w:rsidP="00EC13E6">
            <w:pPr>
              <w:jc w:val="both"/>
            </w:pPr>
            <w:r>
              <w:t>Yes, Phil was on time</w:t>
            </w:r>
          </w:p>
        </w:tc>
      </w:tr>
      <w:tr w:rsidR="00754A60" w:rsidRPr="008B28E7" w14:paraId="6B640C7D" w14:textId="77777777" w:rsidTr="00EC13E6">
        <w:tc>
          <w:tcPr>
            <w:tcW w:w="2718" w:type="dxa"/>
          </w:tcPr>
          <w:p w14:paraId="71F017B7" w14:textId="77777777" w:rsidR="00754A60" w:rsidRDefault="00754A60" w:rsidP="00EC13E6">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22CAA9A3" w14:textId="77777777" w:rsidR="00754A60" w:rsidRPr="00C7108B" w:rsidRDefault="00754A60" w:rsidP="00EC13E6">
            <w:pPr>
              <w:rPr>
                <w:sz w:val="22"/>
                <w:szCs w:val="22"/>
              </w:rPr>
            </w:pPr>
            <w:r>
              <w:rPr>
                <w:sz w:val="22"/>
                <w:szCs w:val="22"/>
              </w:rPr>
              <w:lastRenderedPageBreak/>
              <w:t>Did they explain why they were being observed?</w:t>
            </w:r>
          </w:p>
          <w:p w14:paraId="53DAAA41" w14:textId="77777777" w:rsidR="00754A60" w:rsidRPr="00C7108B" w:rsidRDefault="00754A60" w:rsidP="00EC13E6">
            <w:pPr>
              <w:rPr>
                <w:sz w:val="22"/>
                <w:szCs w:val="22"/>
              </w:rPr>
            </w:pPr>
          </w:p>
        </w:tc>
        <w:tc>
          <w:tcPr>
            <w:tcW w:w="7470" w:type="dxa"/>
          </w:tcPr>
          <w:p w14:paraId="06C269DE" w14:textId="72039AF7" w:rsidR="00754A60" w:rsidRPr="008B28E7" w:rsidRDefault="000B2B5D" w:rsidP="00EC13E6">
            <w:pPr>
              <w:jc w:val="both"/>
            </w:pPr>
            <w:r>
              <w:lastRenderedPageBreak/>
              <w:t>Yes</w:t>
            </w:r>
          </w:p>
        </w:tc>
      </w:tr>
      <w:tr w:rsidR="00754A60" w:rsidRPr="008B28E7" w14:paraId="095011C8" w14:textId="77777777" w:rsidTr="00EC13E6">
        <w:tc>
          <w:tcPr>
            <w:tcW w:w="2718" w:type="dxa"/>
          </w:tcPr>
          <w:p w14:paraId="78400301" w14:textId="77777777" w:rsidR="00754A60" w:rsidRDefault="00754A60" w:rsidP="00EC13E6">
            <w:pPr>
              <w:rPr>
                <w:sz w:val="22"/>
                <w:szCs w:val="22"/>
              </w:rPr>
            </w:pPr>
            <w:r w:rsidRPr="00C7108B">
              <w:rPr>
                <w:sz w:val="22"/>
                <w:szCs w:val="22"/>
              </w:rPr>
              <w:t>Were you clear why the social worker met with you today?</w:t>
            </w:r>
          </w:p>
          <w:p w14:paraId="4AC03745" w14:textId="77777777" w:rsidR="00754A60" w:rsidRPr="00C7108B" w:rsidRDefault="00754A60" w:rsidP="00EC13E6">
            <w:pPr>
              <w:rPr>
                <w:sz w:val="22"/>
                <w:szCs w:val="22"/>
              </w:rPr>
            </w:pPr>
          </w:p>
        </w:tc>
        <w:tc>
          <w:tcPr>
            <w:tcW w:w="7470" w:type="dxa"/>
          </w:tcPr>
          <w:p w14:paraId="4B154049" w14:textId="71651911" w:rsidR="00754A60" w:rsidRPr="008B28E7" w:rsidRDefault="000B2B5D" w:rsidP="00EC13E6">
            <w:pPr>
              <w:jc w:val="both"/>
            </w:pPr>
            <w:r>
              <w:t>Yes</w:t>
            </w:r>
          </w:p>
        </w:tc>
      </w:tr>
      <w:tr w:rsidR="00754A60" w:rsidRPr="008B28E7" w14:paraId="188B1157" w14:textId="77777777" w:rsidTr="00EC13E6">
        <w:tc>
          <w:tcPr>
            <w:tcW w:w="2718" w:type="dxa"/>
          </w:tcPr>
          <w:p w14:paraId="5FC6D04A" w14:textId="77777777" w:rsidR="00754A60" w:rsidRPr="00C7108B" w:rsidRDefault="00754A60" w:rsidP="00EC13E6">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69318E48" w14:textId="77777777" w:rsidR="00754A60" w:rsidRPr="00C7108B" w:rsidRDefault="00754A60" w:rsidP="00EC13E6">
            <w:pPr>
              <w:rPr>
                <w:sz w:val="22"/>
                <w:szCs w:val="22"/>
              </w:rPr>
            </w:pPr>
          </w:p>
        </w:tc>
        <w:tc>
          <w:tcPr>
            <w:tcW w:w="7470" w:type="dxa"/>
          </w:tcPr>
          <w:p w14:paraId="3E3A3934" w14:textId="77777777" w:rsidR="00F27B72" w:rsidRPr="00F27B72" w:rsidRDefault="00F27B72" w:rsidP="00F27B72">
            <w:pPr>
              <w:spacing w:after="0" w:line="300" w:lineRule="atLeast"/>
              <w:rPr>
                <w:rFonts w:eastAsia="Times New Roman" w:cs="Segoe UI"/>
                <w:kern w:val="0"/>
                <w:sz w:val="22"/>
                <w:szCs w:val="22"/>
                <w:lang w:eastAsia="en-GB"/>
                <w14:ligatures w14:val="none"/>
              </w:rPr>
            </w:pPr>
            <w:r w:rsidRPr="00F27B72">
              <w:rPr>
                <w:rFonts w:eastAsia="Times New Roman" w:cs="Segoe UI"/>
                <w:kern w:val="0"/>
                <w:sz w:val="22"/>
                <w:szCs w:val="22"/>
                <w:lang w:eastAsia="en-GB"/>
                <w14:ligatures w14:val="none"/>
              </w:rPr>
              <w:t>The father felt that Phil was very well prepared for the meeting. He described Phil as clear and organised, noting that he always explained the purpose of each session in advance and approached the work in a way that felt structured and thought</w:t>
            </w:r>
            <w:r w:rsidRPr="00F27B72">
              <w:rPr>
                <w:rFonts w:eastAsia="Times New Roman" w:cs="Segoe UI"/>
                <w:kern w:val="0"/>
                <w:sz w:val="22"/>
                <w:szCs w:val="22"/>
                <w:lang w:eastAsia="en-GB"/>
                <w14:ligatures w14:val="none"/>
              </w:rPr>
              <w:noBreakHyphen/>
              <w:t>through. He said Phil’s preparation was evident in how smoothly the session ran, how confidently he guided the discussion, and how he adapted the tasks to meet his needs without losing focus. Overall, he felt that Phil came into the session knowing exactly what was required and made the work feel manageable and purposeful.</w:t>
            </w:r>
          </w:p>
          <w:p w14:paraId="2D2C5379" w14:textId="0D4D5EA2" w:rsidR="00754A60" w:rsidRPr="008B28E7" w:rsidRDefault="00754A60" w:rsidP="00EC13E6">
            <w:pPr>
              <w:jc w:val="both"/>
            </w:pPr>
          </w:p>
        </w:tc>
      </w:tr>
      <w:tr w:rsidR="00754A60" w:rsidRPr="008B28E7" w14:paraId="7C07C644" w14:textId="77777777" w:rsidTr="00EC13E6">
        <w:tc>
          <w:tcPr>
            <w:tcW w:w="2718" w:type="dxa"/>
          </w:tcPr>
          <w:p w14:paraId="2A24FBEA" w14:textId="77777777" w:rsidR="00754A60" w:rsidRDefault="00754A60" w:rsidP="00EC13E6">
            <w:pPr>
              <w:tabs>
                <w:tab w:val="left" w:pos="851"/>
              </w:tabs>
              <w:ind w:hanging="142"/>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67E11A85" w14:textId="77777777" w:rsidR="00754A60" w:rsidRPr="00C7108B" w:rsidRDefault="00754A60" w:rsidP="00EC13E6">
            <w:pPr>
              <w:tabs>
                <w:tab w:val="left" w:pos="851"/>
              </w:tabs>
              <w:ind w:hanging="142"/>
              <w:rPr>
                <w:sz w:val="22"/>
                <w:szCs w:val="22"/>
              </w:rPr>
            </w:pPr>
          </w:p>
        </w:tc>
        <w:tc>
          <w:tcPr>
            <w:tcW w:w="7470" w:type="dxa"/>
          </w:tcPr>
          <w:p w14:paraId="5D5B43FE" w14:textId="77777777" w:rsidR="001A2092" w:rsidRPr="001A2092" w:rsidRDefault="001A2092" w:rsidP="001A2092">
            <w:pPr>
              <w:spacing w:after="0" w:line="300" w:lineRule="atLeast"/>
              <w:rPr>
                <w:rFonts w:eastAsia="Times New Roman" w:cs="Segoe UI"/>
                <w:kern w:val="0"/>
                <w:sz w:val="22"/>
                <w:szCs w:val="22"/>
                <w:lang w:eastAsia="en-GB"/>
                <w14:ligatures w14:val="none"/>
              </w:rPr>
            </w:pPr>
            <w:r w:rsidRPr="001A2092">
              <w:rPr>
                <w:rFonts w:eastAsia="Times New Roman" w:cs="Segoe UI"/>
                <w:kern w:val="0"/>
                <w:sz w:val="22"/>
                <w:szCs w:val="22"/>
                <w:lang w:eastAsia="en-GB"/>
                <w14:ligatures w14:val="none"/>
              </w:rPr>
              <w:t>The father explained that Phil listened to him exceptionally well and showed real respect for his views and wishes. He shared that, because of his ASD and past negative experiences with professionals, he had become highly suspicious and often felt judged or misunderstood in previous services. However, he said that Phil never made him feel this way. Instead, Phil took time to understand how he communicated, what was important to him, and what made him anxious. He felt that Phil’s calm, non</w:t>
            </w:r>
            <w:r w:rsidRPr="001A2092">
              <w:rPr>
                <w:rFonts w:eastAsia="Times New Roman" w:cs="Segoe UI"/>
                <w:kern w:val="0"/>
                <w:sz w:val="22"/>
                <w:szCs w:val="22"/>
                <w:lang w:eastAsia="en-GB"/>
                <w14:ligatures w14:val="none"/>
              </w:rPr>
              <w:noBreakHyphen/>
              <w:t>judgemental approach helped him to lower his guard, and he noticed that Phil would slow down, check understanding, and adapt his communication so he felt safe and not overwhelmed. As a result, he said he felt genuinely heard for the first time in a long while, and that Phil consistently respected his wishes and worked alongside him rather than directing him. This made him feel valued, understood and supported rather than scrutinised.</w:t>
            </w:r>
          </w:p>
          <w:p w14:paraId="41C34A57" w14:textId="77777777" w:rsidR="00754A60" w:rsidRPr="008B28E7" w:rsidRDefault="00754A60" w:rsidP="00EC13E6">
            <w:pPr>
              <w:jc w:val="both"/>
            </w:pPr>
          </w:p>
        </w:tc>
      </w:tr>
      <w:tr w:rsidR="00754A60" w:rsidRPr="008B28E7" w14:paraId="2ABAA7B8" w14:textId="77777777" w:rsidTr="00EC13E6">
        <w:tc>
          <w:tcPr>
            <w:tcW w:w="2718" w:type="dxa"/>
          </w:tcPr>
          <w:p w14:paraId="514E16AA" w14:textId="77777777" w:rsidR="00754A60" w:rsidRDefault="00754A60" w:rsidP="00EC13E6">
            <w:pPr>
              <w:tabs>
                <w:tab w:val="left" w:pos="-142"/>
                <w:tab w:val="left" w:pos="851"/>
              </w:tabs>
              <w:rPr>
                <w:sz w:val="22"/>
                <w:szCs w:val="22"/>
              </w:rPr>
            </w:pPr>
            <w:r>
              <w:rPr>
                <w:sz w:val="22"/>
                <w:szCs w:val="22"/>
              </w:rPr>
              <w:t>Did the social worker talk to you in a way that you understood?</w:t>
            </w:r>
          </w:p>
          <w:p w14:paraId="3BC84A41" w14:textId="77777777" w:rsidR="00754A60" w:rsidRPr="00706BB5" w:rsidRDefault="00754A60" w:rsidP="00EC13E6">
            <w:pPr>
              <w:tabs>
                <w:tab w:val="left" w:pos="-142"/>
                <w:tab w:val="left" w:pos="851"/>
              </w:tabs>
              <w:rPr>
                <w:sz w:val="22"/>
                <w:szCs w:val="22"/>
              </w:rPr>
            </w:pPr>
            <w:r w:rsidRPr="3EE31E8D">
              <w:rPr>
                <w:sz w:val="22"/>
                <w:szCs w:val="22"/>
              </w:rPr>
              <w:t>Did the social worker consider your language needs?</w:t>
            </w:r>
          </w:p>
          <w:p w14:paraId="0DD578EE" w14:textId="77777777" w:rsidR="00754A60" w:rsidRPr="00C7108B" w:rsidRDefault="00754A60" w:rsidP="00EC13E6">
            <w:pPr>
              <w:tabs>
                <w:tab w:val="left" w:pos="-142"/>
                <w:tab w:val="left" w:pos="851"/>
              </w:tabs>
              <w:rPr>
                <w:sz w:val="22"/>
                <w:szCs w:val="22"/>
              </w:rPr>
            </w:pPr>
          </w:p>
        </w:tc>
        <w:tc>
          <w:tcPr>
            <w:tcW w:w="7470" w:type="dxa"/>
          </w:tcPr>
          <w:p w14:paraId="518D09B8" w14:textId="012ED8B4" w:rsidR="00754A60" w:rsidRPr="001A2092" w:rsidRDefault="001A2092" w:rsidP="00EC13E6">
            <w:pPr>
              <w:jc w:val="both"/>
              <w:rPr>
                <w:sz w:val="22"/>
                <w:szCs w:val="22"/>
              </w:rPr>
            </w:pPr>
            <w:r w:rsidRPr="001A2092">
              <w:rPr>
                <w:sz w:val="22"/>
                <w:szCs w:val="22"/>
              </w:rPr>
              <w:lastRenderedPageBreak/>
              <w:t>As above</w:t>
            </w:r>
          </w:p>
        </w:tc>
      </w:tr>
    </w:tbl>
    <w:p w14:paraId="55C10972" w14:textId="77777777" w:rsidR="00754A60" w:rsidRPr="00676E35" w:rsidRDefault="00754A60" w:rsidP="00754A60">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35"/>
        <w:gridCol w:w="6481"/>
      </w:tblGrid>
      <w:tr w:rsidR="00754A60" w:rsidRPr="008B28E7" w14:paraId="1D80359D" w14:textId="77777777" w:rsidTr="00EC13E6">
        <w:tc>
          <w:tcPr>
            <w:tcW w:w="2718" w:type="dxa"/>
          </w:tcPr>
          <w:p w14:paraId="69943ED1" w14:textId="77777777" w:rsidR="00754A60" w:rsidRDefault="00754A60" w:rsidP="00EC13E6">
            <w:pPr>
              <w:tabs>
                <w:tab w:val="left" w:pos="-142"/>
                <w:tab w:val="left" w:pos="851"/>
              </w:tabs>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773AC10C" w14:textId="77777777" w:rsidR="00754A60" w:rsidRPr="00C7108B" w:rsidRDefault="00754A60" w:rsidP="00EC13E6">
            <w:pPr>
              <w:tabs>
                <w:tab w:val="left" w:pos="-142"/>
                <w:tab w:val="left" w:pos="851"/>
              </w:tabs>
              <w:rPr>
                <w:sz w:val="22"/>
                <w:szCs w:val="22"/>
              </w:rPr>
            </w:pPr>
          </w:p>
        </w:tc>
        <w:tc>
          <w:tcPr>
            <w:tcW w:w="7470" w:type="dxa"/>
          </w:tcPr>
          <w:p w14:paraId="240CE37F" w14:textId="3394EAEA" w:rsidR="00754A60" w:rsidRPr="008B28E7" w:rsidRDefault="001A2092" w:rsidP="00EC13E6">
            <w:pPr>
              <w:jc w:val="both"/>
            </w:pPr>
            <w:r>
              <w:t>Yes</w:t>
            </w:r>
          </w:p>
        </w:tc>
      </w:tr>
      <w:tr w:rsidR="00754A60" w:rsidRPr="008B28E7" w14:paraId="288C68C7" w14:textId="77777777" w:rsidTr="00EC13E6">
        <w:tc>
          <w:tcPr>
            <w:tcW w:w="2718" w:type="dxa"/>
          </w:tcPr>
          <w:p w14:paraId="5A957D88" w14:textId="77777777" w:rsidR="00754A60" w:rsidRPr="00C7108B" w:rsidRDefault="00754A60" w:rsidP="00EC13E6">
            <w:pPr>
              <w:tabs>
                <w:tab w:val="left" w:pos="0"/>
                <w:tab w:val="left" w:pos="851"/>
              </w:tabs>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33FDBEC5" w14:textId="1D2D08A4" w:rsidR="00754A60" w:rsidRPr="008B28E7" w:rsidRDefault="005A6A19" w:rsidP="00EC13E6">
            <w:pPr>
              <w:jc w:val="both"/>
            </w:pPr>
            <w:r>
              <w:t>No</w:t>
            </w:r>
          </w:p>
        </w:tc>
      </w:tr>
    </w:tbl>
    <w:p w14:paraId="64B72DA5" w14:textId="4DF55295" w:rsidR="000534FF" w:rsidRPr="00233459" w:rsidRDefault="000534FF" w:rsidP="00233459">
      <w:pPr>
        <w:spacing w:line="360" w:lineRule="auto"/>
        <w:rPr>
          <w:rFonts w:ascii="Arial" w:hAnsi="Arial" w:cs="Arial"/>
          <w:sz w:val="22"/>
          <w:szCs w:val="22"/>
        </w:rPr>
      </w:pPr>
    </w:p>
    <w:sectPr w:rsidR="000534FF" w:rsidRPr="00233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8753AE"/>
    <w:multiLevelType w:val="hybridMultilevel"/>
    <w:tmpl w:val="0C98624E"/>
    <w:lvl w:ilvl="0" w:tplc="DFAC6EE2">
      <w:start w:val="1"/>
      <w:numFmt w:val="bullet"/>
      <w:lvlText w:val="•"/>
      <w:lvlJc w:val="left"/>
      <w:pPr>
        <w:tabs>
          <w:tab w:val="num" w:pos="720"/>
        </w:tabs>
        <w:ind w:left="720" w:hanging="360"/>
      </w:pPr>
      <w:rPr>
        <w:rFonts w:ascii="Arial" w:hAnsi="Arial" w:hint="default"/>
      </w:rPr>
    </w:lvl>
    <w:lvl w:ilvl="1" w:tplc="6846A904" w:tentative="1">
      <w:start w:val="1"/>
      <w:numFmt w:val="bullet"/>
      <w:lvlText w:val="•"/>
      <w:lvlJc w:val="left"/>
      <w:pPr>
        <w:tabs>
          <w:tab w:val="num" w:pos="1440"/>
        </w:tabs>
        <w:ind w:left="1440" w:hanging="360"/>
      </w:pPr>
      <w:rPr>
        <w:rFonts w:ascii="Arial" w:hAnsi="Arial" w:hint="default"/>
      </w:rPr>
    </w:lvl>
    <w:lvl w:ilvl="2" w:tplc="9E6AFA3E" w:tentative="1">
      <w:start w:val="1"/>
      <w:numFmt w:val="bullet"/>
      <w:lvlText w:val="•"/>
      <w:lvlJc w:val="left"/>
      <w:pPr>
        <w:tabs>
          <w:tab w:val="num" w:pos="2160"/>
        </w:tabs>
        <w:ind w:left="2160" w:hanging="360"/>
      </w:pPr>
      <w:rPr>
        <w:rFonts w:ascii="Arial" w:hAnsi="Arial" w:hint="default"/>
      </w:rPr>
    </w:lvl>
    <w:lvl w:ilvl="3" w:tplc="E02A4EE6" w:tentative="1">
      <w:start w:val="1"/>
      <w:numFmt w:val="bullet"/>
      <w:lvlText w:val="•"/>
      <w:lvlJc w:val="left"/>
      <w:pPr>
        <w:tabs>
          <w:tab w:val="num" w:pos="2880"/>
        </w:tabs>
        <w:ind w:left="2880" w:hanging="360"/>
      </w:pPr>
      <w:rPr>
        <w:rFonts w:ascii="Arial" w:hAnsi="Arial" w:hint="default"/>
      </w:rPr>
    </w:lvl>
    <w:lvl w:ilvl="4" w:tplc="66C28C8A" w:tentative="1">
      <w:start w:val="1"/>
      <w:numFmt w:val="bullet"/>
      <w:lvlText w:val="•"/>
      <w:lvlJc w:val="left"/>
      <w:pPr>
        <w:tabs>
          <w:tab w:val="num" w:pos="3600"/>
        </w:tabs>
        <w:ind w:left="3600" w:hanging="360"/>
      </w:pPr>
      <w:rPr>
        <w:rFonts w:ascii="Arial" w:hAnsi="Arial" w:hint="default"/>
      </w:rPr>
    </w:lvl>
    <w:lvl w:ilvl="5" w:tplc="1854C27A" w:tentative="1">
      <w:start w:val="1"/>
      <w:numFmt w:val="bullet"/>
      <w:lvlText w:val="•"/>
      <w:lvlJc w:val="left"/>
      <w:pPr>
        <w:tabs>
          <w:tab w:val="num" w:pos="4320"/>
        </w:tabs>
        <w:ind w:left="4320" w:hanging="360"/>
      </w:pPr>
      <w:rPr>
        <w:rFonts w:ascii="Arial" w:hAnsi="Arial" w:hint="default"/>
      </w:rPr>
    </w:lvl>
    <w:lvl w:ilvl="6" w:tplc="76DAF5FA" w:tentative="1">
      <w:start w:val="1"/>
      <w:numFmt w:val="bullet"/>
      <w:lvlText w:val="•"/>
      <w:lvlJc w:val="left"/>
      <w:pPr>
        <w:tabs>
          <w:tab w:val="num" w:pos="5040"/>
        </w:tabs>
        <w:ind w:left="5040" w:hanging="360"/>
      </w:pPr>
      <w:rPr>
        <w:rFonts w:ascii="Arial" w:hAnsi="Arial" w:hint="default"/>
      </w:rPr>
    </w:lvl>
    <w:lvl w:ilvl="7" w:tplc="025A9A9E" w:tentative="1">
      <w:start w:val="1"/>
      <w:numFmt w:val="bullet"/>
      <w:lvlText w:val="•"/>
      <w:lvlJc w:val="left"/>
      <w:pPr>
        <w:tabs>
          <w:tab w:val="num" w:pos="5760"/>
        </w:tabs>
        <w:ind w:left="5760" w:hanging="360"/>
      </w:pPr>
      <w:rPr>
        <w:rFonts w:ascii="Arial" w:hAnsi="Arial" w:hint="default"/>
      </w:rPr>
    </w:lvl>
    <w:lvl w:ilvl="8" w:tplc="224ADA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1B254B1"/>
    <w:multiLevelType w:val="hybridMultilevel"/>
    <w:tmpl w:val="A0042E8A"/>
    <w:lvl w:ilvl="0" w:tplc="C680C708">
      <w:start w:val="1"/>
      <w:numFmt w:val="bullet"/>
      <w:lvlText w:val="•"/>
      <w:lvlJc w:val="left"/>
      <w:pPr>
        <w:tabs>
          <w:tab w:val="num" w:pos="720"/>
        </w:tabs>
        <w:ind w:left="720" w:hanging="360"/>
      </w:pPr>
      <w:rPr>
        <w:rFonts w:ascii="Arial" w:hAnsi="Arial" w:hint="default"/>
      </w:rPr>
    </w:lvl>
    <w:lvl w:ilvl="1" w:tplc="27660124" w:tentative="1">
      <w:start w:val="1"/>
      <w:numFmt w:val="bullet"/>
      <w:lvlText w:val="•"/>
      <w:lvlJc w:val="left"/>
      <w:pPr>
        <w:tabs>
          <w:tab w:val="num" w:pos="1440"/>
        </w:tabs>
        <w:ind w:left="1440" w:hanging="360"/>
      </w:pPr>
      <w:rPr>
        <w:rFonts w:ascii="Arial" w:hAnsi="Arial" w:hint="default"/>
      </w:rPr>
    </w:lvl>
    <w:lvl w:ilvl="2" w:tplc="1B1A34FE" w:tentative="1">
      <w:start w:val="1"/>
      <w:numFmt w:val="bullet"/>
      <w:lvlText w:val="•"/>
      <w:lvlJc w:val="left"/>
      <w:pPr>
        <w:tabs>
          <w:tab w:val="num" w:pos="2160"/>
        </w:tabs>
        <w:ind w:left="2160" w:hanging="360"/>
      </w:pPr>
      <w:rPr>
        <w:rFonts w:ascii="Arial" w:hAnsi="Arial" w:hint="default"/>
      </w:rPr>
    </w:lvl>
    <w:lvl w:ilvl="3" w:tplc="3CB8B09E" w:tentative="1">
      <w:start w:val="1"/>
      <w:numFmt w:val="bullet"/>
      <w:lvlText w:val="•"/>
      <w:lvlJc w:val="left"/>
      <w:pPr>
        <w:tabs>
          <w:tab w:val="num" w:pos="2880"/>
        </w:tabs>
        <w:ind w:left="2880" w:hanging="360"/>
      </w:pPr>
      <w:rPr>
        <w:rFonts w:ascii="Arial" w:hAnsi="Arial" w:hint="default"/>
      </w:rPr>
    </w:lvl>
    <w:lvl w:ilvl="4" w:tplc="19C28382" w:tentative="1">
      <w:start w:val="1"/>
      <w:numFmt w:val="bullet"/>
      <w:lvlText w:val="•"/>
      <w:lvlJc w:val="left"/>
      <w:pPr>
        <w:tabs>
          <w:tab w:val="num" w:pos="3600"/>
        </w:tabs>
        <w:ind w:left="3600" w:hanging="360"/>
      </w:pPr>
      <w:rPr>
        <w:rFonts w:ascii="Arial" w:hAnsi="Arial" w:hint="default"/>
      </w:rPr>
    </w:lvl>
    <w:lvl w:ilvl="5" w:tplc="7DBE7E12" w:tentative="1">
      <w:start w:val="1"/>
      <w:numFmt w:val="bullet"/>
      <w:lvlText w:val="•"/>
      <w:lvlJc w:val="left"/>
      <w:pPr>
        <w:tabs>
          <w:tab w:val="num" w:pos="4320"/>
        </w:tabs>
        <w:ind w:left="4320" w:hanging="360"/>
      </w:pPr>
      <w:rPr>
        <w:rFonts w:ascii="Arial" w:hAnsi="Arial" w:hint="default"/>
      </w:rPr>
    </w:lvl>
    <w:lvl w:ilvl="6" w:tplc="1D12BDA4" w:tentative="1">
      <w:start w:val="1"/>
      <w:numFmt w:val="bullet"/>
      <w:lvlText w:val="•"/>
      <w:lvlJc w:val="left"/>
      <w:pPr>
        <w:tabs>
          <w:tab w:val="num" w:pos="5040"/>
        </w:tabs>
        <w:ind w:left="5040" w:hanging="360"/>
      </w:pPr>
      <w:rPr>
        <w:rFonts w:ascii="Arial" w:hAnsi="Arial" w:hint="default"/>
      </w:rPr>
    </w:lvl>
    <w:lvl w:ilvl="7" w:tplc="E2A0CF7C" w:tentative="1">
      <w:start w:val="1"/>
      <w:numFmt w:val="bullet"/>
      <w:lvlText w:val="•"/>
      <w:lvlJc w:val="left"/>
      <w:pPr>
        <w:tabs>
          <w:tab w:val="num" w:pos="5760"/>
        </w:tabs>
        <w:ind w:left="5760" w:hanging="360"/>
      </w:pPr>
      <w:rPr>
        <w:rFonts w:ascii="Arial" w:hAnsi="Arial" w:hint="default"/>
      </w:rPr>
    </w:lvl>
    <w:lvl w:ilvl="8" w:tplc="50DEA3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9D7F99"/>
    <w:multiLevelType w:val="hybridMultilevel"/>
    <w:tmpl w:val="C3DA0A12"/>
    <w:lvl w:ilvl="0" w:tplc="A0E28A14">
      <w:start w:val="1"/>
      <w:numFmt w:val="bullet"/>
      <w:lvlText w:val="•"/>
      <w:lvlJc w:val="left"/>
      <w:pPr>
        <w:tabs>
          <w:tab w:val="num" w:pos="720"/>
        </w:tabs>
        <w:ind w:left="720" w:hanging="360"/>
      </w:pPr>
      <w:rPr>
        <w:rFonts w:ascii="Arial" w:hAnsi="Arial" w:hint="default"/>
      </w:rPr>
    </w:lvl>
    <w:lvl w:ilvl="1" w:tplc="C290829E" w:tentative="1">
      <w:start w:val="1"/>
      <w:numFmt w:val="bullet"/>
      <w:lvlText w:val="•"/>
      <w:lvlJc w:val="left"/>
      <w:pPr>
        <w:tabs>
          <w:tab w:val="num" w:pos="1440"/>
        </w:tabs>
        <w:ind w:left="1440" w:hanging="360"/>
      </w:pPr>
      <w:rPr>
        <w:rFonts w:ascii="Arial" w:hAnsi="Arial" w:hint="default"/>
      </w:rPr>
    </w:lvl>
    <w:lvl w:ilvl="2" w:tplc="7A14B9A6" w:tentative="1">
      <w:start w:val="1"/>
      <w:numFmt w:val="bullet"/>
      <w:lvlText w:val="•"/>
      <w:lvlJc w:val="left"/>
      <w:pPr>
        <w:tabs>
          <w:tab w:val="num" w:pos="2160"/>
        </w:tabs>
        <w:ind w:left="2160" w:hanging="360"/>
      </w:pPr>
      <w:rPr>
        <w:rFonts w:ascii="Arial" w:hAnsi="Arial" w:hint="default"/>
      </w:rPr>
    </w:lvl>
    <w:lvl w:ilvl="3" w:tplc="C33ED70E" w:tentative="1">
      <w:start w:val="1"/>
      <w:numFmt w:val="bullet"/>
      <w:lvlText w:val="•"/>
      <w:lvlJc w:val="left"/>
      <w:pPr>
        <w:tabs>
          <w:tab w:val="num" w:pos="2880"/>
        </w:tabs>
        <w:ind w:left="2880" w:hanging="360"/>
      </w:pPr>
      <w:rPr>
        <w:rFonts w:ascii="Arial" w:hAnsi="Arial" w:hint="default"/>
      </w:rPr>
    </w:lvl>
    <w:lvl w:ilvl="4" w:tplc="E3525148" w:tentative="1">
      <w:start w:val="1"/>
      <w:numFmt w:val="bullet"/>
      <w:lvlText w:val="•"/>
      <w:lvlJc w:val="left"/>
      <w:pPr>
        <w:tabs>
          <w:tab w:val="num" w:pos="3600"/>
        </w:tabs>
        <w:ind w:left="3600" w:hanging="360"/>
      </w:pPr>
      <w:rPr>
        <w:rFonts w:ascii="Arial" w:hAnsi="Arial" w:hint="default"/>
      </w:rPr>
    </w:lvl>
    <w:lvl w:ilvl="5" w:tplc="9EF0F19E" w:tentative="1">
      <w:start w:val="1"/>
      <w:numFmt w:val="bullet"/>
      <w:lvlText w:val="•"/>
      <w:lvlJc w:val="left"/>
      <w:pPr>
        <w:tabs>
          <w:tab w:val="num" w:pos="4320"/>
        </w:tabs>
        <w:ind w:left="4320" w:hanging="360"/>
      </w:pPr>
      <w:rPr>
        <w:rFonts w:ascii="Arial" w:hAnsi="Arial" w:hint="default"/>
      </w:rPr>
    </w:lvl>
    <w:lvl w:ilvl="6" w:tplc="013CA906" w:tentative="1">
      <w:start w:val="1"/>
      <w:numFmt w:val="bullet"/>
      <w:lvlText w:val="•"/>
      <w:lvlJc w:val="left"/>
      <w:pPr>
        <w:tabs>
          <w:tab w:val="num" w:pos="5040"/>
        </w:tabs>
        <w:ind w:left="5040" w:hanging="360"/>
      </w:pPr>
      <w:rPr>
        <w:rFonts w:ascii="Arial" w:hAnsi="Arial" w:hint="default"/>
      </w:rPr>
    </w:lvl>
    <w:lvl w:ilvl="7" w:tplc="D062D282" w:tentative="1">
      <w:start w:val="1"/>
      <w:numFmt w:val="bullet"/>
      <w:lvlText w:val="•"/>
      <w:lvlJc w:val="left"/>
      <w:pPr>
        <w:tabs>
          <w:tab w:val="num" w:pos="5760"/>
        </w:tabs>
        <w:ind w:left="5760" w:hanging="360"/>
      </w:pPr>
      <w:rPr>
        <w:rFonts w:ascii="Arial" w:hAnsi="Arial" w:hint="default"/>
      </w:rPr>
    </w:lvl>
    <w:lvl w:ilvl="8" w:tplc="80FCE3B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EA23C9D"/>
    <w:multiLevelType w:val="hybridMultilevel"/>
    <w:tmpl w:val="419200F0"/>
    <w:lvl w:ilvl="0" w:tplc="326E25F4">
      <w:start w:val="1"/>
      <w:numFmt w:val="bullet"/>
      <w:lvlText w:val="•"/>
      <w:lvlJc w:val="left"/>
      <w:pPr>
        <w:tabs>
          <w:tab w:val="num" w:pos="720"/>
        </w:tabs>
        <w:ind w:left="720" w:hanging="360"/>
      </w:pPr>
      <w:rPr>
        <w:rFonts w:ascii="Arial" w:hAnsi="Arial" w:hint="default"/>
      </w:rPr>
    </w:lvl>
    <w:lvl w:ilvl="1" w:tplc="7A885818" w:tentative="1">
      <w:start w:val="1"/>
      <w:numFmt w:val="bullet"/>
      <w:lvlText w:val="•"/>
      <w:lvlJc w:val="left"/>
      <w:pPr>
        <w:tabs>
          <w:tab w:val="num" w:pos="1440"/>
        </w:tabs>
        <w:ind w:left="1440" w:hanging="360"/>
      </w:pPr>
      <w:rPr>
        <w:rFonts w:ascii="Arial" w:hAnsi="Arial" w:hint="default"/>
      </w:rPr>
    </w:lvl>
    <w:lvl w:ilvl="2" w:tplc="28EAF5DA" w:tentative="1">
      <w:start w:val="1"/>
      <w:numFmt w:val="bullet"/>
      <w:lvlText w:val="•"/>
      <w:lvlJc w:val="left"/>
      <w:pPr>
        <w:tabs>
          <w:tab w:val="num" w:pos="2160"/>
        </w:tabs>
        <w:ind w:left="2160" w:hanging="360"/>
      </w:pPr>
      <w:rPr>
        <w:rFonts w:ascii="Arial" w:hAnsi="Arial" w:hint="default"/>
      </w:rPr>
    </w:lvl>
    <w:lvl w:ilvl="3" w:tplc="56D49B5A" w:tentative="1">
      <w:start w:val="1"/>
      <w:numFmt w:val="bullet"/>
      <w:lvlText w:val="•"/>
      <w:lvlJc w:val="left"/>
      <w:pPr>
        <w:tabs>
          <w:tab w:val="num" w:pos="2880"/>
        </w:tabs>
        <w:ind w:left="2880" w:hanging="360"/>
      </w:pPr>
      <w:rPr>
        <w:rFonts w:ascii="Arial" w:hAnsi="Arial" w:hint="default"/>
      </w:rPr>
    </w:lvl>
    <w:lvl w:ilvl="4" w:tplc="7B3073E6" w:tentative="1">
      <w:start w:val="1"/>
      <w:numFmt w:val="bullet"/>
      <w:lvlText w:val="•"/>
      <w:lvlJc w:val="left"/>
      <w:pPr>
        <w:tabs>
          <w:tab w:val="num" w:pos="3600"/>
        </w:tabs>
        <w:ind w:left="3600" w:hanging="360"/>
      </w:pPr>
      <w:rPr>
        <w:rFonts w:ascii="Arial" w:hAnsi="Arial" w:hint="default"/>
      </w:rPr>
    </w:lvl>
    <w:lvl w:ilvl="5" w:tplc="A4689156" w:tentative="1">
      <w:start w:val="1"/>
      <w:numFmt w:val="bullet"/>
      <w:lvlText w:val="•"/>
      <w:lvlJc w:val="left"/>
      <w:pPr>
        <w:tabs>
          <w:tab w:val="num" w:pos="4320"/>
        </w:tabs>
        <w:ind w:left="4320" w:hanging="360"/>
      </w:pPr>
      <w:rPr>
        <w:rFonts w:ascii="Arial" w:hAnsi="Arial" w:hint="default"/>
      </w:rPr>
    </w:lvl>
    <w:lvl w:ilvl="6" w:tplc="F3C0B910" w:tentative="1">
      <w:start w:val="1"/>
      <w:numFmt w:val="bullet"/>
      <w:lvlText w:val="•"/>
      <w:lvlJc w:val="left"/>
      <w:pPr>
        <w:tabs>
          <w:tab w:val="num" w:pos="5040"/>
        </w:tabs>
        <w:ind w:left="5040" w:hanging="360"/>
      </w:pPr>
      <w:rPr>
        <w:rFonts w:ascii="Arial" w:hAnsi="Arial" w:hint="default"/>
      </w:rPr>
    </w:lvl>
    <w:lvl w:ilvl="7" w:tplc="4B2EAC7A" w:tentative="1">
      <w:start w:val="1"/>
      <w:numFmt w:val="bullet"/>
      <w:lvlText w:val="•"/>
      <w:lvlJc w:val="left"/>
      <w:pPr>
        <w:tabs>
          <w:tab w:val="num" w:pos="5760"/>
        </w:tabs>
        <w:ind w:left="5760" w:hanging="360"/>
      </w:pPr>
      <w:rPr>
        <w:rFonts w:ascii="Arial" w:hAnsi="Arial" w:hint="default"/>
      </w:rPr>
    </w:lvl>
    <w:lvl w:ilvl="8" w:tplc="2E528780" w:tentative="1">
      <w:start w:val="1"/>
      <w:numFmt w:val="bullet"/>
      <w:lvlText w:val="•"/>
      <w:lvlJc w:val="left"/>
      <w:pPr>
        <w:tabs>
          <w:tab w:val="num" w:pos="6480"/>
        </w:tabs>
        <w:ind w:left="6480" w:hanging="360"/>
      </w:pPr>
      <w:rPr>
        <w:rFonts w:ascii="Arial" w:hAnsi="Arial" w:hint="default"/>
      </w:rPr>
    </w:lvl>
  </w:abstractNum>
  <w:num w:numId="1" w16cid:durableId="1213810716">
    <w:abstractNumId w:val="1"/>
  </w:num>
  <w:num w:numId="2" w16cid:durableId="1758358770">
    <w:abstractNumId w:val="2"/>
  </w:num>
  <w:num w:numId="3" w16cid:durableId="1895043619">
    <w:abstractNumId w:val="3"/>
  </w:num>
  <w:num w:numId="4" w16cid:durableId="1724911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66E"/>
    <w:rsid w:val="00052A1C"/>
    <w:rsid w:val="000534FF"/>
    <w:rsid w:val="00090EDC"/>
    <w:rsid w:val="000A0540"/>
    <w:rsid w:val="000A2FB5"/>
    <w:rsid w:val="000B2B5D"/>
    <w:rsid w:val="000D1FF4"/>
    <w:rsid w:val="00111EC7"/>
    <w:rsid w:val="00186146"/>
    <w:rsid w:val="001A2092"/>
    <w:rsid w:val="001B74C7"/>
    <w:rsid w:val="00233459"/>
    <w:rsid w:val="00234D0E"/>
    <w:rsid w:val="00254E8A"/>
    <w:rsid w:val="002608AB"/>
    <w:rsid w:val="002A3348"/>
    <w:rsid w:val="002B220E"/>
    <w:rsid w:val="00306161"/>
    <w:rsid w:val="00332338"/>
    <w:rsid w:val="00367E8E"/>
    <w:rsid w:val="003E7EA5"/>
    <w:rsid w:val="00417D8D"/>
    <w:rsid w:val="0043142B"/>
    <w:rsid w:val="00436E53"/>
    <w:rsid w:val="00467430"/>
    <w:rsid w:val="004923EE"/>
    <w:rsid w:val="004C0015"/>
    <w:rsid w:val="004F2FD6"/>
    <w:rsid w:val="00531BE6"/>
    <w:rsid w:val="00543A6E"/>
    <w:rsid w:val="00544102"/>
    <w:rsid w:val="005A5BB6"/>
    <w:rsid w:val="005A6A19"/>
    <w:rsid w:val="005E42DA"/>
    <w:rsid w:val="00625650"/>
    <w:rsid w:val="00632675"/>
    <w:rsid w:val="006F5CF7"/>
    <w:rsid w:val="0070561E"/>
    <w:rsid w:val="00754A60"/>
    <w:rsid w:val="0076166E"/>
    <w:rsid w:val="007A030D"/>
    <w:rsid w:val="007B7F67"/>
    <w:rsid w:val="007C04DE"/>
    <w:rsid w:val="007D4B20"/>
    <w:rsid w:val="007E68EF"/>
    <w:rsid w:val="007F6D75"/>
    <w:rsid w:val="007F6F5A"/>
    <w:rsid w:val="00803CDF"/>
    <w:rsid w:val="008670A7"/>
    <w:rsid w:val="008A2A74"/>
    <w:rsid w:val="008D2DE6"/>
    <w:rsid w:val="008F28E4"/>
    <w:rsid w:val="009629D3"/>
    <w:rsid w:val="00987AFD"/>
    <w:rsid w:val="009A1332"/>
    <w:rsid w:val="00A242FF"/>
    <w:rsid w:val="00A539F3"/>
    <w:rsid w:val="00B05EBD"/>
    <w:rsid w:val="00B217EC"/>
    <w:rsid w:val="00B40F07"/>
    <w:rsid w:val="00B904AE"/>
    <w:rsid w:val="00C1387C"/>
    <w:rsid w:val="00CD0F31"/>
    <w:rsid w:val="00D02EBB"/>
    <w:rsid w:val="00D404E9"/>
    <w:rsid w:val="00D83AD7"/>
    <w:rsid w:val="00D90E08"/>
    <w:rsid w:val="00DC66FC"/>
    <w:rsid w:val="00DF1A23"/>
    <w:rsid w:val="00E71FB3"/>
    <w:rsid w:val="00E85DE8"/>
    <w:rsid w:val="00EA5CD6"/>
    <w:rsid w:val="00EB196C"/>
    <w:rsid w:val="00EB2A8A"/>
    <w:rsid w:val="00F27B72"/>
    <w:rsid w:val="00F436C3"/>
    <w:rsid w:val="00F85752"/>
    <w:rsid w:val="00FB6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C988E"/>
  <w15:chartTrackingRefBased/>
  <w15:docId w15:val="{E412E6A4-223C-45DB-A379-1AAABB458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6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6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6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6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6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6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6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6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6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6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6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6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6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6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6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6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6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66E"/>
    <w:rPr>
      <w:rFonts w:eastAsiaTheme="majorEastAsia" w:cstheme="majorBidi"/>
      <w:color w:val="272727" w:themeColor="text1" w:themeTint="D8"/>
    </w:rPr>
  </w:style>
  <w:style w:type="paragraph" w:styleId="Title">
    <w:name w:val="Title"/>
    <w:basedOn w:val="Normal"/>
    <w:next w:val="Normal"/>
    <w:link w:val="TitleChar"/>
    <w:uiPriority w:val="10"/>
    <w:qFormat/>
    <w:rsid w:val="007616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6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6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6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66E"/>
    <w:pPr>
      <w:spacing w:before="160"/>
      <w:jc w:val="center"/>
    </w:pPr>
    <w:rPr>
      <w:i/>
      <w:iCs/>
      <w:color w:val="404040" w:themeColor="text1" w:themeTint="BF"/>
    </w:rPr>
  </w:style>
  <w:style w:type="character" w:customStyle="1" w:styleId="QuoteChar">
    <w:name w:val="Quote Char"/>
    <w:basedOn w:val="DefaultParagraphFont"/>
    <w:link w:val="Quote"/>
    <w:uiPriority w:val="29"/>
    <w:rsid w:val="0076166E"/>
    <w:rPr>
      <w:i/>
      <w:iCs/>
      <w:color w:val="404040" w:themeColor="text1" w:themeTint="BF"/>
    </w:rPr>
  </w:style>
  <w:style w:type="paragraph" w:styleId="ListParagraph">
    <w:name w:val="List Paragraph"/>
    <w:basedOn w:val="Normal"/>
    <w:uiPriority w:val="34"/>
    <w:qFormat/>
    <w:rsid w:val="0076166E"/>
    <w:pPr>
      <w:ind w:left="720"/>
      <w:contextualSpacing/>
    </w:pPr>
  </w:style>
  <w:style w:type="character" w:styleId="IntenseEmphasis">
    <w:name w:val="Intense Emphasis"/>
    <w:basedOn w:val="DefaultParagraphFont"/>
    <w:uiPriority w:val="21"/>
    <w:qFormat/>
    <w:rsid w:val="0076166E"/>
    <w:rPr>
      <w:i/>
      <w:iCs/>
      <w:color w:val="0F4761" w:themeColor="accent1" w:themeShade="BF"/>
    </w:rPr>
  </w:style>
  <w:style w:type="paragraph" w:styleId="IntenseQuote">
    <w:name w:val="Intense Quote"/>
    <w:basedOn w:val="Normal"/>
    <w:next w:val="Normal"/>
    <w:link w:val="IntenseQuoteChar"/>
    <w:uiPriority w:val="30"/>
    <w:qFormat/>
    <w:rsid w:val="007616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66E"/>
    <w:rPr>
      <w:i/>
      <w:iCs/>
      <w:color w:val="0F4761" w:themeColor="accent1" w:themeShade="BF"/>
    </w:rPr>
  </w:style>
  <w:style w:type="character" w:styleId="IntenseReference">
    <w:name w:val="Intense Reference"/>
    <w:basedOn w:val="DefaultParagraphFont"/>
    <w:uiPriority w:val="32"/>
    <w:qFormat/>
    <w:rsid w:val="0076166E"/>
    <w:rPr>
      <w:b/>
      <w:bCs/>
      <w:smallCaps/>
      <w:color w:val="0F4761" w:themeColor="accent1" w:themeShade="BF"/>
      <w:spacing w:val="5"/>
    </w:rPr>
  </w:style>
  <w:style w:type="character" w:styleId="Emphasis">
    <w:name w:val="Emphasis"/>
    <w:basedOn w:val="DefaultParagraphFont"/>
    <w:uiPriority w:val="20"/>
    <w:qFormat/>
    <w:rsid w:val="007B7F67"/>
    <w:rPr>
      <w:i/>
      <w:iCs/>
    </w:rPr>
  </w:style>
  <w:style w:type="paragraph" w:styleId="NormalWeb">
    <w:name w:val="Normal (Web)"/>
    <w:basedOn w:val="Normal"/>
    <w:uiPriority w:val="99"/>
    <w:semiHidden/>
    <w:unhideWhenUsed/>
    <w:rsid w:val="0063267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32675"/>
    <w:rPr>
      <w:b/>
      <w:bCs/>
    </w:rPr>
  </w:style>
  <w:style w:type="character" w:customStyle="1" w:styleId="1jturu6">
    <w:name w:val="___1jturu6"/>
    <w:basedOn w:val="DefaultParagraphFont"/>
    <w:rsid w:val="004C0015"/>
  </w:style>
  <w:style w:type="paragraph" w:styleId="Bibliography">
    <w:name w:val="Bibliography"/>
    <w:basedOn w:val="Normal"/>
    <w:next w:val="Normal"/>
    <w:uiPriority w:val="37"/>
    <w:unhideWhenUsed/>
    <w:rsid w:val="00053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823195">
      <w:bodyDiv w:val="1"/>
      <w:marLeft w:val="0"/>
      <w:marRight w:val="0"/>
      <w:marTop w:val="0"/>
      <w:marBottom w:val="0"/>
      <w:divBdr>
        <w:top w:val="none" w:sz="0" w:space="0" w:color="auto"/>
        <w:left w:val="none" w:sz="0" w:space="0" w:color="auto"/>
        <w:bottom w:val="none" w:sz="0" w:space="0" w:color="auto"/>
        <w:right w:val="none" w:sz="0" w:space="0" w:color="auto"/>
      </w:divBdr>
    </w:div>
    <w:div w:id="238057372">
      <w:bodyDiv w:val="1"/>
      <w:marLeft w:val="0"/>
      <w:marRight w:val="0"/>
      <w:marTop w:val="0"/>
      <w:marBottom w:val="0"/>
      <w:divBdr>
        <w:top w:val="none" w:sz="0" w:space="0" w:color="auto"/>
        <w:left w:val="none" w:sz="0" w:space="0" w:color="auto"/>
        <w:bottom w:val="none" w:sz="0" w:space="0" w:color="auto"/>
        <w:right w:val="none" w:sz="0" w:space="0" w:color="auto"/>
      </w:divBdr>
    </w:div>
    <w:div w:id="272789514">
      <w:bodyDiv w:val="1"/>
      <w:marLeft w:val="0"/>
      <w:marRight w:val="0"/>
      <w:marTop w:val="0"/>
      <w:marBottom w:val="0"/>
      <w:divBdr>
        <w:top w:val="none" w:sz="0" w:space="0" w:color="auto"/>
        <w:left w:val="none" w:sz="0" w:space="0" w:color="auto"/>
        <w:bottom w:val="none" w:sz="0" w:space="0" w:color="auto"/>
        <w:right w:val="none" w:sz="0" w:space="0" w:color="auto"/>
      </w:divBdr>
    </w:div>
    <w:div w:id="492062795">
      <w:bodyDiv w:val="1"/>
      <w:marLeft w:val="0"/>
      <w:marRight w:val="0"/>
      <w:marTop w:val="0"/>
      <w:marBottom w:val="0"/>
      <w:divBdr>
        <w:top w:val="none" w:sz="0" w:space="0" w:color="auto"/>
        <w:left w:val="none" w:sz="0" w:space="0" w:color="auto"/>
        <w:bottom w:val="none" w:sz="0" w:space="0" w:color="auto"/>
        <w:right w:val="none" w:sz="0" w:space="0" w:color="auto"/>
      </w:divBdr>
    </w:div>
    <w:div w:id="643508112">
      <w:bodyDiv w:val="1"/>
      <w:marLeft w:val="0"/>
      <w:marRight w:val="0"/>
      <w:marTop w:val="0"/>
      <w:marBottom w:val="0"/>
      <w:divBdr>
        <w:top w:val="none" w:sz="0" w:space="0" w:color="auto"/>
        <w:left w:val="none" w:sz="0" w:space="0" w:color="auto"/>
        <w:bottom w:val="none" w:sz="0" w:space="0" w:color="auto"/>
        <w:right w:val="none" w:sz="0" w:space="0" w:color="auto"/>
      </w:divBdr>
    </w:div>
    <w:div w:id="656956786">
      <w:bodyDiv w:val="1"/>
      <w:marLeft w:val="0"/>
      <w:marRight w:val="0"/>
      <w:marTop w:val="0"/>
      <w:marBottom w:val="0"/>
      <w:divBdr>
        <w:top w:val="none" w:sz="0" w:space="0" w:color="auto"/>
        <w:left w:val="none" w:sz="0" w:space="0" w:color="auto"/>
        <w:bottom w:val="none" w:sz="0" w:space="0" w:color="auto"/>
        <w:right w:val="none" w:sz="0" w:space="0" w:color="auto"/>
      </w:divBdr>
    </w:div>
    <w:div w:id="759764557">
      <w:bodyDiv w:val="1"/>
      <w:marLeft w:val="0"/>
      <w:marRight w:val="0"/>
      <w:marTop w:val="0"/>
      <w:marBottom w:val="0"/>
      <w:divBdr>
        <w:top w:val="none" w:sz="0" w:space="0" w:color="auto"/>
        <w:left w:val="none" w:sz="0" w:space="0" w:color="auto"/>
        <w:bottom w:val="none" w:sz="0" w:space="0" w:color="auto"/>
        <w:right w:val="none" w:sz="0" w:space="0" w:color="auto"/>
      </w:divBdr>
    </w:div>
    <w:div w:id="796679775">
      <w:bodyDiv w:val="1"/>
      <w:marLeft w:val="0"/>
      <w:marRight w:val="0"/>
      <w:marTop w:val="0"/>
      <w:marBottom w:val="0"/>
      <w:divBdr>
        <w:top w:val="none" w:sz="0" w:space="0" w:color="auto"/>
        <w:left w:val="none" w:sz="0" w:space="0" w:color="auto"/>
        <w:bottom w:val="none" w:sz="0" w:space="0" w:color="auto"/>
        <w:right w:val="none" w:sz="0" w:space="0" w:color="auto"/>
      </w:divBdr>
    </w:div>
    <w:div w:id="845438296">
      <w:bodyDiv w:val="1"/>
      <w:marLeft w:val="0"/>
      <w:marRight w:val="0"/>
      <w:marTop w:val="0"/>
      <w:marBottom w:val="0"/>
      <w:divBdr>
        <w:top w:val="none" w:sz="0" w:space="0" w:color="auto"/>
        <w:left w:val="none" w:sz="0" w:space="0" w:color="auto"/>
        <w:bottom w:val="none" w:sz="0" w:space="0" w:color="auto"/>
        <w:right w:val="none" w:sz="0" w:space="0" w:color="auto"/>
      </w:divBdr>
    </w:div>
    <w:div w:id="903494492">
      <w:bodyDiv w:val="1"/>
      <w:marLeft w:val="0"/>
      <w:marRight w:val="0"/>
      <w:marTop w:val="0"/>
      <w:marBottom w:val="0"/>
      <w:divBdr>
        <w:top w:val="none" w:sz="0" w:space="0" w:color="auto"/>
        <w:left w:val="none" w:sz="0" w:space="0" w:color="auto"/>
        <w:bottom w:val="none" w:sz="0" w:space="0" w:color="auto"/>
        <w:right w:val="none" w:sz="0" w:space="0" w:color="auto"/>
      </w:divBdr>
    </w:div>
    <w:div w:id="977881884">
      <w:bodyDiv w:val="1"/>
      <w:marLeft w:val="0"/>
      <w:marRight w:val="0"/>
      <w:marTop w:val="0"/>
      <w:marBottom w:val="0"/>
      <w:divBdr>
        <w:top w:val="none" w:sz="0" w:space="0" w:color="auto"/>
        <w:left w:val="none" w:sz="0" w:space="0" w:color="auto"/>
        <w:bottom w:val="none" w:sz="0" w:space="0" w:color="auto"/>
        <w:right w:val="none" w:sz="0" w:space="0" w:color="auto"/>
      </w:divBdr>
    </w:div>
    <w:div w:id="1135758922">
      <w:bodyDiv w:val="1"/>
      <w:marLeft w:val="0"/>
      <w:marRight w:val="0"/>
      <w:marTop w:val="0"/>
      <w:marBottom w:val="0"/>
      <w:divBdr>
        <w:top w:val="none" w:sz="0" w:space="0" w:color="auto"/>
        <w:left w:val="none" w:sz="0" w:space="0" w:color="auto"/>
        <w:bottom w:val="none" w:sz="0" w:space="0" w:color="auto"/>
        <w:right w:val="none" w:sz="0" w:space="0" w:color="auto"/>
      </w:divBdr>
    </w:div>
    <w:div w:id="1182010963">
      <w:bodyDiv w:val="1"/>
      <w:marLeft w:val="0"/>
      <w:marRight w:val="0"/>
      <w:marTop w:val="0"/>
      <w:marBottom w:val="0"/>
      <w:divBdr>
        <w:top w:val="none" w:sz="0" w:space="0" w:color="auto"/>
        <w:left w:val="none" w:sz="0" w:space="0" w:color="auto"/>
        <w:bottom w:val="none" w:sz="0" w:space="0" w:color="auto"/>
        <w:right w:val="none" w:sz="0" w:space="0" w:color="auto"/>
      </w:divBdr>
    </w:div>
    <w:div w:id="1212303512">
      <w:bodyDiv w:val="1"/>
      <w:marLeft w:val="0"/>
      <w:marRight w:val="0"/>
      <w:marTop w:val="0"/>
      <w:marBottom w:val="0"/>
      <w:divBdr>
        <w:top w:val="none" w:sz="0" w:space="0" w:color="auto"/>
        <w:left w:val="none" w:sz="0" w:space="0" w:color="auto"/>
        <w:bottom w:val="none" w:sz="0" w:space="0" w:color="auto"/>
        <w:right w:val="none" w:sz="0" w:space="0" w:color="auto"/>
      </w:divBdr>
    </w:div>
    <w:div w:id="1285622594">
      <w:bodyDiv w:val="1"/>
      <w:marLeft w:val="0"/>
      <w:marRight w:val="0"/>
      <w:marTop w:val="0"/>
      <w:marBottom w:val="0"/>
      <w:divBdr>
        <w:top w:val="none" w:sz="0" w:space="0" w:color="auto"/>
        <w:left w:val="none" w:sz="0" w:space="0" w:color="auto"/>
        <w:bottom w:val="none" w:sz="0" w:space="0" w:color="auto"/>
        <w:right w:val="none" w:sz="0" w:space="0" w:color="auto"/>
      </w:divBdr>
    </w:div>
    <w:div w:id="1297102952">
      <w:bodyDiv w:val="1"/>
      <w:marLeft w:val="0"/>
      <w:marRight w:val="0"/>
      <w:marTop w:val="0"/>
      <w:marBottom w:val="0"/>
      <w:divBdr>
        <w:top w:val="none" w:sz="0" w:space="0" w:color="auto"/>
        <w:left w:val="none" w:sz="0" w:space="0" w:color="auto"/>
        <w:bottom w:val="none" w:sz="0" w:space="0" w:color="auto"/>
        <w:right w:val="none" w:sz="0" w:space="0" w:color="auto"/>
      </w:divBdr>
    </w:div>
    <w:div w:id="1434789494">
      <w:bodyDiv w:val="1"/>
      <w:marLeft w:val="0"/>
      <w:marRight w:val="0"/>
      <w:marTop w:val="0"/>
      <w:marBottom w:val="0"/>
      <w:divBdr>
        <w:top w:val="none" w:sz="0" w:space="0" w:color="auto"/>
        <w:left w:val="none" w:sz="0" w:space="0" w:color="auto"/>
        <w:bottom w:val="none" w:sz="0" w:space="0" w:color="auto"/>
        <w:right w:val="none" w:sz="0" w:space="0" w:color="auto"/>
      </w:divBdr>
    </w:div>
    <w:div w:id="1473668363">
      <w:bodyDiv w:val="1"/>
      <w:marLeft w:val="0"/>
      <w:marRight w:val="0"/>
      <w:marTop w:val="0"/>
      <w:marBottom w:val="0"/>
      <w:divBdr>
        <w:top w:val="none" w:sz="0" w:space="0" w:color="auto"/>
        <w:left w:val="none" w:sz="0" w:space="0" w:color="auto"/>
        <w:bottom w:val="none" w:sz="0" w:space="0" w:color="auto"/>
        <w:right w:val="none" w:sz="0" w:space="0" w:color="auto"/>
      </w:divBdr>
    </w:div>
    <w:div w:id="1491874173">
      <w:bodyDiv w:val="1"/>
      <w:marLeft w:val="0"/>
      <w:marRight w:val="0"/>
      <w:marTop w:val="0"/>
      <w:marBottom w:val="0"/>
      <w:divBdr>
        <w:top w:val="none" w:sz="0" w:space="0" w:color="auto"/>
        <w:left w:val="none" w:sz="0" w:space="0" w:color="auto"/>
        <w:bottom w:val="none" w:sz="0" w:space="0" w:color="auto"/>
        <w:right w:val="none" w:sz="0" w:space="0" w:color="auto"/>
      </w:divBdr>
    </w:div>
    <w:div w:id="1522665057">
      <w:bodyDiv w:val="1"/>
      <w:marLeft w:val="0"/>
      <w:marRight w:val="0"/>
      <w:marTop w:val="0"/>
      <w:marBottom w:val="0"/>
      <w:divBdr>
        <w:top w:val="none" w:sz="0" w:space="0" w:color="auto"/>
        <w:left w:val="none" w:sz="0" w:space="0" w:color="auto"/>
        <w:bottom w:val="none" w:sz="0" w:space="0" w:color="auto"/>
        <w:right w:val="none" w:sz="0" w:space="0" w:color="auto"/>
      </w:divBdr>
    </w:div>
    <w:div w:id="1591546097">
      <w:bodyDiv w:val="1"/>
      <w:marLeft w:val="0"/>
      <w:marRight w:val="0"/>
      <w:marTop w:val="0"/>
      <w:marBottom w:val="0"/>
      <w:divBdr>
        <w:top w:val="none" w:sz="0" w:space="0" w:color="auto"/>
        <w:left w:val="none" w:sz="0" w:space="0" w:color="auto"/>
        <w:bottom w:val="none" w:sz="0" w:space="0" w:color="auto"/>
        <w:right w:val="none" w:sz="0" w:space="0" w:color="auto"/>
      </w:divBdr>
    </w:div>
    <w:div w:id="1704162269">
      <w:bodyDiv w:val="1"/>
      <w:marLeft w:val="0"/>
      <w:marRight w:val="0"/>
      <w:marTop w:val="0"/>
      <w:marBottom w:val="0"/>
      <w:divBdr>
        <w:top w:val="none" w:sz="0" w:space="0" w:color="auto"/>
        <w:left w:val="none" w:sz="0" w:space="0" w:color="auto"/>
        <w:bottom w:val="none" w:sz="0" w:space="0" w:color="auto"/>
        <w:right w:val="none" w:sz="0" w:space="0" w:color="auto"/>
      </w:divBdr>
    </w:div>
    <w:div w:id="1720663107">
      <w:bodyDiv w:val="1"/>
      <w:marLeft w:val="0"/>
      <w:marRight w:val="0"/>
      <w:marTop w:val="0"/>
      <w:marBottom w:val="0"/>
      <w:divBdr>
        <w:top w:val="none" w:sz="0" w:space="0" w:color="auto"/>
        <w:left w:val="none" w:sz="0" w:space="0" w:color="auto"/>
        <w:bottom w:val="none" w:sz="0" w:space="0" w:color="auto"/>
        <w:right w:val="none" w:sz="0" w:space="0" w:color="auto"/>
      </w:divBdr>
    </w:div>
    <w:div w:id="1831361137">
      <w:bodyDiv w:val="1"/>
      <w:marLeft w:val="0"/>
      <w:marRight w:val="0"/>
      <w:marTop w:val="0"/>
      <w:marBottom w:val="0"/>
      <w:divBdr>
        <w:top w:val="none" w:sz="0" w:space="0" w:color="auto"/>
        <w:left w:val="none" w:sz="0" w:space="0" w:color="auto"/>
        <w:bottom w:val="none" w:sz="0" w:space="0" w:color="auto"/>
        <w:right w:val="none" w:sz="0" w:space="0" w:color="auto"/>
      </w:divBdr>
    </w:div>
    <w:div w:id="1840194685">
      <w:bodyDiv w:val="1"/>
      <w:marLeft w:val="0"/>
      <w:marRight w:val="0"/>
      <w:marTop w:val="0"/>
      <w:marBottom w:val="0"/>
      <w:divBdr>
        <w:top w:val="none" w:sz="0" w:space="0" w:color="auto"/>
        <w:left w:val="none" w:sz="0" w:space="0" w:color="auto"/>
        <w:bottom w:val="none" w:sz="0" w:space="0" w:color="auto"/>
        <w:right w:val="none" w:sz="0" w:space="0" w:color="auto"/>
      </w:divBdr>
    </w:div>
    <w:div w:id="1871991973">
      <w:bodyDiv w:val="1"/>
      <w:marLeft w:val="0"/>
      <w:marRight w:val="0"/>
      <w:marTop w:val="0"/>
      <w:marBottom w:val="0"/>
      <w:divBdr>
        <w:top w:val="none" w:sz="0" w:space="0" w:color="auto"/>
        <w:left w:val="none" w:sz="0" w:space="0" w:color="auto"/>
        <w:bottom w:val="none" w:sz="0" w:space="0" w:color="auto"/>
        <w:right w:val="none" w:sz="0" w:space="0" w:color="auto"/>
      </w:divBdr>
    </w:div>
    <w:div w:id="1900438783">
      <w:bodyDiv w:val="1"/>
      <w:marLeft w:val="0"/>
      <w:marRight w:val="0"/>
      <w:marTop w:val="0"/>
      <w:marBottom w:val="0"/>
      <w:divBdr>
        <w:top w:val="none" w:sz="0" w:space="0" w:color="auto"/>
        <w:left w:val="none" w:sz="0" w:space="0" w:color="auto"/>
        <w:bottom w:val="none" w:sz="0" w:space="0" w:color="auto"/>
        <w:right w:val="none" w:sz="0" w:space="0" w:color="auto"/>
      </w:divBdr>
    </w:div>
    <w:div w:id="2002732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Tho19</b:Tag>
    <b:SourceType>DocumentFromInternetSite</b:SourceType>
    <b:Guid>{D48FA3EE-4079-40E5-B7F5-4D4000E342E2}</b:Guid>
    <b:Author>
      <b:Author>
        <b:NameList>
          <b:Person>
            <b:Last>Thompson</b:Last>
            <b:First>N</b:First>
          </b:Person>
        </b:NameList>
      </b:Author>
    </b:Author>
    <b:Title>What Use is Theory? Just Get on with the Job! [Online]</b:Title>
    <b:Year>2019</b:Year>
    <b:Month>Febuary</b:Month>
    <b:Day>01</b:Day>
    <b:URL>https://neilthompson.info/wp-content/uploads/2019/12/What-Use-is-Theory.pdf</b:URL>
    <b:RefOrder>2</b:RefOrder>
  </b:Source>
  <b:Source>
    <b:Tag>Mac16</b:Tag>
    <b:SourceType>Book</b:SourceType>
    <b:Guid>{F19FCA78-21A3-4F02-9FC2-32F2FA9B39E3}</b:Guid>
    <b:Title>A-Z of Reflective Practice.</b:Title>
    <b:Year>2016</b:Year>
    <b:Author>
      <b:Author>
        <b:NameList>
          <b:Person>
            <b:Last>Maclean</b:Last>
            <b:First>S.</b:First>
          </b:Person>
        </b:NameList>
      </b:Author>
    </b:Author>
    <b:City>Lichfield </b:City>
    <b:Publisher>Kirwin Maclean Associates.</b:Publisher>
    <b:RefOrder>1</b:RefOrder>
  </b:Source>
  <b:Source>
    <b:Tag>Wel18</b:Tag>
    <b:SourceType>Misc</b:SourceType>
    <b:Guid>{F3A40D64-F1CC-4903-A844-0349C0334F04}</b:Guid>
    <b:Title>The Additional Learning Needs and Education Tribunal (Wales) Act 2018</b:Title>
    <b:Year>2018</b:Year>
    <b:City>Cardiff</b:City>
    <b:Publisher>Welsh Goverment </b:Publisher>
    <b:Author>
      <b:Author>
        <b:NameList>
          <b:Person>
            <b:Last>Goverment</b:Last>
            <b:First>Welsh</b:First>
          </b:Person>
        </b:NameList>
      </b:Author>
    </b:Author>
    <b:CountryRegion>Wales</b:CountryRegion>
    <b:RefOrder>3</b:RefOrder>
  </b:Source>
  <b:Source>
    <b:Tag>HMI22</b:Tag>
    <b:SourceType>DocumentFromInternetSite</b:SourceType>
    <b:Guid>{37E60202-33E9-44E2-ADA0-D66914AD5621}</b:Guid>
    <b:Title>North Wales Police – national child protection inspection</b:Title>
    <b:Year>2022</b:Year>
    <b:Month>September </b:Month>
    <b:Day>22</b:Day>
    <b:Author>
      <b:Author>
        <b:NameList>
          <b:Person>
            <b:Last>HMICFIS</b:Last>
          </b:Person>
        </b:NameList>
      </b:Author>
    </b:Author>
    <b:URL>https://hmicfrs.justiceinspectorates.gov.uk/publication-html/north-wales-police-national-child-protection-inspection/</b:URL>
    <b:RefOrder>4</b:RefOrder>
  </b:Source>
  <b:Source>
    <b:Tag>Dea24</b:Tag>
    <b:SourceType>ArticleInAPeriodical</b:SourceType>
    <b:Guid>{F558A291-B831-454D-9038-BBD7C8FFEB49}</b:Guid>
    <b:Author>
      <b:Author>
        <b:NameList>
          <b:Person>
            <b:Last>Dearden</b:Last>
            <b:First>W.</b:First>
          </b:Person>
        </b:NameList>
      </b:Author>
    </b:Author>
    <b:Title>Nowhere to call home: Understanding our housing crisis – Living in temporary accommodation.</b:Title>
    <b:Year>2024</b:Year>
    <b:PeriodicalTitle>Bevan Foundation &amp; Shelter Cymru.</b:PeriodicalTitle>
    <b:RefOrder>5</b:RefOrder>
  </b:Source>
  <b:Source>
    <b:Tag>Guy24</b:Tag>
    <b:SourceType>Book</b:SourceType>
    <b:Guid>{FA83635D-79D7-4E2A-8073-950AD87BEFDD}</b:Guid>
    <b:Title>Understanding Emotional Dysregulation in Autism</b:Title>
    <b:Year>(2024)</b:Year>
    <b:Author>
      <b:Author>
        <b:NameList>
          <b:Person>
            <b:Last>Guy Evans</b:Last>
            <b:First>O.</b:First>
          </b:Person>
        </b:NameList>
      </b:Author>
    </b:Author>
    <b:Publisher>Simply Psychology</b:Publisher>
    <b:RefOrder>6</b:RefOrder>
  </b:Source>
  <b:Source>
    <b:Tag>Fam24</b:Tag>
    <b:SourceType>InternetSite</b:SourceType>
    <b:Guid>{B90E2121-A10E-4336-BEF4-42D14423D2CA}</b:Guid>
    <b:Title>Chilrens Community Support services</b:Title>
    <b:Year>2024</b:Year>
    <b:Author>
      <b:Author>
        <b:NameList>
          <b:Person>
            <b:Last>Wales</b:Last>
            <b:First>Family</b:First>
            <b:Middle>Support</b:Middle>
          </b:Person>
        </b:NameList>
      </b:Author>
    </b:Author>
    <b:URL>https://www.familysupportwales.co.uk/</b:URL>
    <b:RefOrder>7</b:RefOrder>
  </b:Source>
  <b:Source>
    <b:Tag>Vse22</b:Tag>
    <b:SourceType>JournalArticle</b:SourceType>
    <b:Guid>{4B9B647C-8477-4F01-97E2-9DA33F6BE7DE}</b:Guid>
    <b:Author>
      <b:Author>
        <b:NameList>
          <b:Person>
            <b:Last>Vseteckova</b:Last>
            <b:First>J.,</b:First>
            <b:Middle>Boyle, S. and Higgins, M.</b:Middle>
          </b:Person>
        </b:NameList>
      </b:Author>
    </b:Author>
    <b:Title>A systematic review of parenting interventions used by social workers to support vulnerable children</b:Title>
    <b:Year>2022</b:Year>
    <b:JournalName>Journal of Social Work, 22(4)</b:JournalName>
    <b:Pages>992–1030</b:Pages>
    <b:RefOrder>8</b:RefOrder>
  </b:Source>
  <b:Source>
    <b:Tag>BAS21</b:Tag>
    <b:SourceType>Report</b:SourceType>
    <b:Guid>{CEE76BCD-EC31-47D2-AFB0-676C620B7E36}</b:Guid>
    <b:Title>The BASW Code of Ethics for Social Work</b:Title>
    <b:Year>2021</b:Year>
    <b:Author>
      <b:Author>
        <b:NameList>
          <b:Person>
            <b:Last>(BASW)</b:Last>
            <b:First>British</b:First>
            <b:Middle>Association of Social Workers</b:Middle>
          </b:Person>
        </b:NameList>
      </b:Author>
    </b:Author>
    <b:Month>Febuary</b:Month>
    <b:Day>08</b:Day>
    <b:URL>https://new.basw.co.uk/sites/default/files/resources/basw_code_of_ethics_-_2021.pdf</b:URL>
    <b:City>Cardiff</b:City>
    <b:Publisher> British Association of Social Workers</b:Publisher>
    <b:RefOrder>9</b:RefOrder>
  </b:Source>
  <b:Source>
    <b:Tag>Soc26</b:Tag>
    <b:SourceType>InternetSite</b:SourceType>
    <b:Guid>{B34BBB6D-B802-4788-AF77-626CC198F917}</b:Guid>
    <b:Author>
      <b:Author>
        <b:NameList>
          <b:Person>
            <b:Last>Wales</b:Last>
            <b:First>Social</b:First>
            <b:Middle>Care</b:Middle>
          </b:Person>
        </b:NameList>
      </b:Author>
    </b:Author>
    <b:InternetSiteTitle> Code of Professional Practice for Social Care Workers</b:InternetSiteTitle>
    <b:Year>2026</b:Year>
    <b:Month>Febuary</b:Month>
    <b:Day>09</b:Day>
    <b:URL>https://socialcare.wales/dealing-with-concerns/codes-of-practice-and-guidance/code-of-professional-practice-for-social-care-workers (Accessed: 9 February 2026</b:URL>
    <b:RefOrder>10</b:RefOrder>
  </b:Source>
  <b:Source>
    <b:Tag>Coo20</b:Tag>
    <b:SourceType>JournalArticle</b:SourceType>
    <b:Guid>{EDF0464E-CE7E-44FB-B0B8-65918D923812}</b:Guid>
    <b:Title> 'The car as a place of work: Social work’s mobile office',</b:Title>
    <b:Year>2020</b:Year>
    <b:Author>
      <b:Author>
        <b:NameList>
          <b:Person>
            <b:Last>Cook</b:Last>
            <b:First>L.</b:First>
            <b:Middle>L.</b:Middle>
          </b:Person>
        </b:NameList>
      </b:Author>
    </b:Author>
    <b:JournalName>Journal of Social Work Practice 34(1)</b:JournalName>
    <b:Pages> 53–64.</b:Pages>
    <b:RefOrder>11</b:RefOrder>
  </b:Source>
  <b:Source>
    <b:Tag>Fer16</b:Tag>
    <b:SourceType>JournalArticle</b:SourceType>
    <b:Guid>{15EFD93B-3C67-4AFC-B4C5-9DCCCB217CA2}</b:Guid>
    <b:Title>How social workers live in their cars: and the contribution of mobile work to practice, relationships and self-care</b:Title>
    <b:JournalName>British Journal of Social Work, 46(8).</b:JournalName>
    <b:Year>2016</b:Year>
    <b:Pages>153–168</b:Pages>
    <b:Author>
      <b:Author>
        <b:NameList>
          <b:Person>
            <b:Last>Ferguson</b:Last>
            <b:First>H.</b:First>
          </b:Person>
        </b:NameList>
      </b:Author>
    </b:Author>
    <b:RefOrder>12</b:RefOrder>
  </b:Source>
  <b:Source>
    <b:Tag>Tho21</b:Tag>
    <b:SourceType>Book</b:SourceType>
    <b:Guid>{ED779112-CBA8-409A-B6BA-B060FDE1EDBD}</b:Guid>
    <b:Title>Anti-Discriminatory Practice: Equality, Diversity and Social Justice -7th edn</b:Title>
    <b:Year>2021</b:Year>
    <b:Author>
      <b:Author>
        <b:NameList>
          <b:Person>
            <b:Last>Thompson</b:Last>
            <b:First>N.</b:First>
          </b:Person>
        </b:NameList>
      </b:Author>
    </b:Author>
    <b:City>London</b:City>
    <b:Publisher>Palgrave Macmillan</b:Publisher>
    <b:RefOrder>13</b:RefOrder>
  </b:Source>
  <b:Source>
    <b:Tag>Tre12</b:Tag>
    <b:SourceType>Book</b:SourceType>
    <b:Guid>{9E1ED251-D356-4B89-B62E-224E87D4E77E}</b:Guid>
    <b:Author>
      <b:Author>
        <b:NameList>
          <b:Person>
            <b:Last>Trevithick</b:Last>
            <b:First>P.</b:First>
          </b:Person>
        </b:NameList>
      </b:Author>
    </b:Author>
    <b:Title> Social Work Skills and Knowledge: A Practice Handbook. 3rd edn. </b:Title>
    <b:Year>2012</b:Year>
    <b:City>Maidenhead</b:City>
    <b:Publisher>Open University Press.</b:Publisher>
    <b:RefOrder>14</b:RefOrder>
  </b:Source>
  <b:Source>
    <b:Tag>Wel22</b:Tag>
    <b:SourceType>Report</b:SourceType>
    <b:Guid>{A883AF27-346D-4BAF-A636-9AE89C15311C}</b:Guid>
    <b:Title>More than Just Words: Strategic Framework for Promoting the Welsh Language in Health, Social Services and Social Care (2022-2027)</b:Title>
    <b:Year>2022</b:Year>
    <b:City>Cardiff.</b:City>
    <b:Publisher>Welsh Government</b:Publisher>
    <b:Author>
      <b:Author>
        <b:NameList>
          <b:Person>
            <b:Last>Government</b:Last>
            <b:First>Welsh</b:First>
          </b:Person>
        </b:NameList>
      </b:Author>
    </b:Author>
    <b:RefOrder>15</b:RefOrder>
  </b:Source>
  <b:Source>
    <b:Tag>Att07</b:Tag>
    <b:SourceType>Book</b:SourceType>
    <b:Guid>{59E1F49E-56A7-49EE-B065-266E3E2EBCB4}</b:Guid>
    <b:Title>The Complete Guide to Asperger's Syndrome</b:Title>
    <b:Year>2007</b:Year>
    <b:Publisher>Jessica Kingsley Publishers</b:Publisher>
    <b:City>London</b:City>
    <b:Author>
      <b:Author>
        <b:NameList>
          <b:Person>
            <b:Last>Attwood</b:Last>
            <b:First>T.</b:First>
          </b:Person>
        </b:NameList>
      </b:Author>
    </b:Author>
    <b:RefOrder>16</b:RefOrder>
  </b:Source>
  <b:Source>
    <b:Tag>Lav11</b:Tag>
    <b:SourceType>Book</b:SourceType>
    <b:Guid>{9249A05A-0FB5-4D2D-9023-5B082E502FEF}</b:Guid>
    <b:Author>
      <b:Author>
        <b:NameList>
          <b:Person>
            <b:Last>Lavalette</b:Last>
            <b:First>M.</b:First>
          </b:Person>
        </b:NameList>
      </b:Author>
    </b:Author>
    <b:Title>Radical Social Work Today: Social Work at the Crossroads.</b:Title>
    <b:Year>2011</b:Year>
    <b:City>Bristol</b:City>
    <b:Publisher>Policy Press</b:Publisher>
    <b:RefOrder>17</b:RefOrder>
  </b:Source>
</b:Sources>
</file>

<file path=customXml/itemProps1.xml><?xml version="1.0" encoding="utf-8"?>
<ds:datastoreItem xmlns:ds="http://schemas.openxmlformats.org/officeDocument/2006/customXml" ds:itemID="{621E17D0-EEB2-4FBE-B784-B436C36B8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2360</Words>
  <Characters>13666</Characters>
  <Application>Microsoft Office Word</Application>
  <DocSecurity>0</DocSecurity>
  <Lines>290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Pybus</dc:creator>
  <cp:keywords/>
  <dc:description/>
  <cp:lastModifiedBy>Phil Pybus</cp:lastModifiedBy>
  <cp:revision>3</cp:revision>
  <cp:lastPrinted>2026-02-15T13:18:00Z</cp:lastPrinted>
  <dcterms:created xsi:type="dcterms:W3CDTF">2026-02-24T15:58:00Z</dcterms:created>
  <dcterms:modified xsi:type="dcterms:W3CDTF">2026-02-24T16:08:00Z</dcterms:modified>
</cp:coreProperties>
</file>