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E135E" w14:textId="6FCC8E65" w:rsidR="00281DDD" w:rsidRPr="00971530" w:rsidRDefault="00281DDD" w:rsidP="00971530">
      <w:pPr>
        <w:spacing w:line="360" w:lineRule="auto"/>
        <w:rPr>
          <w:rFonts w:ascii="Arial" w:hAnsi="Arial" w:cs="Arial"/>
          <w:sz w:val="22"/>
          <w:szCs w:val="22"/>
        </w:rPr>
      </w:pPr>
      <w:r w:rsidRPr="00971530">
        <w:rPr>
          <w:rFonts w:ascii="Arial" w:eastAsia="Arial" w:hAnsi="Arial" w:cs="Arial"/>
          <w:noProof/>
          <w:color w:val="000000"/>
          <w:sz w:val="22"/>
          <w:szCs w:val="22"/>
        </w:rPr>
        <mc:AlternateContent>
          <mc:Choice Requires="wpg">
            <w:drawing>
              <wp:anchor distT="0" distB="0" distL="114300" distR="114300" simplePos="0" relativeHeight="251659264" behindDoc="1" locked="0" layoutInCell="1" allowOverlap="1" wp14:anchorId="6E29E93D" wp14:editId="62FC38B9">
                <wp:simplePos x="0" y="0"/>
                <wp:positionH relativeFrom="column">
                  <wp:posOffset>-850900</wp:posOffset>
                </wp:positionH>
                <wp:positionV relativeFrom="paragraph">
                  <wp:posOffset>-825500</wp:posOffset>
                </wp:positionV>
                <wp:extent cx="2576195" cy="10591800"/>
                <wp:effectExtent l="0" t="0" r="0" b="0"/>
                <wp:wrapNone/>
                <wp:docPr id="1" name="Group 1"/>
                <wp:cNvGraphicFramePr/>
                <a:graphic xmlns:a="http://schemas.openxmlformats.org/drawingml/2006/main">
                  <a:graphicData uri="http://schemas.microsoft.com/office/word/2010/wordprocessingGroup">
                    <wpg:wgp>
                      <wpg:cNvGrpSpPr/>
                      <wpg:grpSpPr>
                        <a:xfrm>
                          <a:off x="0" y="0"/>
                          <a:ext cx="2576195" cy="10591800"/>
                          <a:chOff x="-78505" y="963468"/>
                          <a:chExt cx="2475967" cy="9157260"/>
                        </a:xfrm>
                      </wpg:grpSpPr>
                      <wps:wsp>
                        <wps:cNvPr id="2" name="Rectangle 2"/>
                        <wps:cNvSpPr/>
                        <wps:spPr>
                          <a:xfrm>
                            <a:off x="202912" y="995028"/>
                            <a:ext cx="2194550" cy="9125700"/>
                          </a:xfrm>
                          <a:prstGeom prst="rect">
                            <a:avLst/>
                          </a:prstGeom>
                          <a:noFill/>
                          <a:ln>
                            <a:noFill/>
                          </a:ln>
                        </wps:spPr>
                        <wps:txbx>
                          <w:txbxContent>
                            <w:p w14:paraId="603906FB" w14:textId="77777777" w:rsidR="00281DDD" w:rsidRDefault="00281DDD" w:rsidP="00281DDD">
                              <w:pPr>
                                <w:spacing w:after="0" w:line="240" w:lineRule="auto"/>
                                <w:textDirection w:val="btLr"/>
                              </w:pPr>
                            </w:p>
                            <w:p w14:paraId="4A40785F" w14:textId="77777777" w:rsidR="00281DDD" w:rsidRDefault="00281DDD" w:rsidP="00281DDD">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78505" y="963468"/>
                            <a:ext cx="194535" cy="9125713"/>
                          </a:xfrm>
                          <a:prstGeom prst="rect">
                            <a:avLst/>
                          </a:prstGeom>
                          <a:solidFill>
                            <a:schemeClr val="dk2"/>
                          </a:solidFill>
                          <a:ln>
                            <a:noFill/>
                          </a:ln>
                        </wps:spPr>
                        <wps:txbx>
                          <w:txbxContent>
                            <w:p w14:paraId="1C8DEE58" w14:textId="77777777" w:rsidR="00281DDD" w:rsidRDefault="00281DDD" w:rsidP="00281DDD">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E29E93D" id="Group 1" o:spid="_x0000_s1026" style="position:absolute;margin-left:-67pt;margin-top:-65pt;width:202.85pt;height:834pt;z-index:-251657216;mso-width-relative:margin;mso-height-relative:margin" coordorigin="-785,9634" coordsize="24759,9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">
                <v:rect id="Rectangle 2" o:spid="_x0000_s1027" style="position:absolute;left:2029;top:9950;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603906FB" w14:textId="77777777" w:rsidR="00281DDD" w:rsidRDefault="00281DDD" w:rsidP="00281DDD">
                        <w:pPr>
                          <w:spacing w:after="0" w:line="240" w:lineRule="auto"/>
                          <w:textDirection w:val="btLr"/>
                        </w:pPr>
                      </w:p>
                      <w:p w14:paraId="4A40785F" w14:textId="77777777" w:rsidR="00281DDD" w:rsidRDefault="00281DDD" w:rsidP="00281DDD">
                        <w:pPr>
                          <w:spacing w:after="0" w:line="240" w:lineRule="auto"/>
                          <w:textDirection w:val="btLr"/>
                        </w:pPr>
                      </w:p>
                    </w:txbxContent>
                  </v:textbox>
                </v:rect>
                <v:rect id="Rectangle 3" o:spid="_x0000_s1028" style="position:absolute;left:-785;top:9634;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C8DEE58" w14:textId="77777777" w:rsidR="00281DDD" w:rsidRDefault="00281DDD" w:rsidP="00281DDD">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p>
    <w:p w14:paraId="3BAE9BD6" w14:textId="7DB70925" w:rsidR="00281DDD" w:rsidRPr="00971530" w:rsidRDefault="00971530" w:rsidP="00971530">
      <w:pPr>
        <w:spacing w:line="360" w:lineRule="auto"/>
        <w:rPr>
          <w:rFonts w:ascii="Arial" w:hAnsi="Arial" w:cs="Arial"/>
          <w:sz w:val="22"/>
          <w:szCs w:val="22"/>
        </w:rPr>
      </w:pPr>
      <w:r w:rsidRPr="00971530">
        <w:rPr>
          <w:rFonts w:ascii="Arial" w:eastAsia="Arial" w:hAnsi="Arial" w:cs="Arial"/>
          <w:noProof/>
          <w:color w:val="000000"/>
          <w:sz w:val="22"/>
          <w:szCs w:val="22"/>
        </w:rPr>
        <mc:AlternateContent>
          <mc:Choice Requires="wps">
            <w:drawing>
              <wp:anchor distT="0" distB="0" distL="114300" distR="114300" simplePos="0" relativeHeight="251663360" behindDoc="0" locked="0" layoutInCell="1" hidden="0" allowOverlap="1" wp14:anchorId="1777907E" wp14:editId="71E6C5DA">
                <wp:simplePos x="0" y="0"/>
                <wp:positionH relativeFrom="margin">
                  <wp:align>right</wp:align>
                </wp:positionH>
                <wp:positionV relativeFrom="page">
                  <wp:posOffset>9483380</wp:posOffset>
                </wp:positionV>
                <wp:extent cx="3667125" cy="375285"/>
                <wp:effectExtent l="0" t="0" r="9525" b="5715"/>
                <wp:wrapNone/>
                <wp:docPr id="35" name="Rectangle 35"/>
                <wp:cNvGraphicFramePr/>
                <a:graphic xmlns:a="http://schemas.openxmlformats.org/drawingml/2006/main">
                  <a:graphicData uri="http://schemas.microsoft.com/office/word/2010/wordprocessingShape">
                    <wps:wsp>
                      <wps:cNvSpPr/>
                      <wps:spPr>
                        <a:xfrm>
                          <a:off x="0" y="0"/>
                          <a:ext cx="3667125" cy="375285"/>
                        </a:xfrm>
                        <a:prstGeom prst="rect">
                          <a:avLst/>
                        </a:prstGeom>
                        <a:noFill/>
                        <a:ln>
                          <a:noFill/>
                        </a:ln>
                      </wps:spPr>
                      <wps:txbx>
                        <w:txbxContent>
                          <w:p w14:paraId="6857FE44" w14:textId="77777777" w:rsidR="00791C9F" w:rsidRPr="002E16F6" w:rsidRDefault="00791C9F" w:rsidP="00791C9F">
                            <w:pPr>
                              <w:spacing w:after="0" w:line="240" w:lineRule="auto"/>
                              <w:textDirection w:val="btLr"/>
                              <w:rPr>
                                <w:sz w:val="22"/>
                                <w:szCs w:val="22"/>
                              </w:rPr>
                            </w:pPr>
                            <w:r w:rsidRPr="002E16F6">
                              <w:rPr>
                                <w:rFonts w:ascii="Arial" w:eastAsia="Arial" w:hAnsi="Arial" w:cs="Arial"/>
                                <w:color w:val="156082"/>
                                <w:sz w:val="22"/>
                                <w:szCs w:val="22"/>
                              </w:rPr>
                              <w:t>University of Wales Trinity Saint David</w:t>
                            </w:r>
                          </w:p>
                          <w:p w14:paraId="12C26021" w14:textId="77777777" w:rsidR="00791C9F" w:rsidRPr="002E16F6" w:rsidRDefault="00791C9F" w:rsidP="00791C9F">
                            <w:pPr>
                              <w:spacing w:after="0" w:line="240" w:lineRule="auto"/>
                              <w:textDirection w:val="btLr"/>
                              <w:rPr>
                                <w:sz w:val="22"/>
                                <w:szCs w:val="22"/>
                              </w:rPr>
                            </w:pPr>
                            <w:r w:rsidRPr="002E16F6">
                              <w:rPr>
                                <w:rFonts w:ascii="Arial" w:eastAsia="Arial" w:hAnsi="Arial" w:cs="Arial"/>
                                <w:smallCaps/>
                                <w:color w:val="595959"/>
                                <w:sz w:val="22"/>
                                <w:szCs w:val="22"/>
                              </w:rPr>
                              <w:t>LONDON CAMPUS</w:t>
                            </w:r>
                          </w:p>
                        </w:txbxContent>
                      </wps:txbx>
                      <wps:bodyPr spcFirstLastPara="1" wrap="square" lIns="0" tIns="0" rIns="0" bIns="0" anchor="b" anchorCtr="0">
                        <a:noAutofit/>
                      </wps:bodyPr>
                    </wps:wsp>
                  </a:graphicData>
                </a:graphic>
              </wp:anchor>
            </w:drawing>
          </mc:Choice>
          <mc:Fallback>
            <w:pict>
              <v:rect w14:anchorId="1777907E" id="Rectangle 35" o:spid="_x0000_s1055" style="position:absolute;margin-left:237.55pt;margin-top:746.7pt;width:288.75pt;height:29.55pt;z-index:251663360;visibility:visible;mso-wrap-style:square;mso-wrap-distance-left:9pt;mso-wrap-distance-top:0;mso-wrap-distance-right:9pt;mso-wrap-distance-bottom:0;mso-position-horizontal:right;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" filled="f" stroked="f">
                <v:textbox inset="0,0,0,0">
                  <w:txbxContent>
                    <w:p w14:paraId="6857FE44" w14:textId="77777777" w:rsidR="00791C9F" w:rsidRPr="002E16F6" w:rsidRDefault="00791C9F" w:rsidP="00791C9F">
                      <w:pPr>
                        <w:spacing w:after="0" w:line="240" w:lineRule="auto"/>
                        <w:textDirection w:val="btLr"/>
                        <w:rPr>
                          <w:sz w:val="22"/>
                          <w:szCs w:val="22"/>
                        </w:rPr>
                      </w:pPr>
                      <w:r w:rsidRPr="002E16F6">
                        <w:rPr>
                          <w:rFonts w:ascii="Arial" w:eastAsia="Arial" w:hAnsi="Arial" w:cs="Arial"/>
                          <w:color w:val="156082"/>
                          <w:sz w:val="22"/>
                          <w:szCs w:val="22"/>
                        </w:rPr>
                        <w:t>University of Wales Trinity Saint David</w:t>
                      </w:r>
                    </w:p>
                    <w:p w14:paraId="12C26021" w14:textId="77777777" w:rsidR="00791C9F" w:rsidRPr="002E16F6" w:rsidRDefault="00791C9F" w:rsidP="00791C9F">
                      <w:pPr>
                        <w:spacing w:after="0" w:line="240" w:lineRule="auto"/>
                        <w:textDirection w:val="btLr"/>
                        <w:rPr>
                          <w:sz w:val="22"/>
                          <w:szCs w:val="22"/>
                        </w:rPr>
                      </w:pPr>
                      <w:r w:rsidRPr="002E16F6">
                        <w:rPr>
                          <w:rFonts w:ascii="Arial" w:eastAsia="Arial" w:hAnsi="Arial" w:cs="Arial"/>
                          <w:smallCaps/>
                          <w:color w:val="595959"/>
                          <w:sz w:val="22"/>
                          <w:szCs w:val="22"/>
                        </w:rPr>
                        <w:t>LONDON CAMPUS</w:t>
                      </w:r>
                    </w:p>
                  </w:txbxContent>
                </v:textbox>
                <w10:wrap anchorx="margin" anchory="page"/>
              </v:rect>
            </w:pict>
          </mc:Fallback>
        </mc:AlternateContent>
      </w:r>
      <w:r w:rsidRPr="00971530">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1A42424A" wp14:editId="5E736299">
                <wp:simplePos x="0" y="0"/>
                <wp:positionH relativeFrom="column">
                  <wp:posOffset>1689374</wp:posOffset>
                </wp:positionH>
                <wp:positionV relativeFrom="paragraph">
                  <wp:posOffset>1071591</wp:posOffset>
                </wp:positionV>
                <wp:extent cx="3761740" cy="1863090"/>
                <wp:effectExtent l="0" t="0" r="101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1740" cy="1863090"/>
                        </a:xfrm>
                        <a:prstGeom prst="rect">
                          <a:avLst/>
                        </a:prstGeom>
                        <a:solidFill>
                          <a:srgbClr val="FFFFFF"/>
                        </a:solidFill>
                        <a:ln w="9525">
                          <a:solidFill>
                            <a:srgbClr val="000000"/>
                          </a:solidFill>
                          <a:miter lim="800000"/>
                          <a:headEnd/>
                          <a:tailEnd/>
                        </a:ln>
                      </wps:spPr>
                      <wps:txbx>
                        <w:txbxContent>
                          <w:p w14:paraId="503189FB" w14:textId="5C787111" w:rsidR="00971530" w:rsidRPr="00971530" w:rsidRDefault="00971530" w:rsidP="002E0A87">
                            <w:pPr>
                              <w:spacing w:before="120" w:line="360" w:lineRule="auto"/>
                              <w:textDirection w:val="btLr"/>
                              <w:rPr>
                                <w:rFonts w:ascii="Arial" w:hAnsi="Arial" w:cs="Arial"/>
                                <w:b/>
                                <w:bCs/>
                                <w:color w:val="404040"/>
                                <w:sz w:val="22"/>
                                <w:szCs w:val="22"/>
                              </w:rPr>
                            </w:pPr>
                            <w:r w:rsidRPr="002E16F6">
                              <w:rPr>
                                <w:rFonts w:ascii="Arial" w:hAnsi="Arial" w:cs="Arial"/>
                                <w:color w:val="404040"/>
                                <w:sz w:val="22"/>
                                <w:szCs w:val="22"/>
                              </w:rPr>
                              <w:t xml:space="preserve">Module Name: </w:t>
                            </w:r>
                            <w:r w:rsidRPr="00971530">
                              <w:rPr>
                                <w:rFonts w:ascii="Arial" w:hAnsi="Arial" w:cs="Arial"/>
                                <w:color w:val="404040"/>
                                <w:sz w:val="22"/>
                                <w:szCs w:val="22"/>
                              </w:rPr>
                              <w:t>Academic and Employability Skills</w:t>
                            </w:r>
                          </w:p>
                          <w:p w14:paraId="17874744" w14:textId="46466AE8" w:rsidR="00971530" w:rsidRPr="00971530" w:rsidRDefault="00971530" w:rsidP="002E0A87">
                            <w:pPr>
                              <w:spacing w:before="120" w:line="360" w:lineRule="auto"/>
                              <w:textDirection w:val="btLr"/>
                              <w:rPr>
                                <w:rFonts w:ascii="Arial" w:hAnsi="Arial" w:cs="Arial"/>
                                <w:b/>
                                <w:bCs/>
                                <w:color w:val="404040"/>
                                <w:sz w:val="22"/>
                                <w:szCs w:val="22"/>
                              </w:rPr>
                            </w:pPr>
                            <w:r w:rsidRPr="002E16F6">
                              <w:rPr>
                                <w:rFonts w:ascii="Arial" w:hAnsi="Arial" w:cs="Arial"/>
                                <w:color w:val="404040"/>
                                <w:sz w:val="22"/>
                                <w:szCs w:val="22"/>
                              </w:rPr>
                              <w:t xml:space="preserve">Module Code: </w:t>
                            </w:r>
                            <w:r w:rsidRPr="00971530">
                              <w:rPr>
                                <w:rFonts w:ascii="Arial" w:hAnsi="Arial" w:cs="Arial"/>
                                <w:color w:val="404040"/>
                                <w:sz w:val="22"/>
                                <w:szCs w:val="22"/>
                              </w:rPr>
                              <w:t>(LCHS4001_LON)</w:t>
                            </w:r>
                          </w:p>
                          <w:p w14:paraId="3BC5B074" w14:textId="77777777" w:rsidR="00971530" w:rsidRPr="002E16F6" w:rsidRDefault="00971530" w:rsidP="002E0A87">
                            <w:pPr>
                              <w:spacing w:before="120" w:line="360" w:lineRule="auto"/>
                              <w:textDirection w:val="btLr"/>
                              <w:rPr>
                                <w:rFonts w:ascii="Arial" w:hAnsi="Arial" w:cs="Arial"/>
                                <w:sz w:val="22"/>
                                <w:szCs w:val="22"/>
                              </w:rPr>
                            </w:pPr>
                            <w:r w:rsidRPr="002E16F6">
                              <w:rPr>
                                <w:rFonts w:ascii="Arial" w:hAnsi="Arial" w:cs="Arial"/>
                                <w:color w:val="404040"/>
                                <w:sz w:val="22"/>
                                <w:szCs w:val="22"/>
                              </w:rPr>
                              <w:t>Student name: Patricia Tandazo</w:t>
                            </w:r>
                          </w:p>
                          <w:p w14:paraId="2A0F2730" w14:textId="77777777" w:rsidR="00971530" w:rsidRPr="002E16F6" w:rsidRDefault="00971530" w:rsidP="002E0A87">
                            <w:pPr>
                              <w:spacing w:before="120" w:line="360" w:lineRule="auto"/>
                              <w:textDirection w:val="btLr"/>
                              <w:rPr>
                                <w:rFonts w:ascii="Arial" w:hAnsi="Arial" w:cs="Arial"/>
                                <w:sz w:val="22"/>
                                <w:szCs w:val="22"/>
                              </w:rPr>
                            </w:pPr>
                            <w:r w:rsidRPr="002E16F6">
                              <w:rPr>
                                <w:rFonts w:ascii="Arial" w:hAnsi="Arial" w:cs="Arial"/>
                                <w:color w:val="404040"/>
                                <w:sz w:val="22"/>
                                <w:szCs w:val="22"/>
                              </w:rPr>
                              <w:t>Student ID: 2545058</w:t>
                            </w:r>
                          </w:p>
                          <w:p w14:paraId="225F1622" w14:textId="044252B8" w:rsidR="00971530" w:rsidRPr="002E16F6" w:rsidRDefault="00971530" w:rsidP="002E0A87">
                            <w:pPr>
                              <w:spacing w:before="120" w:line="360" w:lineRule="auto"/>
                              <w:textDirection w:val="btLr"/>
                              <w:rPr>
                                <w:rFonts w:ascii="Arial" w:hAnsi="Arial" w:cs="Arial"/>
                                <w:sz w:val="22"/>
                                <w:szCs w:val="22"/>
                              </w:rPr>
                            </w:pPr>
                            <w:r w:rsidRPr="002E16F6">
                              <w:rPr>
                                <w:rFonts w:ascii="Arial" w:hAnsi="Arial" w:cs="Arial"/>
                                <w:color w:val="404040"/>
                                <w:sz w:val="22"/>
                                <w:szCs w:val="22"/>
                              </w:rPr>
                              <w:t>Lecturer’s Name:</w:t>
                            </w:r>
                            <w:r>
                              <w:rPr>
                                <w:rFonts w:ascii="Arial" w:hAnsi="Arial" w:cs="Arial"/>
                                <w:color w:val="404040"/>
                                <w:sz w:val="22"/>
                                <w:szCs w:val="22"/>
                              </w:rPr>
                              <w:t xml:space="preserve"> Rajeev Nath</w:t>
                            </w:r>
                          </w:p>
                          <w:p w14:paraId="290DDF0E" w14:textId="4FA20FA1" w:rsidR="00791C9F" w:rsidRDefault="00791C9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42424A" id="_x0000_t202" coordsize="21600,21600" o:spt="202" path="m,l,21600r21600,l21600,xe">
                <v:stroke joinstyle="miter"/>
                <v:path gradientshapeok="t" o:connecttype="rect"/>
              </v:shapetype>
              <v:shape id="Text Box 2" o:spid="_x0000_s1056" type="#_x0000_t202" style="position:absolute;margin-left:133pt;margin-top:84.4pt;width:296.2pt;height:146.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">
                <v:textbox>
                  <w:txbxContent>
                    <w:p w14:paraId="503189FB" w14:textId="5C787111" w:rsidR="00971530" w:rsidRPr="00971530" w:rsidRDefault="00971530" w:rsidP="002E0A87">
                      <w:pPr>
                        <w:spacing w:before="120" w:line="360" w:lineRule="auto"/>
                        <w:textDirection w:val="btLr"/>
                        <w:rPr>
                          <w:rFonts w:ascii="Arial" w:hAnsi="Arial" w:cs="Arial"/>
                          <w:b/>
                          <w:bCs/>
                          <w:color w:val="404040"/>
                          <w:sz w:val="22"/>
                          <w:szCs w:val="22"/>
                        </w:rPr>
                      </w:pPr>
                      <w:r w:rsidRPr="002E16F6">
                        <w:rPr>
                          <w:rFonts w:ascii="Arial" w:hAnsi="Arial" w:cs="Arial"/>
                          <w:color w:val="404040"/>
                          <w:sz w:val="22"/>
                          <w:szCs w:val="22"/>
                        </w:rPr>
                        <w:t xml:space="preserve">Module Name: </w:t>
                      </w:r>
                      <w:r w:rsidRPr="00971530">
                        <w:rPr>
                          <w:rFonts w:ascii="Arial" w:hAnsi="Arial" w:cs="Arial"/>
                          <w:color w:val="404040"/>
                          <w:sz w:val="22"/>
                          <w:szCs w:val="22"/>
                        </w:rPr>
                        <w:t>Academic and Employability Skills</w:t>
                      </w:r>
                    </w:p>
                    <w:p w14:paraId="17874744" w14:textId="46466AE8" w:rsidR="00971530" w:rsidRPr="00971530" w:rsidRDefault="00971530" w:rsidP="002E0A87">
                      <w:pPr>
                        <w:spacing w:before="120" w:line="360" w:lineRule="auto"/>
                        <w:textDirection w:val="btLr"/>
                        <w:rPr>
                          <w:rFonts w:ascii="Arial" w:hAnsi="Arial" w:cs="Arial"/>
                          <w:b/>
                          <w:bCs/>
                          <w:color w:val="404040"/>
                          <w:sz w:val="22"/>
                          <w:szCs w:val="22"/>
                        </w:rPr>
                      </w:pPr>
                      <w:r w:rsidRPr="002E16F6">
                        <w:rPr>
                          <w:rFonts w:ascii="Arial" w:hAnsi="Arial" w:cs="Arial"/>
                          <w:color w:val="404040"/>
                          <w:sz w:val="22"/>
                          <w:szCs w:val="22"/>
                        </w:rPr>
                        <w:t xml:space="preserve">Module Code: </w:t>
                      </w:r>
                      <w:r w:rsidRPr="00971530">
                        <w:rPr>
                          <w:rFonts w:ascii="Arial" w:hAnsi="Arial" w:cs="Arial"/>
                          <w:color w:val="404040"/>
                          <w:sz w:val="22"/>
                          <w:szCs w:val="22"/>
                        </w:rPr>
                        <w:t>(LCHS4001_LON)</w:t>
                      </w:r>
                    </w:p>
                    <w:p w14:paraId="3BC5B074" w14:textId="77777777" w:rsidR="00971530" w:rsidRPr="002E16F6" w:rsidRDefault="00971530" w:rsidP="002E0A87">
                      <w:pPr>
                        <w:spacing w:before="120" w:line="360" w:lineRule="auto"/>
                        <w:textDirection w:val="btLr"/>
                        <w:rPr>
                          <w:rFonts w:ascii="Arial" w:hAnsi="Arial" w:cs="Arial"/>
                          <w:sz w:val="22"/>
                          <w:szCs w:val="22"/>
                        </w:rPr>
                      </w:pPr>
                      <w:r w:rsidRPr="002E16F6">
                        <w:rPr>
                          <w:rFonts w:ascii="Arial" w:hAnsi="Arial" w:cs="Arial"/>
                          <w:color w:val="404040"/>
                          <w:sz w:val="22"/>
                          <w:szCs w:val="22"/>
                        </w:rPr>
                        <w:t>Student name: Patricia Tandazo</w:t>
                      </w:r>
                    </w:p>
                    <w:p w14:paraId="2A0F2730" w14:textId="77777777" w:rsidR="00971530" w:rsidRPr="002E16F6" w:rsidRDefault="00971530" w:rsidP="002E0A87">
                      <w:pPr>
                        <w:spacing w:before="120" w:line="360" w:lineRule="auto"/>
                        <w:textDirection w:val="btLr"/>
                        <w:rPr>
                          <w:rFonts w:ascii="Arial" w:hAnsi="Arial" w:cs="Arial"/>
                          <w:sz w:val="22"/>
                          <w:szCs w:val="22"/>
                        </w:rPr>
                      </w:pPr>
                      <w:r w:rsidRPr="002E16F6">
                        <w:rPr>
                          <w:rFonts w:ascii="Arial" w:hAnsi="Arial" w:cs="Arial"/>
                          <w:color w:val="404040"/>
                          <w:sz w:val="22"/>
                          <w:szCs w:val="22"/>
                        </w:rPr>
                        <w:t>Student ID: 2545058</w:t>
                      </w:r>
                    </w:p>
                    <w:p w14:paraId="225F1622" w14:textId="044252B8" w:rsidR="00971530" w:rsidRPr="002E16F6" w:rsidRDefault="00971530" w:rsidP="002E0A87">
                      <w:pPr>
                        <w:spacing w:before="120" w:line="360" w:lineRule="auto"/>
                        <w:textDirection w:val="btLr"/>
                        <w:rPr>
                          <w:rFonts w:ascii="Arial" w:hAnsi="Arial" w:cs="Arial"/>
                          <w:sz w:val="22"/>
                          <w:szCs w:val="22"/>
                        </w:rPr>
                      </w:pPr>
                      <w:r w:rsidRPr="002E16F6">
                        <w:rPr>
                          <w:rFonts w:ascii="Arial" w:hAnsi="Arial" w:cs="Arial"/>
                          <w:color w:val="404040"/>
                          <w:sz w:val="22"/>
                          <w:szCs w:val="22"/>
                        </w:rPr>
                        <w:t>Lecturer’s Name:</w:t>
                      </w:r>
                      <w:r>
                        <w:rPr>
                          <w:rFonts w:ascii="Arial" w:hAnsi="Arial" w:cs="Arial"/>
                          <w:color w:val="404040"/>
                          <w:sz w:val="22"/>
                          <w:szCs w:val="22"/>
                        </w:rPr>
                        <w:t xml:space="preserve"> Rajeev Nath</w:t>
                      </w:r>
                    </w:p>
                    <w:p w14:paraId="290DDF0E" w14:textId="4FA20FA1" w:rsidR="00791C9F" w:rsidRDefault="00791C9F"/>
                  </w:txbxContent>
                </v:textbox>
                <w10:wrap type="square"/>
              </v:shape>
            </w:pict>
          </mc:Fallback>
        </mc:AlternateContent>
      </w:r>
      <w:r w:rsidR="00281DDD" w:rsidRPr="00971530">
        <w:rPr>
          <w:rFonts w:ascii="Arial" w:hAnsi="Arial" w:cs="Arial"/>
          <w:sz w:val="22"/>
          <w:szCs w:val="22"/>
        </w:rPr>
        <w:br w:type="page"/>
      </w:r>
    </w:p>
    <w:sdt>
      <w:sdtPr>
        <w:rPr>
          <w:rFonts w:ascii="Arial" w:eastAsia="Aptos" w:hAnsi="Arial" w:cs="Arial"/>
          <w:color w:val="auto"/>
          <w:sz w:val="22"/>
          <w:szCs w:val="22"/>
          <w:lang w:val="en-GB"/>
        </w:rPr>
        <w:id w:val="-854345165"/>
        <w:docPartObj>
          <w:docPartGallery w:val="Table of Contents"/>
          <w:docPartUnique/>
        </w:docPartObj>
      </w:sdtPr>
      <w:sdtEndPr>
        <w:rPr>
          <w:b/>
          <w:bCs/>
          <w:noProof/>
        </w:rPr>
      </w:sdtEndPr>
      <w:sdtContent>
        <w:p w14:paraId="0C37D512" w14:textId="192D918D" w:rsidR="00281DDD" w:rsidRPr="002E0A87" w:rsidRDefault="00281DDD" w:rsidP="002E0A87">
          <w:pPr>
            <w:pStyle w:val="TOCHeading"/>
            <w:spacing w:line="360" w:lineRule="auto"/>
            <w:rPr>
              <w:rFonts w:ascii="Arial" w:hAnsi="Arial" w:cs="Arial"/>
              <w:b/>
              <w:bCs/>
              <w:sz w:val="22"/>
              <w:szCs w:val="22"/>
            </w:rPr>
          </w:pPr>
          <w:r w:rsidRPr="002E0A87">
            <w:rPr>
              <w:rFonts w:ascii="Arial" w:hAnsi="Arial" w:cs="Arial"/>
              <w:b/>
              <w:bCs/>
              <w:sz w:val="22"/>
              <w:szCs w:val="22"/>
            </w:rPr>
            <w:t>Table of Contents</w:t>
          </w:r>
        </w:p>
        <w:p w14:paraId="792848DB" w14:textId="4717B892" w:rsidR="00791C9F" w:rsidRPr="002E0A87" w:rsidRDefault="00281DDD" w:rsidP="002E0A87">
          <w:pPr>
            <w:pStyle w:val="TOC1"/>
            <w:tabs>
              <w:tab w:val="right" w:leader="dot" w:pos="9016"/>
            </w:tabs>
            <w:spacing w:line="360" w:lineRule="auto"/>
            <w:rPr>
              <w:rFonts w:ascii="Arial" w:hAnsi="Arial" w:cs="Arial"/>
              <w:noProof/>
              <w:sz w:val="22"/>
              <w:szCs w:val="22"/>
            </w:rPr>
          </w:pPr>
          <w:r w:rsidRPr="002E0A87">
            <w:rPr>
              <w:rFonts w:ascii="Arial" w:hAnsi="Arial" w:cs="Arial"/>
              <w:sz w:val="22"/>
              <w:szCs w:val="22"/>
            </w:rPr>
            <w:fldChar w:fldCharType="begin"/>
          </w:r>
          <w:r w:rsidRPr="002E0A87">
            <w:rPr>
              <w:rFonts w:ascii="Arial" w:hAnsi="Arial" w:cs="Arial"/>
              <w:sz w:val="22"/>
              <w:szCs w:val="22"/>
            </w:rPr>
            <w:instrText xml:space="preserve"> TOC \o "1-3" \h \z \u </w:instrText>
          </w:r>
          <w:r w:rsidRPr="002E0A87">
            <w:rPr>
              <w:rFonts w:ascii="Arial" w:hAnsi="Arial" w:cs="Arial"/>
              <w:sz w:val="22"/>
              <w:szCs w:val="22"/>
            </w:rPr>
            <w:fldChar w:fldCharType="separate"/>
          </w:r>
          <w:hyperlink w:anchor="_Toc238192649" w:history="1">
            <w:r w:rsidR="00791C9F" w:rsidRPr="002E0A87">
              <w:rPr>
                <w:rStyle w:val="Hyperlink"/>
                <w:rFonts w:ascii="Arial" w:hAnsi="Arial" w:cs="Arial"/>
                <w:b/>
                <w:bCs/>
                <w:noProof/>
                <w:sz w:val="22"/>
                <w:szCs w:val="22"/>
              </w:rPr>
              <w:t>INTRODUCTION</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_Toc238192649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3</w:t>
            </w:r>
            <w:r w:rsidR="00791C9F" w:rsidRPr="002E0A87">
              <w:rPr>
                <w:rFonts w:ascii="Arial" w:hAnsi="Arial" w:cs="Arial"/>
                <w:noProof/>
                <w:webHidden/>
                <w:sz w:val="22"/>
                <w:szCs w:val="22"/>
              </w:rPr>
              <w:fldChar w:fldCharType="end"/>
            </w:r>
          </w:hyperlink>
        </w:p>
        <w:p w14:paraId="197FE409" w14:textId="50109C15" w:rsidR="00791C9F" w:rsidRPr="002E0A87" w:rsidRDefault="00D435F9" w:rsidP="002E0A87">
          <w:pPr>
            <w:pStyle w:val="TOC1"/>
            <w:tabs>
              <w:tab w:val="right" w:leader="dot" w:pos="9016"/>
            </w:tabs>
            <w:spacing w:line="360" w:lineRule="auto"/>
            <w:rPr>
              <w:rFonts w:ascii="Arial" w:hAnsi="Arial" w:cs="Arial"/>
              <w:noProof/>
              <w:sz w:val="22"/>
              <w:szCs w:val="22"/>
            </w:rPr>
          </w:pPr>
          <w:hyperlink w:anchor="_Toc238192650" w:history="1">
            <w:r w:rsidR="00791C9F" w:rsidRPr="002E0A87">
              <w:rPr>
                <w:rStyle w:val="Hyperlink"/>
                <w:rFonts w:ascii="Arial" w:hAnsi="Arial" w:cs="Arial"/>
                <w:b/>
                <w:bCs/>
                <w:noProof/>
                <w:sz w:val="22"/>
                <w:szCs w:val="22"/>
              </w:rPr>
              <w:t>Role Description</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_Toc238192650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3</w:t>
            </w:r>
            <w:r w:rsidR="00791C9F" w:rsidRPr="002E0A87">
              <w:rPr>
                <w:rFonts w:ascii="Arial" w:hAnsi="Arial" w:cs="Arial"/>
                <w:noProof/>
                <w:webHidden/>
                <w:sz w:val="22"/>
                <w:szCs w:val="22"/>
              </w:rPr>
              <w:fldChar w:fldCharType="end"/>
            </w:r>
          </w:hyperlink>
        </w:p>
        <w:p w14:paraId="5A5BE517" w14:textId="10B89650" w:rsidR="00791C9F" w:rsidRPr="002E0A87" w:rsidRDefault="00D435F9" w:rsidP="002E0A87">
          <w:pPr>
            <w:pStyle w:val="TOC2"/>
            <w:tabs>
              <w:tab w:val="right" w:leader="dot" w:pos="9016"/>
            </w:tabs>
            <w:spacing w:line="360" w:lineRule="auto"/>
            <w:rPr>
              <w:rFonts w:ascii="Arial" w:hAnsi="Arial" w:cs="Arial"/>
              <w:noProof/>
              <w:sz w:val="22"/>
              <w:szCs w:val="22"/>
            </w:rPr>
          </w:pPr>
          <w:hyperlink w:anchor="_Toc238192651" w:history="1">
            <w:r w:rsidR="00791C9F" w:rsidRPr="002E0A87">
              <w:rPr>
                <w:rStyle w:val="Hyperlink"/>
                <w:rFonts w:ascii="Arial" w:hAnsi="Arial" w:cs="Arial"/>
                <w:b/>
                <w:bCs/>
                <w:noProof/>
                <w:sz w:val="22"/>
                <w:szCs w:val="22"/>
              </w:rPr>
              <w:t>Essential Skills for the Role</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_Toc238192651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4</w:t>
            </w:r>
            <w:r w:rsidR="00791C9F" w:rsidRPr="002E0A87">
              <w:rPr>
                <w:rFonts w:ascii="Arial" w:hAnsi="Arial" w:cs="Arial"/>
                <w:noProof/>
                <w:webHidden/>
                <w:sz w:val="22"/>
                <w:szCs w:val="22"/>
              </w:rPr>
              <w:fldChar w:fldCharType="end"/>
            </w:r>
          </w:hyperlink>
        </w:p>
        <w:p w14:paraId="12708990" w14:textId="06259531" w:rsidR="00791C9F" w:rsidRPr="002E0A87" w:rsidRDefault="00D435F9" w:rsidP="002E0A87">
          <w:pPr>
            <w:pStyle w:val="TOC3"/>
            <w:tabs>
              <w:tab w:val="right" w:leader="dot" w:pos="9016"/>
            </w:tabs>
            <w:spacing w:line="360" w:lineRule="auto"/>
            <w:rPr>
              <w:rFonts w:ascii="Arial" w:hAnsi="Arial" w:cs="Arial"/>
              <w:noProof/>
              <w:sz w:val="22"/>
              <w:szCs w:val="22"/>
            </w:rPr>
          </w:pPr>
          <w:hyperlink w:anchor="_Toc238192652" w:history="1">
            <w:r w:rsidR="00791C9F" w:rsidRPr="002E0A87">
              <w:rPr>
                <w:rStyle w:val="Hyperlink"/>
                <w:rFonts w:ascii="Arial" w:hAnsi="Arial" w:cs="Arial"/>
                <w:b/>
                <w:bCs/>
                <w:noProof/>
                <w:sz w:val="22"/>
                <w:szCs w:val="22"/>
              </w:rPr>
              <w:t>Skill 1: Needs Assessment Skills</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_Toc238192652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4</w:t>
            </w:r>
            <w:r w:rsidR="00791C9F" w:rsidRPr="002E0A87">
              <w:rPr>
                <w:rFonts w:ascii="Arial" w:hAnsi="Arial" w:cs="Arial"/>
                <w:noProof/>
                <w:webHidden/>
                <w:sz w:val="22"/>
                <w:szCs w:val="22"/>
              </w:rPr>
              <w:fldChar w:fldCharType="end"/>
            </w:r>
          </w:hyperlink>
        </w:p>
        <w:p w14:paraId="025A0380" w14:textId="4A83A476" w:rsidR="00791C9F" w:rsidRPr="002E0A87" w:rsidRDefault="00D435F9" w:rsidP="002E0A87">
          <w:pPr>
            <w:pStyle w:val="TOC3"/>
            <w:tabs>
              <w:tab w:val="right" w:leader="dot" w:pos="9016"/>
            </w:tabs>
            <w:spacing w:line="360" w:lineRule="auto"/>
            <w:rPr>
              <w:rFonts w:ascii="Arial" w:hAnsi="Arial" w:cs="Arial"/>
              <w:noProof/>
              <w:sz w:val="22"/>
              <w:szCs w:val="22"/>
            </w:rPr>
          </w:pPr>
          <w:hyperlink w:anchor="_Toc238192653" w:history="1">
            <w:r w:rsidR="00791C9F" w:rsidRPr="002E0A87">
              <w:rPr>
                <w:rStyle w:val="Hyperlink"/>
                <w:rFonts w:ascii="Arial" w:hAnsi="Arial" w:cs="Arial"/>
                <w:b/>
                <w:bCs/>
                <w:noProof/>
                <w:sz w:val="22"/>
                <w:szCs w:val="22"/>
              </w:rPr>
              <w:t>Skill 2: Interprofessional Teamwork Skills</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_Toc238192653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4</w:t>
            </w:r>
            <w:r w:rsidR="00791C9F" w:rsidRPr="002E0A87">
              <w:rPr>
                <w:rFonts w:ascii="Arial" w:hAnsi="Arial" w:cs="Arial"/>
                <w:noProof/>
                <w:webHidden/>
                <w:sz w:val="22"/>
                <w:szCs w:val="22"/>
              </w:rPr>
              <w:fldChar w:fldCharType="end"/>
            </w:r>
          </w:hyperlink>
        </w:p>
        <w:p w14:paraId="52450317" w14:textId="02B54E0C" w:rsidR="00791C9F" w:rsidRPr="002E0A87" w:rsidRDefault="00D435F9" w:rsidP="002E0A87">
          <w:pPr>
            <w:pStyle w:val="TOC3"/>
            <w:tabs>
              <w:tab w:val="right" w:leader="dot" w:pos="9016"/>
            </w:tabs>
            <w:spacing w:line="360" w:lineRule="auto"/>
            <w:rPr>
              <w:rFonts w:ascii="Arial" w:hAnsi="Arial" w:cs="Arial"/>
              <w:noProof/>
              <w:sz w:val="22"/>
              <w:szCs w:val="22"/>
            </w:rPr>
          </w:pPr>
          <w:hyperlink w:anchor="_Toc238192654" w:history="1">
            <w:r w:rsidR="00791C9F" w:rsidRPr="002E0A87">
              <w:rPr>
                <w:rStyle w:val="Hyperlink"/>
                <w:rFonts w:ascii="Arial" w:hAnsi="Arial" w:cs="Arial"/>
                <w:b/>
                <w:bCs/>
                <w:noProof/>
                <w:sz w:val="22"/>
                <w:szCs w:val="22"/>
              </w:rPr>
              <w:t>Skill 3: Risk Assessment and Safeguarding Skills</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_Toc238192654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4</w:t>
            </w:r>
            <w:r w:rsidR="00791C9F" w:rsidRPr="002E0A87">
              <w:rPr>
                <w:rFonts w:ascii="Arial" w:hAnsi="Arial" w:cs="Arial"/>
                <w:noProof/>
                <w:webHidden/>
                <w:sz w:val="22"/>
                <w:szCs w:val="22"/>
              </w:rPr>
              <w:fldChar w:fldCharType="end"/>
            </w:r>
          </w:hyperlink>
        </w:p>
        <w:p w14:paraId="3C946F09" w14:textId="24A1C815" w:rsidR="00791C9F" w:rsidRPr="002E0A87" w:rsidRDefault="00D435F9" w:rsidP="002E0A87">
          <w:pPr>
            <w:pStyle w:val="TOC2"/>
            <w:tabs>
              <w:tab w:val="right" w:leader="dot" w:pos="9016"/>
            </w:tabs>
            <w:spacing w:line="360" w:lineRule="auto"/>
            <w:rPr>
              <w:rFonts w:ascii="Arial" w:hAnsi="Arial" w:cs="Arial"/>
              <w:noProof/>
              <w:sz w:val="22"/>
              <w:szCs w:val="22"/>
            </w:rPr>
          </w:pPr>
          <w:hyperlink w:anchor="_Toc238192655" w:history="1">
            <w:r w:rsidR="00791C9F" w:rsidRPr="002E0A87">
              <w:rPr>
                <w:rStyle w:val="Hyperlink"/>
                <w:rFonts w:ascii="Arial" w:hAnsi="Arial" w:cs="Arial"/>
                <w:b/>
                <w:bCs/>
                <w:noProof/>
                <w:sz w:val="22"/>
                <w:szCs w:val="22"/>
              </w:rPr>
              <w:t>Strategies to Develop These Skills</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_Toc238192655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5</w:t>
            </w:r>
            <w:r w:rsidR="00791C9F" w:rsidRPr="002E0A87">
              <w:rPr>
                <w:rFonts w:ascii="Arial" w:hAnsi="Arial" w:cs="Arial"/>
                <w:noProof/>
                <w:webHidden/>
                <w:sz w:val="22"/>
                <w:szCs w:val="22"/>
              </w:rPr>
              <w:fldChar w:fldCharType="end"/>
            </w:r>
          </w:hyperlink>
        </w:p>
        <w:p w14:paraId="25748968" w14:textId="30310C2B" w:rsidR="00791C9F" w:rsidRPr="002E0A87" w:rsidRDefault="00D435F9" w:rsidP="002E0A87">
          <w:pPr>
            <w:pStyle w:val="TOC3"/>
            <w:tabs>
              <w:tab w:val="right" w:leader="dot" w:pos="9016"/>
            </w:tabs>
            <w:spacing w:line="360" w:lineRule="auto"/>
            <w:rPr>
              <w:rFonts w:ascii="Arial" w:hAnsi="Arial" w:cs="Arial"/>
              <w:noProof/>
              <w:sz w:val="22"/>
              <w:szCs w:val="22"/>
            </w:rPr>
          </w:pPr>
          <w:hyperlink w:anchor="_Toc238192656" w:history="1">
            <w:r w:rsidR="00791C9F" w:rsidRPr="002E0A87">
              <w:rPr>
                <w:rStyle w:val="Hyperlink"/>
                <w:rFonts w:ascii="Arial" w:hAnsi="Arial" w:cs="Arial"/>
                <w:b/>
                <w:bCs/>
                <w:noProof/>
                <w:sz w:val="22"/>
                <w:szCs w:val="22"/>
              </w:rPr>
              <w:t>Strategy 1: Developing Needs Assessment Skills</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_Toc238192656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5</w:t>
            </w:r>
            <w:r w:rsidR="00791C9F" w:rsidRPr="002E0A87">
              <w:rPr>
                <w:rFonts w:ascii="Arial" w:hAnsi="Arial" w:cs="Arial"/>
                <w:noProof/>
                <w:webHidden/>
                <w:sz w:val="22"/>
                <w:szCs w:val="22"/>
              </w:rPr>
              <w:fldChar w:fldCharType="end"/>
            </w:r>
          </w:hyperlink>
        </w:p>
        <w:p w14:paraId="02C82C28" w14:textId="1093B360" w:rsidR="00791C9F" w:rsidRPr="002E0A87" w:rsidRDefault="00D435F9" w:rsidP="002E0A87">
          <w:pPr>
            <w:pStyle w:val="TOC3"/>
            <w:tabs>
              <w:tab w:val="right" w:leader="dot" w:pos="9016"/>
            </w:tabs>
            <w:spacing w:line="360" w:lineRule="auto"/>
            <w:rPr>
              <w:rFonts w:ascii="Arial" w:hAnsi="Arial" w:cs="Arial"/>
              <w:noProof/>
              <w:sz w:val="22"/>
              <w:szCs w:val="22"/>
            </w:rPr>
          </w:pPr>
          <w:hyperlink w:anchor="_Toc238192657" w:history="1">
            <w:r w:rsidR="00791C9F" w:rsidRPr="002E0A87">
              <w:rPr>
                <w:rStyle w:val="Hyperlink"/>
                <w:rFonts w:ascii="Arial" w:hAnsi="Arial" w:cs="Arial"/>
                <w:b/>
                <w:bCs/>
                <w:noProof/>
                <w:sz w:val="22"/>
                <w:szCs w:val="22"/>
              </w:rPr>
              <w:t>Strategy 2: Developing Interprofessional Teamwork Skills</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_Toc238192657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5</w:t>
            </w:r>
            <w:r w:rsidR="00791C9F" w:rsidRPr="002E0A87">
              <w:rPr>
                <w:rFonts w:ascii="Arial" w:hAnsi="Arial" w:cs="Arial"/>
                <w:noProof/>
                <w:webHidden/>
                <w:sz w:val="22"/>
                <w:szCs w:val="22"/>
              </w:rPr>
              <w:fldChar w:fldCharType="end"/>
            </w:r>
          </w:hyperlink>
        </w:p>
        <w:p w14:paraId="5452B80C" w14:textId="08E505CE" w:rsidR="00791C9F" w:rsidRPr="002E0A87" w:rsidRDefault="00D435F9" w:rsidP="002E0A87">
          <w:pPr>
            <w:pStyle w:val="TOC3"/>
            <w:tabs>
              <w:tab w:val="right" w:leader="dot" w:pos="9016"/>
            </w:tabs>
            <w:spacing w:line="360" w:lineRule="auto"/>
            <w:rPr>
              <w:rFonts w:ascii="Arial" w:hAnsi="Arial" w:cs="Arial"/>
              <w:noProof/>
              <w:sz w:val="22"/>
              <w:szCs w:val="22"/>
            </w:rPr>
          </w:pPr>
          <w:hyperlink w:anchor="_Toc238192658" w:history="1">
            <w:r w:rsidR="00791C9F" w:rsidRPr="002E0A87">
              <w:rPr>
                <w:rStyle w:val="Hyperlink"/>
                <w:rFonts w:ascii="Arial" w:hAnsi="Arial" w:cs="Arial"/>
                <w:b/>
                <w:bCs/>
                <w:noProof/>
                <w:sz w:val="22"/>
                <w:szCs w:val="22"/>
              </w:rPr>
              <w:t>Strategy 3: Developing Risk Assessment and Safeguarding Skills</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_Toc238192658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5</w:t>
            </w:r>
            <w:r w:rsidR="00791C9F" w:rsidRPr="002E0A87">
              <w:rPr>
                <w:rFonts w:ascii="Arial" w:hAnsi="Arial" w:cs="Arial"/>
                <w:noProof/>
                <w:webHidden/>
                <w:sz w:val="22"/>
                <w:szCs w:val="22"/>
              </w:rPr>
              <w:fldChar w:fldCharType="end"/>
            </w:r>
          </w:hyperlink>
        </w:p>
        <w:p w14:paraId="046B8313" w14:textId="0A1A09E5" w:rsidR="00791C9F" w:rsidRPr="002E0A87" w:rsidRDefault="00D435F9" w:rsidP="002E0A87">
          <w:pPr>
            <w:pStyle w:val="TOC1"/>
            <w:tabs>
              <w:tab w:val="right" w:leader="dot" w:pos="9016"/>
            </w:tabs>
            <w:spacing w:line="360" w:lineRule="auto"/>
            <w:rPr>
              <w:rFonts w:ascii="Arial" w:hAnsi="Arial" w:cs="Arial"/>
              <w:noProof/>
              <w:sz w:val="22"/>
              <w:szCs w:val="22"/>
            </w:rPr>
          </w:pPr>
          <w:hyperlink w:anchor="_Toc238192659" w:history="1">
            <w:r w:rsidR="00791C9F" w:rsidRPr="002E0A87">
              <w:rPr>
                <w:rStyle w:val="Hyperlink"/>
                <w:rFonts w:ascii="Arial" w:hAnsi="Arial" w:cs="Arial"/>
                <w:b/>
                <w:bCs/>
                <w:noProof/>
                <w:sz w:val="22"/>
                <w:szCs w:val="22"/>
              </w:rPr>
              <w:t>CONCLUSION</w:t>
            </w:r>
            <w:r w:rsidR="00791C9F" w:rsidRPr="002E0A87">
              <w:rPr>
                <w:rFonts w:ascii="Arial" w:hAnsi="Arial" w:cs="Arial"/>
                <w:noProof/>
                <w:webHidden/>
                <w:sz w:val="22"/>
                <w:szCs w:val="22"/>
              </w:rPr>
              <w:tab/>
            </w:r>
            <w:r w:rsidR="00791C9F" w:rsidRPr="002E0A87">
              <w:rPr>
                <w:rFonts w:ascii="Arial" w:hAnsi="Arial" w:cs="Arial"/>
                <w:noProof/>
                <w:webHidden/>
                <w:sz w:val="22"/>
                <w:szCs w:val="22"/>
              </w:rPr>
              <w:fldChar w:fldCharType="begin"/>
            </w:r>
            <w:r w:rsidR="00791C9F" w:rsidRPr="002E0A87">
              <w:rPr>
                <w:rFonts w:ascii="Arial" w:hAnsi="Arial" w:cs="Arial"/>
                <w:noProof/>
                <w:webHidden/>
                <w:sz w:val="22"/>
                <w:szCs w:val="22"/>
              </w:rPr>
              <w:instrText xml:space="preserve"> PAGEREF _Toc238192659 \h </w:instrText>
            </w:r>
            <w:r w:rsidR="00791C9F" w:rsidRPr="002E0A87">
              <w:rPr>
                <w:rFonts w:ascii="Arial" w:hAnsi="Arial" w:cs="Arial"/>
                <w:noProof/>
                <w:webHidden/>
                <w:sz w:val="22"/>
                <w:szCs w:val="22"/>
              </w:rPr>
            </w:r>
            <w:r w:rsidR="00791C9F" w:rsidRPr="002E0A87">
              <w:rPr>
                <w:rFonts w:ascii="Arial" w:hAnsi="Arial" w:cs="Arial"/>
                <w:noProof/>
                <w:webHidden/>
                <w:sz w:val="22"/>
                <w:szCs w:val="22"/>
              </w:rPr>
              <w:fldChar w:fldCharType="separate"/>
            </w:r>
            <w:r w:rsidR="00791C9F" w:rsidRPr="002E0A87">
              <w:rPr>
                <w:rFonts w:ascii="Arial" w:hAnsi="Arial" w:cs="Arial"/>
                <w:noProof/>
                <w:webHidden/>
                <w:sz w:val="22"/>
                <w:szCs w:val="22"/>
              </w:rPr>
              <w:t>5</w:t>
            </w:r>
            <w:r w:rsidR="00791C9F" w:rsidRPr="002E0A87">
              <w:rPr>
                <w:rFonts w:ascii="Arial" w:hAnsi="Arial" w:cs="Arial"/>
                <w:noProof/>
                <w:webHidden/>
                <w:sz w:val="22"/>
                <w:szCs w:val="22"/>
              </w:rPr>
              <w:fldChar w:fldCharType="end"/>
            </w:r>
          </w:hyperlink>
        </w:p>
        <w:p w14:paraId="54F5BE19" w14:textId="2B902ACC" w:rsidR="00281DDD" w:rsidRPr="00971530" w:rsidRDefault="00281DDD" w:rsidP="002E0A87">
          <w:pPr>
            <w:spacing w:line="360" w:lineRule="auto"/>
            <w:rPr>
              <w:rFonts w:ascii="Arial" w:hAnsi="Arial" w:cs="Arial"/>
              <w:sz w:val="22"/>
              <w:szCs w:val="22"/>
            </w:rPr>
          </w:pPr>
          <w:r w:rsidRPr="002E0A87">
            <w:rPr>
              <w:rFonts w:ascii="Arial" w:hAnsi="Arial" w:cs="Arial"/>
              <w:b/>
              <w:bCs/>
              <w:noProof/>
              <w:sz w:val="22"/>
              <w:szCs w:val="22"/>
            </w:rPr>
            <w:fldChar w:fldCharType="end"/>
          </w:r>
        </w:p>
      </w:sdtContent>
    </w:sdt>
    <w:p w14:paraId="54A1AA1B" w14:textId="12B2C8C3" w:rsidR="00664A42" w:rsidRPr="00971530" w:rsidRDefault="00664A42" w:rsidP="00971530">
      <w:pPr>
        <w:spacing w:line="360" w:lineRule="auto"/>
        <w:rPr>
          <w:rFonts w:ascii="Arial" w:hAnsi="Arial" w:cs="Arial"/>
          <w:sz w:val="22"/>
          <w:szCs w:val="22"/>
        </w:rPr>
      </w:pPr>
    </w:p>
    <w:p w14:paraId="3A17FCA2" w14:textId="77777777" w:rsidR="00281DDD" w:rsidRPr="00971530" w:rsidRDefault="00281DDD" w:rsidP="00971530">
      <w:pPr>
        <w:spacing w:line="360" w:lineRule="auto"/>
        <w:rPr>
          <w:rFonts w:ascii="Arial" w:hAnsi="Arial" w:cs="Arial"/>
          <w:sz w:val="22"/>
          <w:szCs w:val="22"/>
        </w:rPr>
      </w:pPr>
    </w:p>
    <w:p w14:paraId="34F98AAD" w14:textId="77777777" w:rsidR="00281DDD" w:rsidRPr="00971530" w:rsidRDefault="00281DDD" w:rsidP="00971530">
      <w:pPr>
        <w:spacing w:line="360" w:lineRule="auto"/>
        <w:rPr>
          <w:rFonts w:ascii="Arial" w:hAnsi="Arial" w:cs="Arial"/>
          <w:sz w:val="22"/>
          <w:szCs w:val="22"/>
        </w:rPr>
      </w:pPr>
    </w:p>
    <w:p w14:paraId="7ED5C31F" w14:textId="77777777" w:rsidR="00281DDD" w:rsidRPr="00971530" w:rsidRDefault="00281DDD" w:rsidP="00971530">
      <w:pPr>
        <w:spacing w:line="360" w:lineRule="auto"/>
        <w:rPr>
          <w:rFonts w:ascii="Arial" w:hAnsi="Arial" w:cs="Arial"/>
          <w:sz w:val="22"/>
          <w:szCs w:val="22"/>
        </w:rPr>
      </w:pPr>
    </w:p>
    <w:p w14:paraId="6FC7B5F2" w14:textId="77777777" w:rsidR="00281DDD" w:rsidRPr="00971530" w:rsidRDefault="00281DDD" w:rsidP="00971530">
      <w:pPr>
        <w:spacing w:line="360" w:lineRule="auto"/>
        <w:rPr>
          <w:rFonts w:ascii="Arial" w:hAnsi="Arial" w:cs="Arial"/>
          <w:sz w:val="22"/>
          <w:szCs w:val="22"/>
        </w:rPr>
      </w:pPr>
    </w:p>
    <w:p w14:paraId="0C0FBB21" w14:textId="77777777" w:rsidR="00281DDD" w:rsidRPr="00971530" w:rsidRDefault="00281DDD" w:rsidP="00971530">
      <w:pPr>
        <w:spacing w:line="360" w:lineRule="auto"/>
        <w:rPr>
          <w:rFonts w:ascii="Arial" w:hAnsi="Arial" w:cs="Arial"/>
          <w:sz w:val="22"/>
          <w:szCs w:val="22"/>
        </w:rPr>
      </w:pPr>
    </w:p>
    <w:p w14:paraId="28B3934F" w14:textId="77777777" w:rsidR="00281DDD" w:rsidRPr="00971530" w:rsidRDefault="00281DDD" w:rsidP="00971530">
      <w:pPr>
        <w:spacing w:line="360" w:lineRule="auto"/>
        <w:rPr>
          <w:rFonts w:ascii="Arial" w:hAnsi="Arial" w:cs="Arial"/>
          <w:sz w:val="22"/>
          <w:szCs w:val="22"/>
        </w:rPr>
      </w:pPr>
    </w:p>
    <w:p w14:paraId="5293BCBE" w14:textId="77777777" w:rsidR="00281DDD" w:rsidRPr="00971530" w:rsidRDefault="00281DDD" w:rsidP="00971530">
      <w:pPr>
        <w:spacing w:line="360" w:lineRule="auto"/>
        <w:rPr>
          <w:rFonts w:ascii="Arial" w:hAnsi="Arial" w:cs="Arial"/>
          <w:sz w:val="22"/>
          <w:szCs w:val="22"/>
        </w:rPr>
      </w:pPr>
    </w:p>
    <w:p w14:paraId="4A99CE41" w14:textId="77777777" w:rsidR="00281DDD" w:rsidRPr="00971530" w:rsidRDefault="00281DDD" w:rsidP="00971530">
      <w:pPr>
        <w:spacing w:line="360" w:lineRule="auto"/>
        <w:rPr>
          <w:rFonts w:ascii="Arial" w:hAnsi="Arial" w:cs="Arial"/>
          <w:sz w:val="22"/>
          <w:szCs w:val="22"/>
        </w:rPr>
      </w:pPr>
    </w:p>
    <w:p w14:paraId="1EA42C2B" w14:textId="77777777" w:rsidR="00281DDD" w:rsidRPr="00971530" w:rsidRDefault="00281DDD" w:rsidP="00971530">
      <w:pPr>
        <w:spacing w:line="360" w:lineRule="auto"/>
        <w:rPr>
          <w:rFonts w:ascii="Arial" w:hAnsi="Arial" w:cs="Arial"/>
          <w:sz w:val="22"/>
          <w:szCs w:val="22"/>
        </w:rPr>
      </w:pPr>
    </w:p>
    <w:p w14:paraId="627D8FE1" w14:textId="77777777" w:rsidR="00281DDD" w:rsidRPr="00971530" w:rsidRDefault="00281DDD" w:rsidP="00971530">
      <w:pPr>
        <w:spacing w:line="360" w:lineRule="auto"/>
        <w:rPr>
          <w:rFonts w:ascii="Arial" w:hAnsi="Arial" w:cs="Arial"/>
          <w:sz w:val="22"/>
          <w:szCs w:val="22"/>
        </w:rPr>
      </w:pPr>
    </w:p>
    <w:p w14:paraId="1DBBC7EE" w14:textId="77777777" w:rsidR="00281DDD" w:rsidRPr="00971530" w:rsidRDefault="00281DDD" w:rsidP="00971530">
      <w:pPr>
        <w:spacing w:line="360" w:lineRule="auto"/>
        <w:rPr>
          <w:rFonts w:ascii="Arial" w:hAnsi="Arial" w:cs="Arial"/>
          <w:sz w:val="22"/>
          <w:szCs w:val="22"/>
        </w:rPr>
      </w:pPr>
    </w:p>
    <w:p w14:paraId="1F60548A" w14:textId="77777777" w:rsidR="00281DDD" w:rsidRPr="00971530" w:rsidRDefault="00281DDD" w:rsidP="00971530">
      <w:pPr>
        <w:spacing w:line="360" w:lineRule="auto"/>
        <w:rPr>
          <w:rFonts w:ascii="Arial" w:hAnsi="Arial" w:cs="Arial"/>
          <w:sz w:val="22"/>
          <w:szCs w:val="22"/>
        </w:rPr>
      </w:pPr>
    </w:p>
    <w:p w14:paraId="1C295F85" w14:textId="77777777" w:rsidR="00281DDD" w:rsidRPr="00971530" w:rsidRDefault="00281DDD" w:rsidP="00971530">
      <w:pPr>
        <w:spacing w:line="360" w:lineRule="auto"/>
        <w:rPr>
          <w:rFonts w:ascii="Arial" w:hAnsi="Arial" w:cs="Arial"/>
          <w:sz w:val="22"/>
          <w:szCs w:val="22"/>
        </w:rPr>
      </w:pPr>
    </w:p>
    <w:p w14:paraId="56BB2F38" w14:textId="39EE6094" w:rsidR="00281DDD" w:rsidRPr="00971530" w:rsidRDefault="00281DDD" w:rsidP="00971530">
      <w:pPr>
        <w:pStyle w:val="Heading1"/>
        <w:spacing w:line="360" w:lineRule="auto"/>
        <w:rPr>
          <w:rFonts w:ascii="Arial" w:hAnsi="Arial" w:cs="Arial"/>
          <w:b/>
          <w:bCs/>
          <w:color w:val="auto"/>
          <w:sz w:val="22"/>
          <w:szCs w:val="22"/>
        </w:rPr>
      </w:pPr>
      <w:bookmarkStart w:id="0" w:name="_Toc238192649"/>
      <w:r w:rsidRPr="00971530">
        <w:rPr>
          <w:rFonts w:ascii="Arial" w:hAnsi="Arial" w:cs="Arial"/>
          <w:b/>
          <w:bCs/>
          <w:color w:val="auto"/>
          <w:sz w:val="22"/>
          <w:szCs w:val="22"/>
        </w:rPr>
        <w:lastRenderedPageBreak/>
        <w:t>INTRODUCTION</w:t>
      </w:r>
      <w:bookmarkEnd w:id="0"/>
    </w:p>
    <w:p w14:paraId="226116AB" w14:textId="77777777" w:rsidR="00281DDD" w:rsidRPr="00971530" w:rsidRDefault="00281DDD" w:rsidP="00971530">
      <w:pPr>
        <w:spacing w:line="360" w:lineRule="auto"/>
        <w:rPr>
          <w:rFonts w:ascii="Arial" w:hAnsi="Arial" w:cs="Arial"/>
          <w:sz w:val="22"/>
          <w:szCs w:val="22"/>
        </w:rPr>
      </w:pPr>
      <w:r w:rsidRPr="00281DDD">
        <w:rPr>
          <w:rFonts w:ascii="Arial" w:hAnsi="Arial" w:cs="Arial"/>
          <w:sz w:val="22"/>
          <w:szCs w:val="22"/>
        </w:rPr>
        <w:t>This report examines the role of hospital social workers within the UK health and social care sector, focusing particularly on how they support older patients during hospital admission and discharge. It discusses their main responsibilities, explores three key skills needed to carry out the role effectively, and provides examples of how each skill is used in practice. It also considers strategies for developing these skills further, using findings from published academic research.</w:t>
      </w:r>
    </w:p>
    <w:p w14:paraId="7F962A60" w14:textId="2FE50B60" w:rsidR="00281DDD" w:rsidRPr="00971530" w:rsidRDefault="008B28DE" w:rsidP="00971530">
      <w:pPr>
        <w:pStyle w:val="Heading1"/>
        <w:spacing w:line="360" w:lineRule="auto"/>
        <w:rPr>
          <w:rFonts w:ascii="Arial" w:hAnsi="Arial" w:cs="Arial"/>
          <w:b/>
          <w:bCs/>
          <w:color w:val="auto"/>
          <w:sz w:val="22"/>
          <w:szCs w:val="22"/>
        </w:rPr>
      </w:pPr>
      <w:bookmarkStart w:id="1" w:name="_Toc238192650"/>
      <w:r w:rsidRPr="00971530">
        <w:rPr>
          <w:rFonts w:ascii="Arial" w:hAnsi="Arial" w:cs="Arial"/>
          <w:b/>
          <w:bCs/>
          <w:color w:val="auto"/>
          <w:sz w:val="22"/>
          <w:szCs w:val="22"/>
        </w:rPr>
        <w:t>Role Description</w:t>
      </w:r>
      <w:bookmarkEnd w:id="1"/>
    </w:p>
    <w:p w14:paraId="68A7649D" w14:textId="4FD512CA" w:rsidR="008B28DE" w:rsidRPr="00971530" w:rsidRDefault="008B28DE" w:rsidP="00971530">
      <w:pPr>
        <w:spacing w:line="360" w:lineRule="auto"/>
        <w:rPr>
          <w:rFonts w:ascii="Arial" w:hAnsi="Arial" w:cs="Arial"/>
          <w:sz w:val="22"/>
          <w:szCs w:val="22"/>
        </w:rPr>
      </w:pPr>
      <w:r w:rsidRPr="00971530">
        <w:rPr>
          <w:rFonts w:ascii="Arial" w:hAnsi="Arial" w:cs="Arial"/>
          <w:sz w:val="22"/>
          <w:szCs w:val="22"/>
        </w:rPr>
        <w:t>Hospital social workers work in hospitals and support patients, especially older people, during illness, their stay in hospital, and the process of going home. One of their main responsibilities is discharge planning. This means understanding what each patient needs to leave safely, such as home care, a care home, medical equipment, or continued support from community services</w:t>
      </w:r>
      <w:r w:rsidR="00227EB2" w:rsidRPr="00971530">
        <w:rPr>
          <w:rFonts w:ascii="Arial" w:hAnsi="Arial" w:cs="Arial"/>
          <w:sz w:val="22"/>
          <w:szCs w:val="22"/>
        </w:rPr>
        <w:fldChar w:fldCharType="begin"/>
      </w:r>
      <w:r w:rsidR="00227EB2" w:rsidRPr="00971530">
        <w:rPr>
          <w:rFonts w:ascii="Arial" w:hAnsi="Arial" w:cs="Arial"/>
          <w:sz w:val="22"/>
          <w:szCs w:val="22"/>
        </w:rPr>
        <w:instrText xml:space="preserve"> ADDIN ZOTERO_ITEM CSL_CITATION {"citationID":"AUMGQqHx","properties":{"unsorted":false,"formattedCitation":"(Dimla {\\i{}et al.}, 2023)","plainCitation":"(Dimla et al., 2023)","noteIndex":0},"citationItems":[{"id":5,"uris":["http://zotero.org/users/local/Mc9hzFEg/items/BUT27FKZ"],"itemData":{"id":5,"type":"article-journal","abstract":"Abstract\n            \n              Objectives\n              To systematically review the literature on measures social workers undertake to facilitate discharge planning for older people in a resource</w:instrText>
      </w:r>
      <w:r w:rsidR="00227EB2" w:rsidRPr="00971530">
        <w:rPr>
          <w:rFonts w:ascii="Cambria Math" w:hAnsi="Cambria Math" w:cs="Cambria Math"/>
          <w:sz w:val="22"/>
          <w:szCs w:val="22"/>
        </w:rPr>
        <w:instrText>‐</w:instrText>
      </w:r>
      <w:r w:rsidR="00227EB2" w:rsidRPr="00971530">
        <w:rPr>
          <w:rFonts w:ascii="Arial" w:hAnsi="Arial" w:cs="Arial"/>
          <w:sz w:val="22"/>
          <w:szCs w:val="22"/>
        </w:rPr>
        <w:instrText>scarce environment.\n            \n            \n              Methods\n              Systematic search of electronic databases for peer</w:instrText>
      </w:r>
      <w:r w:rsidR="00227EB2" w:rsidRPr="00971530">
        <w:rPr>
          <w:rFonts w:ascii="Cambria Math" w:hAnsi="Cambria Math" w:cs="Cambria Math"/>
          <w:sz w:val="22"/>
          <w:szCs w:val="22"/>
        </w:rPr>
        <w:instrText>‐</w:instrText>
      </w:r>
      <w:r w:rsidR="00227EB2" w:rsidRPr="00971530">
        <w:rPr>
          <w:rFonts w:ascii="Arial" w:hAnsi="Arial" w:cs="Arial"/>
          <w:sz w:val="22"/>
          <w:szCs w:val="22"/>
        </w:rPr>
        <w:instrText>reviewed articles published in English between January 1990 and August 2020. Articles on hospital discharge planning facilitated by social workers for older patients returning home from hospital admission were included. The Mixed Method Appraisal Tool (MMAT) was used to assess quality and risk of bias. The systematic literature review protocol has been registered with PROSPERO on 27 August 2021.\n            \n            \n              Results\n              Six studies from Canada and the United States met the eligibility criteria. The most common support measures employed by hospital social workers when discharge planning for older patients were assessment, education, care co</w:instrText>
      </w:r>
      <w:r w:rsidR="00227EB2" w:rsidRPr="00971530">
        <w:rPr>
          <w:rFonts w:ascii="Cambria Math" w:hAnsi="Cambria Math" w:cs="Cambria Math"/>
          <w:sz w:val="22"/>
          <w:szCs w:val="22"/>
        </w:rPr>
        <w:instrText>‐</w:instrText>
      </w:r>
      <w:r w:rsidR="00227EB2" w:rsidRPr="00971530">
        <w:rPr>
          <w:rFonts w:ascii="Arial" w:hAnsi="Arial" w:cs="Arial"/>
          <w:sz w:val="22"/>
          <w:szCs w:val="22"/>
        </w:rPr>
        <w:instrText>ordination, liaison and engagement with families and providers, conflict resolution, counselling and postdischarge follow</w:instrText>
      </w:r>
      <w:r w:rsidR="00227EB2" w:rsidRPr="00971530">
        <w:rPr>
          <w:rFonts w:ascii="Cambria Math" w:hAnsi="Cambria Math" w:cs="Cambria Math"/>
          <w:sz w:val="22"/>
          <w:szCs w:val="22"/>
        </w:rPr>
        <w:instrText>‐</w:instrText>
      </w:r>
      <w:r w:rsidR="00227EB2" w:rsidRPr="00971530">
        <w:rPr>
          <w:rFonts w:ascii="Arial" w:hAnsi="Arial" w:cs="Arial"/>
          <w:sz w:val="22"/>
          <w:szCs w:val="22"/>
        </w:rPr>
        <w:instrText xml:space="preserve">up. Barriers to effective discharge planning were medical complexity, lack of communication, time constraints, limited family support, availability of resources and patient safety. These studies were published between 1993 and 2014 and were not within the Australian context.\n            \n            \n              Conclusions\n              There are limited studies on Social Work discharge planning within the Australian context, particularly on how this important service has been impacted by recent aged care reforms. More research on the topic is necessary to fully understand how aged care reforms such as the National Prioritisation System for Home Care Packages have influenced hospital discharge planning and how social workers have adapted their practice to this challenge.","container-title":"Australasian Journal on Ageing","DOI":"10.1111/ajag.13138","ISSN":"1440-6381, 1741-6612","issue":"1","journalAbbreviation":"Australas J Ageing","language":"en","page":"20-33","source":"DOI.org (Crossref)","title":"Hospital discharge planning: A systematic literature review on the support measures that social workers undertake to facilitate older patients' transition from hospital admission back to the community","title-short":"Hospital discharge planning","volume":"42","author":[{"family":"Dimla","given":"Bernadette"},{"family":"Parkinson","given":"Lynne"},{"family":"Wood","given":"Denise"},{"family":"Powell","given":"Zalia"}],"issued":{"date-parts":[["2023",3]]}}}],"schema":"https://github.com/citation-style-language/schema/raw/master/csl-citation.json"} </w:instrText>
      </w:r>
      <w:r w:rsidR="00227EB2" w:rsidRPr="00971530">
        <w:rPr>
          <w:rFonts w:ascii="Arial" w:hAnsi="Arial" w:cs="Arial"/>
          <w:sz w:val="22"/>
          <w:szCs w:val="22"/>
        </w:rPr>
        <w:fldChar w:fldCharType="separate"/>
      </w:r>
      <w:r w:rsidR="00227EB2" w:rsidRPr="00971530">
        <w:rPr>
          <w:rFonts w:ascii="Arial" w:hAnsi="Arial" w:cs="Arial"/>
          <w:sz w:val="22"/>
          <w:szCs w:val="22"/>
        </w:rPr>
        <w:t xml:space="preserve">(Dimla </w:t>
      </w:r>
      <w:r w:rsidR="00227EB2" w:rsidRPr="00971530">
        <w:rPr>
          <w:rFonts w:ascii="Arial" w:hAnsi="Arial" w:cs="Arial"/>
          <w:i/>
          <w:iCs/>
          <w:sz w:val="22"/>
          <w:szCs w:val="22"/>
        </w:rPr>
        <w:t>et al.</w:t>
      </w:r>
      <w:r w:rsidR="00227EB2" w:rsidRPr="00971530">
        <w:rPr>
          <w:rFonts w:ascii="Arial" w:hAnsi="Arial" w:cs="Arial"/>
          <w:sz w:val="22"/>
          <w:szCs w:val="22"/>
        </w:rPr>
        <w:t>, 2023)</w:t>
      </w:r>
      <w:r w:rsidR="00227EB2" w:rsidRPr="00971530">
        <w:rPr>
          <w:rFonts w:ascii="Arial" w:hAnsi="Arial" w:cs="Arial"/>
          <w:sz w:val="22"/>
          <w:szCs w:val="22"/>
        </w:rPr>
        <w:fldChar w:fldCharType="end"/>
      </w:r>
      <w:r w:rsidRPr="00971530">
        <w:rPr>
          <w:rFonts w:ascii="Arial" w:hAnsi="Arial" w:cs="Arial"/>
          <w:sz w:val="22"/>
          <w:szCs w:val="22"/>
        </w:rPr>
        <w:t>.</w:t>
      </w:r>
      <w:r w:rsidR="00227EB2" w:rsidRPr="00971530">
        <w:rPr>
          <w:rFonts w:ascii="Arial" w:hAnsi="Arial" w:cs="Arial"/>
          <w:sz w:val="22"/>
          <w:szCs w:val="22"/>
        </w:rPr>
        <w:t xml:space="preserve"> </w:t>
      </w:r>
      <w:r w:rsidR="00E4672E" w:rsidRPr="00971530">
        <w:rPr>
          <w:rFonts w:ascii="Arial" w:hAnsi="Arial" w:cs="Arial"/>
          <w:sz w:val="22"/>
          <w:szCs w:val="22"/>
        </w:rPr>
        <w:t>Alongside this, hospital social workers assess patients' emotional and social needs, listen to what they want, and make sure their views shape care decisions. They work with families and other professionals to build a care plan, and help keep patients safe by recognising abuse or neglect and acting to protect them</w:t>
      </w:r>
      <w:r w:rsidR="00B5580D" w:rsidRPr="00971530">
        <w:rPr>
          <w:rFonts w:ascii="Arial" w:hAnsi="Arial" w:cs="Arial"/>
          <w:sz w:val="22"/>
          <w:szCs w:val="22"/>
        </w:rPr>
        <w:fldChar w:fldCharType="begin"/>
      </w:r>
      <w:r w:rsidR="00B5580D" w:rsidRPr="00971530">
        <w:rPr>
          <w:rFonts w:ascii="Arial" w:hAnsi="Arial" w:cs="Arial"/>
          <w:sz w:val="22"/>
          <w:szCs w:val="22"/>
        </w:rPr>
        <w:instrText xml:space="preserve"> ADDIN ZOTERO_ITEM CSL_CITATION {"citationID":"DmI6Yrel","properties":{"unsorted":false,"formattedCitation":"(Elman {\\i{}et al.}, 2024)","plainCitation":"(Elman et al., 2024)","noteIndex":0},"citationItems":[{"id":20,"uris":["http://zotero.org/users/local/Mc9hzFEg/items/SNRNCSZF"],"itemData":{"id":20,"type":"article-journal","container-title":"Journal of Elder Abuse &amp; Neglect","DOI":"10.1080/08946566.2023.2255742","ISSN":"0894-6566, 1540-4129","issue":"4","journalAbbreviation":"Journal of Elder Abuse &amp; Neglect","language":"en","page":"384-394","source":"DOI.org (Crossref)","title":"The critical role of the specialized social worker as part of ED/hospital-based elder mistreatment response teams","volume":"36","author":[{"family":"Elman","given":"Alyssa"},{"family":"Cox","given":"Sarah"},{"family":"Gottesman","given":"Elaine"},{"family":"Herman","given":"Seth"},{"family":"Kirshner","given":"Avery"},{"family":"Tietz","given":"Sarah"},{"family":"Shaw","given":"Amy"},{"family":"Hancock","given":"David"},{"family":"Chang","given":"E-Shien"},{"family":"Baek","given":"Daniel"},{"family":"Bloemen","given":"Elizabeth"},{"family":"Clark","given":"Sunday"},{"family":"Rosen","given":"Tony"}],"issued":{"date-parts":[["2024",8,7]]}}}],"schema":"https://github.com/citation-style-language/schema/raw/master/csl-citation.json"} </w:instrText>
      </w:r>
      <w:r w:rsidR="00B5580D" w:rsidRPr="00971530">
        <w:rPr>
          <w:rFonts w:ascii="Arial" w:hAnsi="Arial" w:cs="Arial"/>
          <w:sz w:val="22"/>
          <w:szCs w:val="22"/>
        </w:rPr>
        <w:fldChar w:fldCharType="separate"/>
      </w:r>
      <w:r w:rsidR="00B5580D" w:rsidRPr="00971530">
        <w:rPr>
          <w:rFonts w:ascii="Arial" w:hAnsi="Arial" w:cs="Arial"/>
          <w:sz w:val="22"/>
          <w:szCs w:val="22"/>
        </w:rPr>
        <w:t xml:space="preserve">(Elman </w:t>
      </w:r>
      <w:r w:rsidR="00B5580D" w:rsidRPr="00971530">
        <w:rPr>
          <w:rFonts w:ascii="Arial" w:hAnsi="Arial" w:cs="Arial"/>
          <w:i/>
          <w:iCs/>
          <w:sz w:val="22"/>
          <w:szCs w:val="22"/>
        </w:rPr>
        <w:t>et al.</w:t>
      </w:r>
      <w:r w:rsidR="00B5580D" w:rsidRPr="00971530">
        <w:rPr>
          <w:rFonts w:ascii="Arial" w:hAnsi="Arial" w:cs="Arial"/>
          <w:sz w:val="22"/>
          <w:szCs w:val="22"/>
        </w:rPr>
        <w:t>, 2024)</w:t>
      </w:r>
      <w:r w:rsidR="00B5580D" w:rsidRPr="00971530">
        <w:rPr>
          <w:rFonts w:ascii="Arial" w:hAnsi="Arial" w:cs="Arial"/>
          <w:sz w:val="22"/>
          <w:szCs w:val="22"/>
        </w:rPr>
        <w:fldChar w:fldCharType="end"/>
      </w:r>
      <w:r w:rsidR="00227EB2" w:rsidRPr="00971530">
        <w:rPr>
          <w:rFonts w:ascii="Arial" w:hAnsi="Arial" w:cs="Arial"/>
          <w:sz w:val="22"/>
          <w:szCs w:val="22"/>
        </w:rPr>
        <w:t xml:space="preserve">. </w:t>
      </w:r>
      <w:r w:rsidR="00E4672E" w:rsidRPr="00971530">
        <w:rPr>
          <w:rFonts w:ascii="Arial" w:hAnsi="Arial" w:cs="Arial"/>
          <w:sz w:val="22"/>
          <w:szCs w:val="22"/>
        </w:rPr>
        <w:t>More broadly, the role requires balancing pressure to move patients through the hospital quickly with the responsibility to ensure decisions reflect what each patient needs, not just what is convenient for the hospital</w:t>
      </w:r>
      <w:r w:rsidR="001426A7" w:rsidRPr="00971530">
        <w:rPr>
          <w:rFonts w:ascii="Arial" w:hAnsi="Arial" w:cs="Arial"/>
          <w:sz w:val="22"/>
          <w:szCs w:val="22"/>
        </w:rPr>
        <w:fldChar w:fldCharType="begin"/>
      </w:r>
      <w:r w:rsidR="001426A7" w:rsidRPr="00971530">
        <w:rPr>
          <w:rFonts w:ascii="Arial" w:hAnsi="Arial" w:cs="Arial"/>
          <w:sz w:val="22"/>
          <w:szCs w:val="22"/>
        </w:rPr>
        <w:instrText xml:space="preserve"> ADDIN ZOTERO_ITEM CSL_CITATION {"citationID":"O0ouSEkE","properties":{"unsorted":false,"formattedCitation":"(Heenan, 2023)","plainCitation":"(Heenan, 2023)","noteIndex":0},"citationItems":[{"id":8,"uris":["http://zotero.org/users/local/Mc9hzFEg/items/NPBK2H2B"],"itemData":{"id":8,"type":"article-journal","abstract":"Abstract\n            Across the world acute hospitals are under unprecedented pressures due to shrinking budgets and increasing demand, against this backdrop they are also experiencing record levels of activity in Accident &amp; Emergency and delayed transfers of care. Reducing pressure on hospitals by avoiding unnecessary admissions and delayed discharges has risen up the global policy agenda. However, reviews of strategies and policies have rarely involved discussions about the role that hospital social workers play in achieving timely hospital discharge. Yet discharge planning has become a, if not the, central function of these professionals. This paper presents the results of a small-scale exploratory study of hospital social work in an acute hospital in Northern Ireland. The findings reveal that the work of hospital social workers is characterised by increased bureaucracy, an emphasis on targets and a decrease in the time afforded to forming relationships with older people. Hospital social workers highlight concerns that the emphasis on discharge planning and pressures associated with the austerity agenda limits their capacity to provide other more traditional roles such as advocacy and counselling. It is argued that hospital social work should not be narrowly defined as ‘simply’ co-ordinating discharge plans. The tension that arises between expediting hospital discharge and advocating for older people and their families is also discussed.","container-title":"Ageing and Society","DOI":"10.1017/S0144686X21001124","ISSN":"0144-686X, 1469-1779","issue":"6","journalAbbreviation":"Ageing and Society","language":"en","license":"https://www.cambridge.org/core/terms","page":"1333-1350","source":"DOI.org (Crossref)","title":"Hospital social work and discharge planning for older people: challenges of working in a clinical setting","title-short":"Hospital social work and discharge planning for older people","volume":"43","author":[{"family":"Heenan","given":"Deirdre"}],"issued":{"date-parts":[["2023",6]]}}}],"schema":"https://github.com/citation-style-language/schema/raw/master/csl-citation.json"} </w:instrText>
      </w:r>
      <w:r w:rsidR="001426A7" w:rsidRPr="00971530">
        <w:rPr>
          <w:rFonts w:ascii="Arial" w:hAnsi="Arial" w:cs="Arial"/>
          <w:sz w:val="22"/>
          <w:szCs w:val="22"/>
        </w:rPr>
        <w:fldChar w:fldCharType="separate"/>
      </w:r>
      <w:r w:rsidR="001426A7" w:rsidRPr="00971530">
        <w:rPr>
          <w:rFonts w:ascii="Arial" w:hAnsi="Arial" w:cs="Arial"/>
          <w:sz w:val="22"/>
          <w:szCs w:val="22"/>
        </w:rPr>
        <w:t>(Heenan, 2023)</w:t>
      </w:r>
      <w:r w:rsidR="001426A7" w:rsidRPr="00971530">
        <w:rPr>
          <w:rFonts w:ascii="Arial" w:hAnsi="Arial" w:cs="Arial"/>
          <w:sz w:val="22"/>
          <w:szCs w:val="22"/>
        </w:rPr>
        <w:fldChar w:fldCharType="end"/>
      </w:r>
      <w:r w:rsidR="001426A7" w:rsidRPr="00971530">
        <w:rPr>
          <w:rFonts w:ascii="Arial" w:hAnsi="Arial" w:cs="Arial"/>
          <w:sz w:val="22"/>
          <w:szCs w:val="22"/>
        </w:rPr>
        <w:t xml:space="preserve">. </w:t>
      </w:r>
      <w:r w:rsidR="00E4672E" w:rsidRPr="00971530">
        <w:rPr>
          <w:rFonts w:ascii="Arial" w:hAnsi="Arial" w:cs="Arial"/>
          <w:sz w:val="22"/>
          <w:szCs w:val="22"/>
        </w:rPr>
        <w:t>Discharge delays and rising numbers of older patients admitted have made this challenging, and social workers must balance needs while ensuring safe discharge. These delays also cause poorer outcomes and higher costs across the health system</w:t>
      </w:r>
      <w:r w:rsidR="00E802BF" w:rsidRPr="00971530">
        <w:rPr>
          <w:rFonts w:ascii="Arial" w:hAnsi="Arial" w:cs="Arial"/>
          <w:sz w:val="22"/>
          <w:szCs w:val="22"/>
        </w:rPr>
        <w:fldChar w:fldCharType="begin"/>
      </w:r>
      <w:r w:rsidR="00E802BF" w:rsidRPr="00971530">
        <w:rPr>
          <w:rFonts w:ascii="Arial" w:hAnsi="Arial" w:cs="Arial"/>
          <w:sz w:val="22"/>
          <w:szCs w:val="22"/>
        </w:rPr>
        <w:instrText xml:space="preserve"> ADDIN ZOTERO_ITEM CSL_CITATION {"citationID":"t6esJOST","properties":{"unsorted":false,"formattedCitation":"(Landeiro {\\i{}et al.}, 2019)","plainCitation":"(Landeiro et al., 2019)","noteIndex":0},"citationItems":[{"id":9,"uris":["http://zotero.org/users/local/Mc9hzFEg/items/QYH29ALC"],"itemData":{"id":9,"type":"article-journal","container-title":"The Gerontologist","DOI":"10.1093/geront/gnx028","ISSN":"0016-9013, 1758-5341","issue":"2","language":"en","license":"https://academic.oup.com/journals/pages/open_access/funder_policies/chorus/standard_publication_model","page":"e86-e97","source":"DOI.org (Crossref)","title":"Delayed Hospital Discharges of Older Patients: A Systematic Review on Prevalence and Costs","title-short":"Delayed Hospital Discharges of Older Patients","volume":"59","author":[{"family":"Landeiro","given":"Filipa"},{"family":"Roberts","given":"Kenny"},{"family":"Gray","given":"Alastair Mcintosh"},{"family":"Leal","given":"José"}],"issued":{"date-parts":[["2019",3,14]]}}}],"schema":"https://github.com/citation-style-language/schema/raw/master/csl-citation.json"} </w:instrText>
      </w:r>
      <w:r w:rsidR="00E802BF" w:rsidRPr="00971530">
        <w:rPr>
          <w:rFonts w:ascii="Arial" w:hAnsi="Arial" w:cs="Arial"/>
          <w:sz w:val="22"/>
          <w:szCs w:val="22"/>
        </w:rPr>
        <w:fldChar w:fldCharType="separate"/>
      </w:r>
      <w:r w:rsidR="00E802BF" w:rsidRPr="00971530">
        <w:rPr>
          <w:rFonts w:ascii="Arial" w:hAnsi="Arial" w:cs="Arial"/>
          <w:sz w:val="22"/>
          <w:szCs w:val="22"/>
        </w:rPr>
        <w:t xml:space="preserve">(Landeiro </w:t>
      </w:r>
      <w:r w:rsidR="00E802BF" w:rsidRPr="00971530">
        <w:rPr>
          <w:rFonts w:ascii="Arial" w:hAnsi="Arial" w:cs="Arial"/>
          <w:i/>
          <w:iCs/>
          <w:sz w:val="22"/>
          <w:szCs w:val="22"/>
        </w:rPr>
        <w:t>et al.</w:t>
      </w:r>
      <w:r w:rsidR="00E802BF" w:rsidRPr="00971530">
        <w:rPr>
          <w:rFonts w:ascii="Arial" w:hAnsi="Arial" w:cs="Arial"/>
          <w:sz w:val="22"/>
          <w:szCs w:val="22"/>
        </w:rPr>
        <w:t>, 2019)</w:t>
      </w:r>
      <w:r w:rsidR="00E802BF" w:rsidRPr="00971530">
        <w:rPr>
          <w:rFonts w:ascii="Arial" w:hAnsi="Arial" w:cs="Arial"/>
          <w:sz w:val="22"/>
          <w:szCs w:val="22"/>
        </w:rPr>
        <w:fldChar w:fldCharType="end"/>
      </w:r>
      <w:r w:rsidR="001426A7" w:rsidRPr="00971530">
        <w:rPr>
          <w:rFonts w:ascii="Arial" w:hAnsi="Arial" w:cs="Arial"/>
          <w:sz w:val="22"/>
          <w:szCs w:val="22"/>
        </w:rPr>
        <w:t>.</w:t>
      </w:r>
    </w:p>
    <w:p w14:paraId="174D1F6A" w14:textId="77777777" w:rsidR="00E802BF" w:rsidRPr="00971530" w:rsidRDefault="00E802BF" w:rsidP="00971530">
      <w:pPr>
        <w:pStyle w:val="Heading2"/>
        <w:spacing w:line="360" w:lineRule="auto"/>
        <w:rPr>
          <w:rFonts w:ascii="Arial" w:hAnsi="Arial" w:cs="Arial"/>
          <w:b/>
          <w:bCs/>
          <w:color w:val="auto"/>
          <w:sz w:val="22"/>
          <w:szCs w:val="22"/>
        </w:rPr>
      </w:pPr>
      <w:bookmarkStart w:id="2" w:name="_Toc238192651"/>
      <w:r w:rsidRPr="00971530">
        <w:rPr>
          <w:rFonts w:ascii="Arial" w:hAnsi="Arial" w:cs="Arial"/>
          <w:b/>
          <w:bCs/>
          <w:color w:val="auto"/>
          <w:sz w:val="22"/>
          <w:szCs w:val="22"/>
        </w:rPr>
        <w:t>Essential Skills for the Role</w:t>
      </w:r>
      <w:bookmarkEnd w:id="2"/>
    </w:p>
    <w:p w14:paraId="3FCDF82F" w14:textId="77777777" w:rsidR="00E802BF" w:rsidRPr="00971530" w:rsidRDefault="00E802BF" w:rsidP="00971530">
      <w:pPr>
        <w:pStyle w:val="Heading3"/>
        <w:spacing w:line="360" w:lineRule="auto"/>
        <w:rPr>
          <w:rFonts w:ascii="Arial" w:hAnsi="Arial" w:cs="Arial"/>
          <w:b/>
          <w:bCs/>
          <w:color w:val="auto"/>
          <w:sz w:val="22"/>
          <w:szCs w:val="22"/>
        </w:rPr>
      </w:pPr>
      <w:bookmarkStart w:id="3" w:name="_Toc238192652"/>
      <w:r w:rsidRPr="00971530">
        <w:rPr>
          <w:rFonts w:ascii="Arial" w:hAnsi="Arial" w:cs="Arial"/>
          <w:b/>
          <w:bCs/>
          <w:color w:val="auto"/>
          <w:sz w:val="22"/>
          <w:szCs w:val="22"/>
        </w:rPr>
        <w:t>Skill 1: Needs Assessment Skills</w:t>
      </w:r>
      <w:bookmarkEnd w:id="3"/>
    </w:p>
    <w:p w14:paraId="05370B98" w14:textId="759A69D1" w:rsidR="00E802BF" w:rsidRPr="00971530" w:rsidRDefault="00E802BF" w:rsidP="00971530">
      <w:pPr>
        <w:spacing w:line="360" w:lineRule="auto"/>
        <w:rPr>
          <w:rFonts w:ascii="Arial" w:hAnsi="Arial" w:cs="Arial"/>
          <w:sz w:val="22"/>
          <w:szCs w:val="22"/>
        </w:rPr>
      </w:pPr>
      <w:r w:rsidRPr="00971530">
        <w:rPr>
          <w:rFonts w:ascii="Arial" w:hAnsi="Arial" w:cs="Arial"/>
          <w:sz w:val="22"/>
          <w:szCs w:val="22"/>
        </w:rPr>
        <w:t>Before a hospital social worker can make a good plan, they need to understand what the patient is going through, not only medically, but also socially, financially, and emotionally. This is important because a discharge plan works best when it is based on a clear understanding of the patient’s situation. Research shows that a detailed assessment can improve outcomes for older patients and reduce the risk of returning to hospital</w:t>
      </w:r>
      <w:r w:rsidR="009D3E0B" w:rsidRPr="00971530">
        <w:rPr>
          <w:rFonts w:ascii="Arial" w:hAnsi="Arial" w:cs="Arial"/>
          <w:sz w:val="22"/>
          <w:szCs w:val="22"/>
        </w:rPr>
        <w:fldChar w:fldCharType="begin"/>
      </w:r>
      <w:r w:rsidR="009D3E0B" w:rsidRPr="00971530">
        <w:rPr>
          <w:rFonts w:ascii="Arial" w:hAnsi="Arial" w:cs="Arial"/>
          <w:sz w:val="22"/>
          <w:szCs w:val="22"/>
        </w:rPr>
        <w:instrText xml:space="preserve"> ADDIN ZOTERO_ITEM CSL_CITATION {"citationID":"C1MnnWXr","properties":{"unsorted":false,"formattedCitation":"(Sun {\\i{}et al.}, 2022)","plainCitation":"(Sun et al., 2022)","noteIndex":0},"citationItems":[{"id":10,"uris":["http://zotero.org/users/local/Mc9hzFEg/items/QKZQ4WYB"],"itemData":{"id":10,"type":"article-journal","abstract":"(1) Background: Elders have higher rates of rehospitalization, especially those with functional decline. We aimed to investigate potential predictors of 30-day readmission risk by comprehensive geriatric assessment (CGA) in hospitalized patients aged 65 years or older and to examine the predictive ability of the LACE index and HOSPITAL score in older patients with a combination of malnutrition and physical dysfunction. (2) Methods: We included patients admitted to a geriatric ward in a tertiary hospital from July 2012 to August 2018. CGA components including cognitive, functional, nutritional, and social parameters were assessed at admission and recorded, as well as clinical information. The association factors with 30-day hospital readmission were analyzed by multivariate logistic regression analysis. The predictive ability of the LACE and HOSPITAL score was assessed using receiver operator characteristic curve analysis. (3) Results: During the study period, 1509 patients admitted to a ward were recorded. Of these patients, 233 (15.4%) were readmitted within 30 days. Those who were readmitted presented with higher comorbidity numbers and poorer performance of CGA, including gait ability, activities of daily living (ADL), and nutritional status. Multivariate regression analysis showed that male gender and moderately impaired gait ability were independently correlated with 30-day hospital readmissions, while other components such as functional impairment (as ADL) and nutritional status were not associated with 30-day rehospitalization. The receiver operating characteristics for the LACE index and HOSPITAL score showed that both predicting scores performed poorly at predicting 30-day hospital readmission (C-statistic = 0.59) and did not perform better in any of the subgroups. (4) Conclusions: Our study showed that only some components of CGA, mobile disability, and gender were independently associated with increased risk of readmission. However, the LACE index and HOSPITAL score had a poor discriminating ability for predicting 30-day hospitalization in all and subgroup patients. Further identifiers are required to better estimate the 30-day readmission rates in this patient population.","container-title":"International Journal of Environmental Research and Public Health","DOI":"10.3390/ijerph20010348","ISSN":"1660-4601","issue":"1","journalAbbreviation":"IJERPH","language":"en","page":"348","source":"DOI.org (Crossref)","title":"Prediction of 30-Day Readmission in Hospitalized Older Adults Using Comprehensive Geriatric Assessment and LACE Index and HOSPITAL Score","volume":"20","author":[{"family":"Sun","given":"Chia-Hui"},{"family":"Chou","given":"Yin-Yi"},{"family":"Lee","given":"Yu-Shan"},{"family":"Weng","given":"Shuo-Chun"},{"family":"Lin","given":"Cheng-Fu"},{"family":"Kuo","given":"Fu-Hsuan"},{"family":"Hsu","given":"Pi-Shan"},{"family":"Lin","given":"Shih-Yi"}],"issued":{"date-parts":[["2022",12,26]]}}}],"schema":"https://github.com/citation-style-language/schema/raw/master/csl-citation.json"} </w:instrText>
      </w:r>
      <w:r w:rsidR="009D3E0B" w:rsidRPr="00971530">
        <w:rPr>
          <w:rFonts w:ascii="Arial" w:hAnsi="Arial" w:cs="Arial"/>
          <w:sz w:val="22"/>
          <w:szCs w:val="22"/>
        </w:rPr>
        <w:fldChar w:fldCharType="separate"/>
      </w:r>
      <w:r w:rsidR="009D3E0B" w:rsidRPr="00971530">
        <w:rPr>
          <w:rFonts w:ascii="Arial" w:hAnsi="Arial" w:cs="Arial"/>
          <w:sz w:val="22"/>
          <w:szCs w:val="22"/>
        </w:rPr>
        <w:t xml:space="preserve">(Sun </w:t>
      </w:r>
      <w:r w:rsidR="009D3E0B" w:rsidRPr="00971530">
        <w:rPr>
          <w:rFonts w:ascii="Arial" w:hAnsi="Arial" w:cs="Arial"/>
          <w:i/>
          <w:iCs/>
          <w:sz w:val="22"/>
          <w:szCs w:val="22"/>
        </w:rPr>
        <w:t>et al.</w:t>
      </w:r>
      <w:r w:rsidR="009D3E0B" w:rsidRPr="00971530">
        <w:rPr>
          <w:rFonts w:ascii="Arial" w:hAnsi="Arial" w:cs="Arial"/>
          <w:sz w:val="22"/>
          <w:szCs w:val="22"/>
        </w:rPr>
        <w:t>, 2022)</w:t>
      </w:r>
      <w:r w:rsidR="009D3E0B" w:rsidRPr="00971530">
        <w:rPr>
          <w:rFonts w:ascii="Arial" w:hAnsi="Arial" w:cs="Arial"/>
          <w:sz w:val="22"/>
          <w:szCs w:val="22"/>
        </w:rPr>
        <w:fldChar w:fldCharType="end"/>
      </w:r>
      <w:r w:rsidRPr="00971530">
        <w:rPr>
          <w:rFonts w:ascii="Arial" w:hAnsi="Arial" w:cs="Arial"/>
          <w:sz w:val="22"/>
          <w:szCs w:val="22"/>
        </w:rPr>
        <w:t>.</w:t>
      </w:r>
      <w:r w:rsidR="009D3E0B" w:rsidRPr="00971530">
        <w:rPr>
          <w:rFonts w:ascii="Arial" w:hAnsi="Arial" w:cs="Arial"/>
          <w:sz w:val="22"/>
          <w:szCs w:val="22"/>
        </w:rPr>
        <w:t xml:space="preserve"> For example, an older patient recovering from a fall may need more support than their physical recovery suggests. The social worker needs to look at their living situation, family support, home safety, and ability to manage everyday tasks such as cooking and taking medication. This helps them understand what the patient really needs and arrange the right </w:t>
      </w:r>
      <w:r w:rsidR="009D3E0B" w:rsidRPr="00971530">
        <w:rPr>
          <w:rFonts w:ascii="Arial" w:hAnsi="Arial" w:cs="Arial"/>
          <w:sz w:val="22"/>
          <w:szCs w:val="22"/>
        </w:rPr>
        <w:lastRenderedPageBreak/>
        <w:t>support before discharge. Without a proper assessment, the patient could go home without enough help, which may lead to further problems or a return to hospital.</w:t>
      </w:r>
    </w:p>
    <w:p w14:paraId="19758A22" w14:textId="77777777" w:rsidR="009D3E0B" w:rsidRPr="00971530" w:rsidRDefault="009D3E0B" w:rsidP="00971530">
      <w:pPr>
        <w:pStyle w:val="Heading3"/>
        <w:spacing w:line="360" w:lineRule="auto"/>
        <w:rPr>
          <w:rFonts w:ascii="Arial" w:hAnsi="Arial" w:cs="Arial"/>
          <w:b/>
          <w:bCs/>
          <w:color w:val="auto"/>
          <w:sz w:val="22"/>
          <w:szCs w:val="22"/>
        </w:rPr>
      </w:pPr>
      <w:bookmarkStart w:id="4" w:name="_Toc238192653"/>
      <w:r w:rsidRPr="00971530">
        <w:rPr>
          <w:rFonts w:ascii="Arial" w:hAnsi="Arial" w:cs="Arial"/>
          <w:b/>
          <w:bCs/>
          <w:color w:val="auto"/>
          <w:sz w:val="22"/>
          <w:szCs w:val="22"/>
        </w:rPr>
        <w:t>Skill 2: Interprofessional Teamwork Skills</w:t>
      </w:r>
      <w:bookmarkEnd w:id="4"/>
    </w:p>
    <w:p w14:paraId="3BFF8493" w14:textId="55A39DEB" w:rsidR="00791C9F" w:rsidRPr="00971530" w:rsidRDefault="00791C9F" w:rsidP="00971530">
      <w:pPr>
        <w:spacing w:line="360" w:lineRule="auto"/>
        <w:rPr>
          <w:rFonts w:ascii="Arial" w:hAnsi="Arial" w:cs="Arial"/>
          <w:sz w:val="22"/>
          <w:szCs w:val="22"/>
        </w:rPr>
      </w:pPr>
      <w:r w:rsidRPr="00971530">
        <w:rPr>
          <w:rFonts w:ascii="Arial" w:hAnsi="Arial" w:cs="Arial"/>
          <w:sz w:val="22"/>
          <w:szCs w:val="22"/>
        </w:rPr>
        <w:t>Hospital social workers don't operate in isolation. They're part of an interdisciplinary team, physicians, nurses, therapists, each seeing the patient from a different angle. Effective discharge planning depends on all of them actually communicating and reaching consensus. Research on social workers in multidisciplinary hospital teams shows those who collaborate well manage clinical risk more successfully and get their professional contribution properly integrated</w:t>
      </w:r>
      <w:bookmarkStart w:id="5" w:name="_Toc238192654"/>
      <w:r w:rsidRPr="00971530">
        <w:rPr>
          <w:rFonts w:ascii="Arial" w:hAnsi="Arial" w:cs="Arial"/>
          <w:sz w:val="22"/>
          <w:szCs w:val="22"/>
        </w:rPr>
        <w:t xml:space="preserve"> It is common to see a consultant pushing to clear a bed fast, a physiotherapist worried the patient isn't safe to move, and a family member overwhelmed at becoming a full-time carer. The social worker has to navigate all of that while keeping the patient's voice from getting lost</w:t>
      </w:r>
      <w:r w:rsidR="0092343C">
        <w:rPr>
          <w:rFonts w:ascii="Arial" w:hAnsi="Arial" w:cs="Arial"/>
          <w:sz w:val="22"/>
          <w:szCs w:val="22"/>
        </w:rPr>
        <w:fldChar w:fldCharType="begin"/>
      </w:r>
      <w:r w:rsidR="0092343C">
        <w:rPr>
          <w:rFonts w:ascii="Arial" w:hAnsi="Arial" w:cs="Arial"/>
          <w:sz w:val="22"/>
          <w:szCs w:val="22"/>
        </w:rPr>
        <w:instrText xml:space="preserve"> ADDIN ZOTERO_ITEM CSL_CITATION {"citationID":"XuvAY2ml","properties":{"unsorted":false,"formattedCitation":"(Craig {\\i{}et al.}, 2020)","plainCitation":"(Craig et al., 2020)","noteIndex":0},"citationItems":[{"id":11,"uris":["http://zotero.org/users/local/Mc9hzFEg/items/KXQUZ8KT"],"itemData":{"id":11,"type":"article-journal","container-title":"Journal of Interprofessional Education &amp; Practice","DOI":"10.1016/j.xjep.2020.100327","ISSN":"24054526","journalAbbreviation":"Journal of Interprofessional Education &amp; Practice","language":"en","page":"100327","source":"DOI.org (Crossref)","title":"Empowering the team: A social work model of interprofessional collaboration in hospitals","title-short":"Empowering the team","volume":"19","author":[{"family":"Craig","given":"Shelley L."},{"family":"Eaton","given":"Andrew D."},{"family":"Belitzky","given":"Michelle"},{"family":"Kates","given":"Linda E."},{"family":"Dimitropoulos","given":"Gina"},{"family":"Tobin","given":"Jennifer"}],"issued":{"date-parts":[["2020",6]]}}}],"schema":"https://github.com/citation-style-language/schema/raw/master/csl-citation.json"} </w:instrText>
      </w:r>
      <w:r w:rsidR="0092343C">
        <w:rPr>
          <w:rFonts w:ascii="Arial" w:hAnsi="Arial" w:cs="Arial"/>
          <w:sz w:val="22"/>
          <w:szCs w:val="22"/>
        </w:rPr>
        <w:fldChar w:fldCharType="separate"/>
      </w:r>
      <w:r w:rsidR="0092343C" w:rsidRPr="0092343C">
        <w:rPr>
          <w:rFonts w:ascii="Arial" w:hAnsi="Arial" w:cs="Arial"/>
          <w:sz w:val="22"/>
        </w:rPr>
        <w:t xml:space="preserve">(Craig </w:t>
      </w:r>
      <w:r w:rsidR="0092343C" w:rsidRPr="0092343C">
        <w:rPr>
          <w:rFonts w:ascii="Arial" w:hAnsi="Arial" w:cs="Arial"/>
          <w:i/>
          <w:iCs/>
          <w:sz w:val="22"/>
        </w:rPr>
        <w:t>et al.</w:t>
      </w:r>
      <w:r w:rsidR="0092343C" w:rsidRPr="0092343C">
        <w:rPr>
          <w:rFonts w:ascii="Arial" w:hAnsi="Arial" w:cs="Arial"/>
          <w:sz w:val="22"/>
        </w:rPr>
        <w:t>, 2020)</w:t>
      </w:r>
      <w:r w:rsidR="0092343C">
        <w:rPr>
          <w:rFonts w:ascii="Arial" w:hAnsi="Arial" w:cs="Arial"/>
          <w:sz w:val="22"/>
          <w:szCs w:val="22"/>
        </w:rPr>
        <w:fldChar w:fldCharType="end"/>
      </w:r>
      <w:r w:rsidRPr="00971530">
        <w:rPr>
          <w:rFonts w:ascii="Arial" w:hAnsi="Arial" w:cs="Arial"/>
          <w:sz w:val="22"/>
          <w:szCs w:val="22"/>
        </w:rPr>
        <w:t>.</w:t>
      </w:r>
    </w:p>
    <w:p w14:paraId="1F4DD8E8" w14:textId="1AF17418" w:rsidR="00011590" w:rsidRPr="00971530" w:rsidRDefault="00011590" w:rsidP="00971530">
      <w:pPr>
        <w:spacing w:line="360" w:lineRule="auto"/>
        <w:rPr>
          <w:rFonts w:ascii="Arial" w:hAnsi="Arial" w:cs="Arial"/>
          <w:b/>
          <w:bCs/>
          <w:sz w:val="22"/>
          <w:szCs w:val="22"/>
        </w:rPr>
      </w:pPr>
      <w:r w:rsidRPr="00971530">
        <w:rPr>
          <w:rFonts w:ascii="Arial" w:hAnsi="Arial" w:cs="Arial"/>
          <w:b/>
          <w:bCs/>
          <w:sz w:val="22"/>
          <w:szCs w:val="22"/>
        </w:rPr>
        <w:t>Skill 3: Risk Assessment and Safeguarding Skills</w:t>
      </w:r>
      <w:bookmarkEnd w:id="5"/>
    </w:p>
    <w:p w14:paraId="6A450E33" w14:textId="4791E200" w:rsidR="00D70E10" w:rsidRPr="00971530" w:rsidRDefault="00D70E10" w:rsidP="00971530">
      <w:pPr>
        <w:spacing w:line="360" w:lineRule="auto"/>
        <w:rPr>
          <w:rFonts w:ascii="Arial" w:hAnsi="Arial" w:cs="Arial"/>
          <w:sz w:val="22"/>
          <w:szCs w:val="22"/>
        </w:rPr>
      </w:pPr>
      <w:r w:rsidRPr="00971530">
        <w:rPr>
          <w:rFonts w:ascii="Arial" w:hAnsi="Arial" w:cs="Arial"/>
          <w:sz w:val="22"/>
          <w:szCs w:val="22"/>
        </w:rPr>
        <w:t>Sometimes a hospital social worker is the only one who notices something is wrong, not medically, but in how safe a patient really is at home. Because they focus on relationships and home life, they</w:t>
      </w:r>
      <w:r w:rsidR="00791C9F" w:rsidRPr="00971530">
        <w:rPr>
          <w:rFonts w:ascii="Arial" w:hAnsi="Arial" w:cs="Arial"/>
          <w:sz w:val="22"/>
          <w:szCs w:val="22"/>
        </w:rPr>
        <w:t xml:space="preserve"> ar</w:t>
      </w:r>
      <w:r w:rsidRPr="00971530">
        <w:rPr>
          <w:rFonts w:ascii="Arial" w:hAnsi="Arial" w:cs="Arial"/>
          <w:sz w:val="22"/>
          <w:szCs w:val="22"/>
        </w:rPr>
        <w:t>e often better placed than other clinical staff to spot signs of abuse or neglect. For example, a social worker might notice an older patient seems nervous or uncomfortable around a particular relative, prompting a closer look, documentation, or a referral before any final decision is made about discharge</w:t>
      </w:r>
      <w:r w:rsidRPr="00971530">
        <w:rPr>
          <w:rFonts w:ascii="Arial" w:hAnsi="Arial" w:cs="Arial"/>
          <w:sz w:val="22"/>
          <w:szCs w:val="22"/>
        </w:rPr>
        <w:fldChar w:fldCharType="begin"/>
      </w:r>
      <w:r w:rsidRPr="00971530">
        <w:rPr>
          <w:rFonts w:ascii="Arial" w:hAnsi="Arial" w:cs="Arial"/>
          <w:sz w:val="22"/>
          <w:szCs w:val="22"/>
        </w:rPr>
        <w:instrText xml:space="preserve"> ADDIN ZOTERO_ITEM CSL_CITATION {"citationID":"gR59tWgM","properties":{"unsorted":false,"formattedCitation":"(Duffy, Browne and Connolly, 2025)","plainCitation":"(Duffy, Browne and Connolly, 2025)","noteIndex":0},"citationItems":[{"id":6,"uris":["http://zotero.org/users/local/Mc9hzFEg/items/B3VZKR3F"],"itemData":{"id":6,"type":"article-journal","abstract":"Abstract\n            \n              Aims\n              This article aimed to examine the concept of safeguarding adults and establish an operational definition for application to practice, research and policy.\n            \n            \n              Design\n              Rodgers' evolutionary and inductive method of concept analysis was used.\n            \n            \n              Data Sources\n              A systematic search was conducted across four electronic databases, CINAHL, PsycINFO, Scopus and PubMed, covering the period from January 2014 to May 2023. This systematic database search aimed to gather a broad spectrum of research and scholarly literature to inform and support the concept analysis. A total of 10 peer</w:instrText>
      </w:r>
      <w:r w:rsidRPr="00971530">
        <w:rPr>
          <w:rFonts w:ascii="Cambria Math" w:hAnsi="Cambria Math" w:cs="Cambria Math"/>
          <w:sz w:val="22"/>
          <w:szCs w:val="22"/>
        </w:rPr>
        <w:instrText>‐</w:instrText>
      </w:r>
      <w:r w:rsidRPr="00971530">
        <w:rPr>
          <w:rFonts w:ascii="Arial" w:hAnsi="Arial" w:cs="Arial"/>
          <w:sz w:val="22"/>
          <w:szCs w:val="22"/>
        </w:rPr>
        <w:instrText>reviewed articles were reviewed using a data chart to identify the context, definitions, antecedents, attributes and consequences of safeguarding adults.\n            \n            \n              Results\n              The analysis of the included articles helped to develop a better understanding of safeguarding adults by offering a practical operational definition tailored to the specific needs of practising nurses. The implications for practice, research and policy are discussed, highlighting the potential for improving the quality of care and ensuring the well</w:instrText>
      </w:r>
      <w:r w:rsidRPr="00971530">
        <w:rPr>
          <w:rFonts w:ascii="Cambria Math" w:hAnsi="Cambria Math" w:cs="Cambria Math"/>
          <w:sz w:val="22"/>
          <w:szCs w:val="22"/>
        </w:rPr>
        <w:instrText>‐</w:instrText>
      </w:r>
      <w:r w:rsidRPr="00971530">
        <w:rPr>
          <w:rFonts w:ascii="Arial" w:hAnsi="Arial" w:cs="Arial"/>
          <w:sz w:val="22"/>
          <w:szCs w:val="22"/>
        </w:rPr>
        <w:instrText>being of adults at risk of abuse.\n            \n            \n              Conclusion\n              By employing Rogers' evolutionary concept analysis method, we developed a deeper insight into safeguarding adults in health care. A synthesis of literature revealed the intricate layers and adaptations within safeguarding practices. This concept analysis lays the groundwork for future research, policy development and educational initiatives, enhancing the well</w:instrText>
      </w:r>
      <w:r w:rsidRPr="00971530">
        <w:rPr>
          <w:rFonts w:ascii="Cambria Math" w:hAnsi="Cambria Math" w:cs="Cambria Math"/>
          <w:sz w:val="22"/>
          <w:szCs w:val="22"/>
        </w:rPr>
        <w:instrText>‐</w:instrText>
      </w:r>
      <w:r w:rsidRPr="00971530">
        <w:rPr>
          <w:rFonts w:ascii="Arial" w:hAnsi="Arial" w:cs="Arial"/>
          <w:sz w:val="22"/>
          <w:szCs w:val="22"/>
        </w:rPr>
        <w:instrText>being and safety of adults at risk of abuse within care.\n            \n            \n              Impact\n              By undertaking a concept analysis of the term safeguarding adults' nurses can be more prepared to engage in and reinforce the key principles of safeguarding adults, providing guidance to ensure the protection and well</w:instrText>
      </w:r>
      <w:r w:rsidRPr="00971530">
        <w:rPr>
          <w:rFonts w:ascii="Cambria Math" w:hAnsi="Cambria Math" w:cs="Cambria Math"/>
          <w:sz w:val="22"/>
          <w:szCs w:val="22"/>
        </w:rPr>
        <w:instrText>‐</w:instrText>
      </w:r>
      <w:r w:rsidRPr="00971530">
        <w:rPr>
          <w:rFonts w:ascii="Arial" w:hAnsi="Arial" w:cs="Arial"/>
          <w:sz w:val="22"/>
          <w:szCs w:val="22"/>
        </w:rPr>
        <w:instrText xml:space="preserve">being of adults at risk of abuse.\n            \n            \n              Patient or Public Contribution\n              Not applicable.\n            \n            \n              What this Paper Contributes to the Wider Body of Knowledge\n              This concept analysis helps to define and clarify the conceptual term ‘safeguarding adults’ promoting a shared understanding of the key components of adult protection and providing a comprehensive framework for assessment and management of adults at risk of abuse in this field of practice.","container-title":"Journal of Advanced Nursing","DOI":"10.1111/jan.16306","ISSN":"0309-2402, 1365-2648","issue":"1","journalAbbreviation":"Journal of Advanced Nursing","language":"en","page":"181-197","source":"DOI.org (Crossref)","title":"Safeguarding adults: A concept analysis","title-short":"Safeguarding adults","volume":"81","author":[{"family":"Duffy","given":"Anita"},{"family":"Browne","given":"Freda"},{"family":"Connolly","given":"Michael"}],"issued":{"date-parts":[["2025",1]]}}}],"schema":"https://github.com/citation-style-language/schema/raw/master/csl-citation.json"} </w:instrText>
      </w:r>
      <w:r w:rsidRPr="00971530">
        <w:rPr>
          <w:rFonts w:ascii="Arial" w:hAnsi="Arial" w:cs="Arial"/>
          <w:sz w:val="22"/>
          <w:szCs w:val="22"/>
        </w:rPr>
        <w:fldChar w:fldCharType="separate"/>
      </w:r>
      <w:r w:rsidRPr="00971530">
        <w:rPr>
          <w:rFonts w:ascii="Arial" w:hAnsi="Arial" w:cs="Arial"/>
          <w:sz w:val="22"/>
          <w:szCs w:val="22"/>
        </w:rPr>
        <w:t>(Duffy, Browne and Connolly, 2025)</w:t>
      </w:r>
      <w:r w:rsidRPr="00971530">
        <w:rPr>
          <w:rFonts w:ascii="Arial" w:hAnsi="Arial" w:cs="Arial"/>
          <w:sz w:val="22"/>
          <w:szCs w:val="22"/>
        </w:rPr>
        <w:fldChar w:fldCharType="end"/>
      </w:r>
      <w:r w:rsidRPr="00971530">
        <w:rPr>
          <w:rFonts w:ascii="Arial" w:hAnsi="Arial" w:cs="Arial"/>
          <w:sz w:val="22"/>
          <w:szCs w:val="22"/>
        </w:rPr>
        <w:t>.</w:t>
      </w:r>
    </w:p>
    <w:p w14:paraId="3226236F" w14:textId="31782C37" w:rsidR="00264742" w:rsidRPr="00971530" w:rsidRDefault="00264742" w:rsidP="00971530">
      <w:pPr>
        <w:pStyle w:val="Heading2"/>
        <w:spacing w:line="360" w:lineRule="auto"/>
        <w:rPr>
          <w:rFonts w:ascii="Arial" w:hAnsi="Arial" w:cs="Arial"/>
          <w:b/>
          <w:bCs/>
          <w:color w:val="auto"/>
          <w:sz w:val="22"/>
          <w:szCs w:val="22"/>
        </w:rPr>
      </w:pPr>
      <w:bookmarkStart w:id="6" w:name="_Toc238192655"/>
      <w:r w:rsidRPr="00971530">
        <w:rPr>
          <w:rFonts w:ascii="Arial" w:hAnsi="Arial" w:cs="Arial"/>
          <w:b/>
          <w:bCs/>
          <w:color w:val="auto"/>
          <w:sz w:val="22"/>
          <w:szCs w:val="22"/>
        </w:rPr>
        <w:t>Strategies to Develop These Skills</w:t>
      </w:r>
      <w:bookmarkEnd w:id="6"/>
    </w:p>
    <w:p w14:paraId="71A48F59" w14:textId="77777777" w:rsidR="00264742" w:rsidRPr="00971530" w:rsidRDefault="00264742" w:rsidP="00971530">
      <w:pPr>
        <w:pStyle w:val="Heading3"/>
        <w:spacing w:line="360" w:lineRule="auto"/>
        <w:rPr>
          <w:rFonts w:ascii="Arial" w:hAnsi="Arial" w:cs="Arial"/>
          <w:b/>
          <w:bCs/>
          <w:color w:val="auto"/>
          <w:sz w:val="22"/>
          <w:szCs w:val="22"/>
        </w:rPr>
      </w:pPr>
      <w:bookmarkStart w:id="7" w:name="_Toc238192656"/>
      <w:r w:rsidRPr="00971530">
        <w:rPr>
          <w:rFonts w:ascii="Arial" w:hAnsi="Arial" w:cs="Arial"/>
          <w:b/>
          <w:bCs/>
          <w:color w:val="auto"/>
          <w:sz w:val="22"/>
          <w:szCs w:val="22"/>
        </w:rPr>
        <w:t>Strategy 1: Developing Needs Assessment Skills</w:t>
      </w:r>
      <w:bookmarkEnd w:id="7"/>
    </w:p>
    <w:p w14:paraId="556BFBDE" w14:textId="6C2993E9" w:rsidR="00264742" w:rsidRPr="00971530" w:rsidRDefault="00F11420" w:rsidP="00971530">
      <w:pPr>
        <w:spacing w:line="360" w:lineRule="auto"/>
        <w:rPr>
          <w:rFonts w:ascii="Arial" w:hAnsi="Arial" w:cs="Arial"/>
          <w:sz w:val="22"/>
          <w:szCs w:val="22"/>
        </w:rPr>
      </w:pPr>
      <w:r w:rsidRPr="00971530">
        <w:rPr>
          <w:rFonts w:ascii="Arial" w:hAnsi="Arial" w:cs="Arial"/>
          <w:sz w:val="22"/>
          <w:szCs w:val="22"/>
        </w:rPr>
        <w:t>One strategy to develop needs assessment skills is to make regular use of structured assessment tools and frameworks, rather than relying only on informal conversation. This matters: social workers in one aged care service were found to be using improvised "cheat sheets" to avoid missing important questions, showing exactly why a structured tool helps. Practising with these tools during supervision would help less experienced workers build confidence applying them accurately, even under the time pressure typical of a busy hospital ward</w:t>
      </w:r>
      <w:r w:rsidRPr="00971530">
        <w:rPr>
          <w:rFonts w:ascii="Arial" w:hAnsi="Arial" w:cs="Arial"/>
          <w:sz w:val="22"/>
          <w:szCs w:val="22"/>
        </w:rPr>
        <w:fldChar w:fldCharType="begin"/>
      </w:r>
      <w:r w:rsidRPr="00971530">
        <w:rPr>
          <w:rFonts w:ascii="Arial" w:hAnsi="Arial" w:cs="Arial"/>
          <w:sz w:val="22"/>
          <w:szCs w:val="22"/>
        </w:rPr>
        <w:instrText xml:space="preserve"> ADDIN ZOTERO_ITEM CSL_CITATION {"citationID":"BGVV8Ixb","properties":{"unsorted":false,"formattedCitation":"(Ogrin {\\i{}et al.}, 2022)","plainCitation":"(Ogrin et al., 2022)","noteIndex":0},"citationItems":[{"id":15,"uris":["http://zotero.org/users/local/Mc9hzFEg/items/A82SIRMK"],"itemData":{"id":15,"type":"article-journal","abstract":"Social Worker's undertake psycho-social assessments and facilitate access to evidence-informed psychological and practical supports to optimize the physical, psychological, and social wellbeing of the community members in their care. Social workers employed at an aged and community care organization undertook a review of the gray and peer reviewed literature and did not identify any existing evidence-based tools. However, 10 key domains were identified from the search. Gaps in the domains were discovered, together with the need for guidance and prompts for less experienced staff and students. Five Social Workers, using co-design principles, reviewed the domains, and added further domains from their social work practice. An evidence-based assessment tool was developed which incorporated 11 domains. The tool can be used to assess the needs of people living in the community who are older and/or have compromised health and wellbeing. Further work is required to pilot test the tool.","container-title":"Gerontology &amp; Geriatric Medicine","DOI":"10.1177/23337214221119322","ISSN":"2333-7214","journalAbbreviation":"Gerontol Geriatr Med","language":"eng","page":"23337214221119322","PMID":"36046576","PMCID":"PMC9421213","source":"PubMed","title":"Assessing Older Community Members Using a Social Work Tool: Developing an Organizational Response","title-short":"Assessing Older Community Members Using a Social Work Tool","volume":"8","author":[{"family":"Ogrin","given":"Rajna"},{"family":"Meyer","given":"Claudia"},{"family":"Karantzoulis","given":"Aliki"},{"family":"Santana","given":"Isabel Jane"},{"family":"Hampson","given":"Ralph"}],"issued":{"date-parts":[["2022"]]}}}],"schema":"https://github.com/citation-style-language/schema/raw/master/csl-citation.json"} </w:instrText>
      </w:r>
      <w:r w:rsidRPr="00971530">
        <w:rPr>
          <w:rFonts w:ascii="Arial" w:hAnsi="Arial" w:cs="Arial"/>
          <w:sz w:val="22"/>
          <w:szCs w:val="22"/>
        </w:rPr>
        <w:fldChar w:fldCharType="separate"/>
      </w:r>
      <w:r w:rsidRPr="00971530">
        <w:rPr>
          <w:rFonts w:ascii="Arial" w:hAnsi="Arial" w:cs="Arial"/>
          <w:sz w:val="22"/>
          <w:szCs w:val="22"/>
        </w:rPr>
        <w:t xml:space="preserve">(Ogrin </w:t>
      </w:r>
      <w:r w:rsidRPr="00971530">
        <w:rPr>
          <w:rFonts w:ascii="Arial" w:hAnsi="Arial" w:cs="Arial"/>
          <w:i/>
          <w:iCs/>
          <w:sz w:val="22"/>
          <w:szCs w:val="22"/>
        </w:rPr>
        <w:t>et al.</w:t>
      </w:r>
      <w:r w:rsidRPr="00971530">
        <w:rPr>
          <w:rFonts w:ascii="Arial" w:hAnsi="Arial" w:cs="Arial"/>
          <w:sz w:val="22"/>
          <w:szCs w:val="22"/>
        </w:rPr>
        <w:t>, 2022)</w:t>
      </w:r>
      <w:r w:rsidRPr="00971530">
        <w:rPr>
          <w:rFonts w:ascii="Arial" w:hAnsi="Arial" w:cs="Arial"/>
          <w:sz w:val="22"/>
          <w:szCs w:val="22"/>
        </w:rPr>
        <w:fldChar w:fldCharType="end"/>
      </w:r>
      <w:r w:rsidRPr="00971530">
        <w:rPr>
          <w:rFonts w:ascii="Arial" w:hAnsi="Arial" w:cs="Arial"/>
          <w:sz w:val="22"/>
          <w:szCs w:val="22"/>
        </w:rPr>
        <w:t>.</w:t>
      </w:r>
    </w:p>
    <w:p w14:paraId="60214A2C" w14:textId="22066A3F" w:rsidR="00F11420" w:rsidRPr="00971530" w:rsidRDefault="00DE1902" w:rsidP="00971530">
      <w:pPr>
        <w:pStyle w:val="Heading3"/>
        <w:spacing w:line="360" w:lineRule="auto"/>
        <w:rPr>
          <w:rFonts w:ascii="Arial" w:hAnsi="Arial" w:cs="Arial"/>
          <w:b/>
          <w:bCs/>
          <w:color w:val="auto"/>
          <w:sz w:val="22"/>
          <w:szCs w:val="22"/>
        </w:rPr>
      </w:pPr>
      <w:bookmarkStart w:id="8" w:name="_Toc238192657"/>
      <w:r w:rsidRPr="00971530">
        <w:rPr>
          <w:rFonts w:ascii="Arial" w:hAnsi="Arial" w:cs="Arial"/>
          <w:b/>
          <w:bCs/>
          <w:color w:val="auto"/>
          <w:sz w:val="22"/>
          <w:szCs w:val="22"/>
        </w:rPr>
        <w:t>Strategy 2: Developing Interprofessional Teamwork Skills</w:t>
      </w:r>
      <w:bookmarkEnd w:id="8"/>
    </w:p>
    <w:p w14:paraId="754C9463" w14:textId="48F174F8" w:rsidR="00DE1902" w:rsidRPr="00971530" w:rsidRDefault="00791C9F" w:rsidP="00971530">
      <w:pPr>
        <w:spacing w:line="360" w:lineRule="auto"/>
        <w:rPr>
          <w:rFonts w:ascii="Arial" w:hAnsi="Arial" w:cs="Arial"/>
          <w:sz w:val="22"/>
          <w:szCs w:val="22"/>
        </w:rPr>
      </w:pPr>
      <w:r w:rsidRPr="00971530">
        <w:rPr>
          <w:rFonts w:ascii="Arial" w:hAnsi="Arial" w:cs="Arial"/>
          <w:sz w:val="22"/>
          <w:szCs w:val="22"/>
        </w:rPr>
        <w:t xml:space="preserve">A strategy to develop teamwork skills is to attend multidisciplinary meetings and shadow other professionals, like nurses or occupational therapists, during their ward rounds. A lot of friction between professions comes down to not understanding what the other actually does. </w:t>
      </w:r>
      <w:r w:rsidRPr="00971530">
        <w:rPr>
          <w:rFonts w:ascii="Arial" w:hAnsi="Arial" w:cs="Arial"/>
          <w:sz w:val="22"/>
          <w:szCs w:val="22"/>
        </w:rPr>
        <w:lastRenderedPageBreak/>
        <w:t>Research on shadowing backs this up, showing professionals who observed colleagues gained a clearer sense of each other's roles, improving collaboration as a result. This makes it easier to negotiate discharge decisions confidently</w:t>
      </w:r>
      <w:r w:rsidR="00DE1902" w:rsidRPr="00971530">
        <w:rPr>
          <w:rFonts w:ascii="Arial" w:hAnsi="Arial" w:cs="Arial"/>
          <w:sz w:val="22"/>
          <w:szCs w:val="22"/>
        </w:rPr>
        <w:fldChar w:fldCharType="begin"/>
      </w:r>
      <w:r w:rsidR="00DE1902" w:rsidRPr="00971530">
        <w:rPr>
          <w:rFonts w:ascii="Arial" w:hAnsi="Arial" w:cs="Arial"/>
          <w:sz w:val="22"/>
          <w:szCs w:val="22"/>
        </w:rPr>
        <w:instrText xml:space="preserve"> ADDIN ZOTERO_ITEM CSL_CITATION {"citationID":"vF1RNNAQ","properties":{"unsorted":false,"formattedCitation":"(Kusnoor and Stelljes, 2016)","plainCitation":"(Kusnoor and Stelljes, 2016)","noteIndex":0},"citationItems":[{"id":17,"uris":["http://zotero.org/users/local/Mc9hzFEg/items/WF9LLUMS"],"itemData":{"id":17,"type":"article-journal","container-title":"Medical Teacher","DOI":"10.1080/0142159X.2016.1230186","ISSN":"0142-159X, 1466-187X","issue":"12","journalAbbreviation":"Medical Teacher","language":"en","page":"1278-1284","source":"DOI.org (Crossref)","title":"Interprofessional learning through shadowing: Insights and lessons learned","title-short":"Interprofessional learning through shadowing","volume":"38","author":[{"family":"Kusnoor","given":"Anita V."},{"family":"Stelljes","given":"Linda A."}],"issued":{"date-parts":[["2016",12,1]]}}}],"schema":"https://github.com/citation-style-language/schema/raw/master/csl-citation.json"} </w:instrText>
      </w:r>
      <w:r w:rsidR="00DE1902" w:rsidRPr="00971530">
        <w:rPr>
          <w:rFonts w:ascii="Arial" w:hAnsi="Arial" w:cs="Arial"/>
          <w:sz w:val="22"/>
          <w:szCs w:val="22"/>
        </w:rPr>
        <w:fldChar w:fldCharType="separate"/>
      </w:r>
      <w:r w:rsidR="00DE1902" w:rsidRPr="00971530">
        <w:rPr>
          <w:rFonts w:ascii="Arial" w:hAnsi="Arial" w:cs="Arial"/>
          <w:sz w:val="22"/>
          <w:szCs w:val="22"/>
        </w:rPr>
        <w:t>(Kusnoor and Stelljes, 2016)</w:t>
      </w:r>
      <w:r w:rsidR="00DE1902" w:rsidRPr="00971530">
        <w:rPr>
          <w:rFonts w:ascii="Arial" w:hAnsi="Arial" w:cs="Arial"/>
          <w:sz w:val="22"/>
          <w:szCs w:val="22"/>
        </w:rPr>
        <w:fldChar w:fldCharType="end"/>
      </w:r>
      <w:r w:rsidR="00DE1902" w:rsidRPr="00971530">
        <w:rPr>
          <w:rFonts w:ascii="Arial" w:hAnsi="Arial" w:cs="Arial"/>
          <w:sz w:val="22"/>
          <w:szCs w:val="22"/>
        </w:rPr>
        <w:t>.</w:t>
      </w:r>
    </w:p>
    <w:p w14:paraId="009E407F" w14:textId="30F78308" w:rsidR="00BF1920" w:rsidRPr="00971530" w:rsidRDefault="00BF1920" w:rsidP="00971530">
      <w:pPr>
        <w:pStyle w:val="Heading3"/>
        <w:spacing w:line="360" w:lineRule="auto"/>
        <w:rPr>
          <w:rFonts w:ascii="Arial" w:hAnsi="Arial" w:cs="Arial"/>
          <w:b/>
          <w:bCs/>
          <w:color w:val="auto"/>
          <w:sz w:val="22"/>
          <w:szCs w:val="22"/>
        </w:rPr>
      </w:pPr>
      <w:bookmarkStart w:id="9" w:name="_Toc238192658"/>
      <w:r w:rsidRPr="00971530">
        <w:rPr>
          <w:rFonts w:ascii="Arial" w:hAnsi="Arial" w:cs="Arial"/>
          <w:b/>
          <w:bCs/>
          <w:color w:val="auto"/>
          <w:sz w:val="22"/>
          <w:szCs w:val="22"/>
        </w:rPr>
        <w:t>Strategy 3: Developing Risk Assessment and Safeguarding Skills</w:t>
      </w:r>
      <w:bookmarkEnd w:id="9"/>
    </w:p>
    <w:p w14:paraId="3F0FAF23" w14:textId="321FFB7E" w:rsidR="00BF1920" w:rsidRPr="00971530" w:rsidRDefault="00791C9F" w:rsidP="00971530">
      <w:pPr>
        <w:spacing w:line="360" w:lineRule="auto"/>
        <w:rPr>
          <w:rFonts w:ascii="Arial" w:hAnsi="Arial" w:cs="Arial"/>
          <w:sz w:val="22"/>
          <w:szCs w:val="22"/>
        </w:rPr>
      </w:pPr>
      <w:r w:rsidRPr="00971530">
        <w:rPr>
          <w:rFonts w:ascii="Arial" w:hAnsi="Arial" w:cs="Arial"/>
          <w:sz w:val="22"/>
          <w:szCs w:val="22"/>
        </w:rPr>
        <w:t xml:space="preserve">A strategy to develop risk assessment and safeguarding skills is regular reflective supervision, talking through specific cases with a more experienced practitioner. Safeguarding rarely has a clear right answer, so a UK review found that well-facilitated supervision helps practitioners engage more openly with uncertain or difficult cases and build better professional judgement over time. This gives a social worker a genuinely safe space to test their judgement, learn from cases where risk was caught early or missed, and gradually build the confidence needed to decide independently, even under real pressure </w:t>
      </w:r>
      <w:r w:rsidR="00BF1920" w:rsidRPr="00971530">
        <w:rPr>
          <w:rFonts w:ascii="Arial" w:hAnsi="Arial" w:cs="Arial"/>
          <w:sz w:val="22"/>
          <w:szCs w:val="22"/>
        </w:rPr>
        <w:fldChar w:fldCharType="begin"/>
      </w:r>
      <w:r w:rsidR="00BF1920" w:rsidRPr="00971530">
        <w:rPr>
          <w:rFonts w:ascii="Arial" w:hAnsi="Arial" w:cs="Arial"/>
          <w:sz w:val="22"/>
          <w:szCs w:val="22"/>
        </w:rPr>
        <w:instrText xml:space="preserve"> ADDIN ZOTERO_ITEM CSL_CITATION {"citationID":"GCnUvoO8","properties":{"unsorted":false,"formattedCitation":"(Ravalier {\\i{}et al.}, 2023)","plainCitation":"(Ravalier et al., 2023)","noteIndex":0},"citationItems":[{"id":18,"uris":["http://zotero.org/users/local/Mc9hzFEg/items/S4EG9XX5"],"itemData":{"id":18,"type":"article-journal","abstract":"Abstract\n            Reflective supervision (RS) is a crucial component of social work practice but little is known about how RS works within the UK context and what the outcomes of RS are for social workers and their service users. A rapid literature review comprised searching four databases for academic and grey literature on the topic of social work RS. The Mixed Methods Appraisal Tool and the University College London’s literature assessment method were employed in an expedited quality appraisal for all included papers. Twenty-seven papers were included. Findings suggest that a supportive, available manager or a peer-group enables reflective practice. Regularity of supervisory sessions and acknowledgement of a social worker’s autonomy are seen as enablers of reflexivity. In contrast, task-oriented approach that is overly focused on accountability and hindered by the sparsity of resources proves problematic for both social workers and service users. Whilst theoretical papers were available, RS was not defined in a uniform fashion and there was limited evidence pertaining to supervisory practice. More research focusing on what works and what improvements are needed in RS, including adopting a participatory approach would help to bridge this gap and further inform policy and practice.","container-title":"The British Journal of Social Work","DOI":"10.1093/bjsw/bcac223","ISSN":"0045-3102, 1468-263X","issue":"4","language":"en","license":"https://creativecommons.org/licenses/by/4.0/","page":"1945-1962","source":"DOI.org (Crossref)","title":"A Rapid Review of Reflective Supervision in Social Work","volume":"53","author":[{"family":"Ravalier","given":"Jermaine M"},{"family":"Wegrzynek","given":"Paulina"},{"family":"Mitchell","given":"Annabel"},{"family":"McGowan","given":"John"},{"family":"Mcfadden","given":"Paula"},{"family":"Bald","given":"Caroline"}],"issued":{"date-parts":[["2023",6,22]]}}}],"schema":"https://github.com/citation-style-language/schema/raw/master/csl-citation.json"} </w:instrText>
      </w:r>
      <w:r w:rsidR="00BF1920" w:rsidRPr="00971530">
        <w:rPr>
          <w:rFonts w:ascii="Arial" w:hAnsi="Arial" w:cs="Arial"/>
          <w:sz w:val="22"/>
          <w:szCs w:val="22"/>
        </w:rPr>
        <w:fldChar w:fldCharType="separate"/>
      </w:r>
      <w:r w:rsidR="00BF1920" w:rsidRPr="00971530">
        <w:rPr>
          <w:rFonts w:ascii="Arial" w:hAnsi="Arial" w:cs="Arial"/>
          <w:sz w:val="22"/>
          <w:szCs w:val="22"/>
        </w:rPr>
        <w:t xml:space="preserve">(Ravalier </w:t>
      </w:r>
      <w:r w:rsidR="00BF1920" w:rsidRPr="00971530">
        <w:rPr>
          <w:rFonts w:ascii="Arial" w:hAnsi="Arial" w:cs="Arial"/>
          <w:i/>
          <w:iCs/>
          <w:sz w:val="22"/>
          <w:szCs w:val="22"/>
        </w:rPr>
        <w:t>et al.</w:t>
      </w:r>
      <w:r w:rsidR="00BF1920" w:rsidRPr="00971530">
        <w:rPr>
          <w:rFonts w:ascii="Arial" w:hAnsi="Arial" w:cs="Arial"/>
          <w:sz w:val="22"/>
          <w:szCs w:val="22"/>
        </w:rPr>
        <w:t>, 2023)</w:t>
      </w:r>
      <w:r w:rsidR="00BF1920" w:rsidRPr="00971530">
        <w:rPr>
          <w:rFonts w:ascii="Arial" w:hAnsi="Arial" w:cs="Arial"/>
          <w:sz w:val="22"/>
          <w:szCs w:val="22"/>
        </w:rPr>
        <w:fldChar w:fldCharType="end"/>
      </w:r>
      <w:r w:rsidR="00BF1920" w:rsidRPr="00971530">
        <w:rPr>
          <w:rFonts w:ascii="Arial" w:hAnsi="Arial" w:cs="Arial"/>
          <w:sz w:val="22"/>
          <w:szCs w:val="22"/>
        </w:rPr>
        <w:t>.</w:t>
      </w:r>
    </w:p>
    <w:p w14:paraId="6EBFEB72" w14:textId="514A2C4F" w:rsidR="00BF1920" w:rsidRPr="00971530" w:rsidRDefault="00BF1920" w:rsidP="00971530">
      <w:pPr>
        <w:pStyle w:val="Heading1"/>
        <w:spacing w:line="360" w:lineRule="auto"/>
        <w:rPr>
          <w:rFonts w:ascii="Arial" w:hAnsi="Arial" w:cs="Arial"/>
          <w:b/>
          <w:bCs/>
          <w:color w:val="auto"/>
          <w:sz w:val="22"/>
          <w:szCs w:val="22"/>
        </w:rPr>
      </w:pPr>
      <w:bookmarkStart w:id="10" w:name="_Toc238192659"/>
      <w:r w:rsidRPr="00971530">
        <w:rPr>
          <w:rFonts w:ascii="Arial" w:hAnsi="Arial" w:cs="Arial"/>
          <w:b/>
          <w:bCs/>
          <w:color w:val="auto"/>
          <w:sz w:val="22"/>
          <w:szCs w:val="22"/>
        </w:rPr>
        <w:t>CONCLUSION</w:t>
      </w:r>
      <w:bookmarkEnd w:id="10"/>
    </w:p>
    <w:p w14:paraId="09666671" w14:textId="54D1F765" w:rsidR="00361375" w:rsidRPr="00971530" w:rsidRDefault="00361375" w:rsidP="00971530">
      <w:pPr>
        <w:spacing w:line="360" w:lineRule="auto"/>
        <w:rPr>
          <w:rFonts w:ascii="Arial" w:hAnsi="Arial" w:cs="Arial"/>
          <w:sz w:val="22"/>
          <w:szCs w:val="22"/>
        </w:rPr>
      </w:pPr>
      <w:r w:rsidRPr="00971530">
        <w:rPr>
          <w:rFonts w:ascii="Arial" w:hAnsi="Arial" w:cs="Arial"/>
          <w:sz w:val="22"/>
          <w:szCs w:val="22"/>
        </w:rPr>
        <w:t>This report has looked at what it actually takes to be a good hospital social worker, covering three skills that genuinely matter: figuring out what a patient genuinely needs, working well with the rest of the team, and picking up on when someone might be at risk. They're each different, but they all lead back to the same place, keeping patients, especially older ones, safe during what's often a confusing and difficult time. And none of this happens automatically. It takes real structured tools instead of guesswork, time spent alongside other professionals to actually understand how they think, and honest supervision where you can admit what you're unsure about. In a job where things move fast and rarely slow down, that ongoing effort to keep learning is really what keeps patients safe.</w:t>
      </w:r>
    </w:p>
    <w:p w14:paraId="253E80A3" w14:textId="7497AC54" w:rsidR="00361375" w:rsidRPr="00971530" w:rsidRDefault="00361375" w:rsidP="00971530">
      <w:pPr>
        <w:spacing w:line="360" w:lineRule="auto"/>
        <w:rPr>
          <w:rFonts w:ascii="Arial" w:hAnsi="Arial" w:cs="Arial"/>
          <w:b/>
          <w:bCs/>
          <w:sz w:val="22"/>
          <w:szCs w:val="22"/>
        </w:rPr>
      </w:pPr>
      <w:r w:rsidRPr="00971530">
        <w:rPr>
          <w:rFonts w:ascii="Arial" w:hAnsi="Arial" w:cs="Arial"/>
          <w:b/>
          <w:bCs/>
          <w:sz w:val="22"/>
          <w:szCs w:val="22"/>
        </w:rPr>
        <w:t>References</w:t>
      </w:r>
    </w:p>
    <w:p w14:paraId="43AC6C88" w14:textId="77777777" w:rsidR="0092343C" w:rsidRPr="0092343C" w:rsidRDefault="00361375" w:rsidP="0092343C">
      <w:pPr>
        <w:pStyle w:val="Bibliography"/>
      </w:pPr>
      <w:r w:rsidRPr="00971530">
        <w:rPr>
          <w:szCs w:val="22"/>
        </w:rPr>
        <w:fldChar w:fldCharType="begin"/>
      </w:r>
      <w:r w:rsidR="0092343C">
        <w:rPr>
          <w:szCs w:val="22"/>
        </w:rPr>
        <w:instrText xml:space="preserve"> ADDIN ZOTERO_BIBL {"uncited":[],"omitted":[],"custom":[]} CSL_BIBLIOGRAPHY </w:instrText>
      </w:r>
      <w:r w:rsidRPr="00971530">
        <w:rPr>
          <w:szCs w:val="22"/>
        </w:rPr>
        <w:fldChar w:fldCharType="separate"/>
      </w:r>
      <w:r w:rsidR="0092343C" w:rsidRPr="0092343C">
        <w:t xml:space="preserve">Craig, S.L. </w:t>
      </w:r>
      <w:r w:rsidR="0092343C" w:rsidRPr="0092343C">
        <w:rPr>
          <w:i/>
          <w:iCs/>
        </w:rPr>
        <w:t>et al.</w:t>
      </w:r>
      <w:r w:rsidR="0092343C" w:rsidRPr="0092343C">
        <w:t xml:space="preserve"> (2020) ‘Empowering the team: A social work model of interprofessional collaboration in hospitals’, </w:t>
      </w:r>
      <w:r w:rsidR="0092343C" w:rsidRPr="0092343C">
        <w:rPr>
          <w:i/>
          <w:iCs/>
        </w:rPr>
        <w:t>Journal of Interprofessional Education &amp; Practice</w:t>
      </w:r>
      <w:r w:rsidR="0092343C" w:rsidRPr="0092343C">
        <w:t>, 19, p. 100327. Available at: https://doi.org/10.1016/j.xjep.2020.100327.</w:t>
      </w:r>
    </w:p>
    <w:p w14:paraId="48CC6809" w14:textId="77777777" w:rsidR="0092343C" w:rsidRPr="0092343C" w:rsidRDefault="0092343C" w:rsidP="0092343C">
      <w:pPr>
        <w:pStyle w:val="Bibliography"/>
      </w:pPr>
      <w:r w:rsidRPr="0092343C">
        <w:t xml:space="preserve">Dimla, B. </w:t>
      </w:r>
      <w:r w:rsidRPr="0092343C">
        <w:rPr>
          <w:i/>
          <w:iCs/>
        </w:rPr>
        <w:t>et al.</w:t>
      </w:r>
      <w:r w:rsidRPr="0092343C">
        <w:t xml:space="preserve"> (2023) ‘Hospital discharge planning: A systematic literature review on the support measures that social workers undertake to facilitate older patients’ transition from hospital admission back to the community’, </w:t>
      </w:r>
      <w:r w:rsidRPr="0092343C">
        <w:rPr>
          <w:i/>
          <w:iCs/>
        </w:rPr>
        <w:t>Australasian Journal on Ageing</w:t>
      </w:r>
      <w:r w:rsidRPr="0092343C">
        <w:t>, 42(1), pp. 20–33. Available at: https://doi.org/10.1111/ajag.13138.</w:t>
      </w:r>
    </w:p>
    <w:p w14:paraId="64BFF7CF" w14:textId="77777777" w:rsidR="0092343C" w:rsidRPr="0092343C" w:rsidRDefault="0092343C" w:rsidP="0092343C">
      <w:pPr>
        <w:pStyle w:val="Bibliography"/>
      </w:pPr>
      <w:r w:rsidRPr="0092343C">
        <w:t xml:space="preserve">Duffy, A., Browne, F. and Connolly, M. (2025) ‘Safeguarding adults: A concept analysis’, </w:t>
      </w:r>
      <w:r w:rsidRPr="0092343C">
        <w:rPr>
          <w:i/>
          <w:iCs/>
        </w:rPr>
        <w:t>Journal of Advanced Nursing</w:t>
      </w:r>
      <w:r w:rsidRPr="0092343C">
        <w:t>, 81(1), pp. 181–197. Available at: https://doi.org/10.1111/jan.16306.</w:t>
      </w:r>
    </w:p>
    <w:p w14:paraId="3392B889" w14:textId="77777777" w:rsidR="0092343C" w:rsidRPr="0092343C" w:rsidRDefault="0092343C" w:rsidP="0092343C">
      <w:pPr>
        <w:pStyle w:val="Bibliography"/>
      </w:pPr>
      <w:r w:rsidRPr="0092343C">
        <w:t xml:space="preserve">Elman, A. </w:t>
      </w:r>
      <w:r w:rsidRPr="0092343C">
        <w:rPr>
          <w:i/>
          <w:iCs/>
        </w:rPr>
        <w:t>et al.</w:t>
      </w:r>
      <w:r w:rsidRPr="0092343C">
        <w:t xml:space="preserve"> (2024) ‘The critical role of the specialized social worker as part of ED/hospital-based elder mistreatment response teams’, </w:t>
      </w:r>
      <w:r w:rsidRPr="0092343C">
        <w:rPr>
          <w:i/>
          <w:iCs/>
        </w:rPr>
        <w:t>Journal of Elder Abuse &amp; Neglect</w:t>
      </w:r>
      <w:r w:rsidRPr="0092343C">
        <w:t>, 36(4), pp. 384–394. Available at: https://doi.org/10.1080/08946566.2023.2255742.</w:t>
      </w:r>
    </w:p>
    <w:p w14:paraId="1EBE2EAC" w14:textId="77777777" w:rsidR="0092343C" w:rsidRPr="0092343C" w:rsidRDefault="0092343C" w:rsidP="0092343C">
      <w:pPr>
        <w:pStyle w:val="Bibliography"/>
      </w:pPr>
      <w:r w:rsidRPr="0092343C">
        <w:t xml:space="preserve">Heenan, D. (2023) ‘Hospital social work and discharge planning for older people: challenges of working in a clinical setting’, </w:t>
      </w:r>
      <w:r w:rsidRPr="0092343C">
        <w:rPr>
          <w:i/>
          <w:iCs/>
        </w:rPr>
        <w:t>Ageing and Society</w:t>
      </w:r>
      <w:r w:rsidRPr="0092343C">
        <w:t>, 43(6), pp. 1333–1350. Available at: https://doi.org/10.1017/S0144686X21001124.</w:t>
      </w:r>
    </w:p>
    <w:p w14:paraId="01113A3B" w14:textId="77777777" w:rsidR="0092343C" w:rsidRPr="0092343C" w:rsidRDefault="0092343C" w:rsidP="0092343C">
      <w:pPr>
        <w:pStyle w:val="Bibliography"/>
      </w:pPr>
      <w:r w:rsidRPr="0092343C">
        <w:t xml:space="preserve">Kusnoor, A.V. and Stelljes, L.A. (2016) ‘Interprofessional learning through shadowing: Insights and lessons learned’, </w:t>
      </w:r>
      <w:r w:rsidRPr="0092343C">
        <w:rPr>
          <w:i/>
          <w:iCs/>
        </w:rPr>
        <w:t>Medical Teacher</w:t>
      </w:r>
      <w:r w:rsidRPr="0092343C">
        <w:t>, 38(12), pp. 1278–1284. Available at: https://doi.org/10.1080/0142159X.2016.1230186.</w:t>
      </w:r>
    </w:p>
    <w:p w14:paraId="0CF39053" w14:textId="77777777" w:rsidR="0092343C" w:rsidRPr="0092343C" w:rsidRDefault="0092343C" w:rsidP="0092343C">
      <w:pPr>
        <w:pStyle w:val="Bibliography"/>
      </w:pPr>
      <w:r w:rsidRPr="0092343C">
        <w:t xml:space="preserve">Landeiro, F. </w:t>
      </w:r>
      <w:r w:rsidRPr="0092343C">
        <w:rPr>
          <w:i/>
          <w:iCs/>
        </w:rPr>
        <w:t>et al.</w:t>
      </w:r>
      <w:r w:rsidRPr="0092343C">
        <w:t xml:space="preserve"> (2019) ‘Delayed Hospital Discharges of Older Patients: A Systematic Review on Prevalence and Costs’, </w:t>
      </w:r>
      <w:r w:rsidRPr="0092343C">
        <w:rPr>
          <w:i/>
          <w:iCs/>
        </w:rPr>
        <w:t>The Gerontologist</w:t>
      </w:r>
      <w:r w:rsidRPr="0092343C">
        <w:t>, 59(2), pp. e86–e97. Available at: https://doi.org/10.1093/geront/gnx028.</w:t>
      </w:r>
    </w:p>
    <w:p w14:paraId="76F47E0B" w14:textId="77777777" w:rsidR="0092343C" w:rsidRPr="0092343C" w:rsidRDefault="0092343C" w:rsidP="0092343C">
      <w:pPr>
        <w:pStyle w:val="Bibliography"/>
      </w:pPr>
      <w:r w:rsidRPr="0092343C">
        <w:t xml:space="preserve">Ogrin, R. </w:t>
      </w:r>
      <w:r w:rsidRPr="0092343C">
        <w:rPr>
          <w:i/>
          <w:iCs/>
        </w:rPr>
        <w:t>et al.</w:t>
      </w:r>
      <w:r w:rsidRPr="0092343C">
        <w:t xml:space="preserve"> (2022) ‘Assessing Older Community Members Using a Social Work Tool: Developing an Organizational Response’, </w:t>
      </w:r>
      <w:r w:rsidRPr="0092343C">
        <w:rPr>
          <w:i/>
          <w:iCs/>
        </w:rPr>
        <w:t>Gerontology &amp; Geriatric Medicine</w:t>
      </w:r>
      <w:r w:rsidRPr="0092343C">
        <w:t>, 8, p. 23337214221119322. Available at: https://doi.org/10.1177/23337214221119322.</w:t>
      </w:r>
    </w:p>
    <w:p w14:paraId="1C9452B0" w14:textId="77777777" w:rsidR="0092343C" w:rsidRPr="0092343C" w:rsidRDefault="0092343C" w:rsidP="0092343C">
      <w:pPr>
        <w:pStyle w:val="Bibliography"/>
      </w:pPr>
      <w:r w:rsidRPr="0092343C">
        <w:t xml:space="preserve">Ravalier, J.M. </w:t>
      </w:r>
      <w:r w:rsidRPr="0092343C">
        <w:rPr>
          <w:i/>
          <w:iCs/>
        </w:rPr>
        <w:t>et al.</w:t>
      </w:r>
      <w:r w:rsidRPr="0092343C">
        <w:t xml:space="preserve"> (2023) ‘A Rapid Review of Reflective Supervision in Social Work’, </w:t>
      </w:r>
      <w:r w:rsidRPr="0092343C">
        <w:rPr>
          <w:i/>
          <w:iCs/>
        </w:rPr>
        <w:t>The British Journal of Social Work</w:t>
      </w:r>
      <w:r w:rsidRPr="0092343C">
        <w:t>, 53(4), pp. 1945–1962. Available at: https://doi.org/10.1093/bjsw/bcac223.</w:t>
      </w:r>
    </w:p>
    <w:p w14:paraId="0134EE5A" w14:textId="77777777" w:rsidR="0092343C" w:rsidRPr="0092343C" w:rsidRDefault="0092343C" w:rsidP="0092343C">
      <w:pPr>
        <w:pStyle w:val="Bibliography"/>
      </w:pPr>
      <w:r w:rsidRPr="0092343C">
        <w:t xml:space="preserve">Sun, C.-H. </w:t>
      </w:r>
      <w:r w:rsidRPr="0092343C">
        <w:rPr>
          <w:i/>
          <w:iCs/>
        </w:rPr>
        <w:t>et al.</w:t>
      </w:r>
      <w:r w:rsidRPr="0092343C">
        <w:t xml:space="preserve"> (2022) ‘Prediction of 30-Day Readmission in Hospitalized Older Adults Using Comprehensive Geriatric Assessment and LACE Index and HOSPITAL Score’, </w:t>
      </w:r>
      <w:r w:rsidRPr="0092343C">
        <w:rPr>
          <w:i/>
          <w:iCs/>
        </w:rPr>
        <w:t>International Journal of Environmental Research and Public Health</w:t>
      </w:r>
      <w:r w:rsidRPr="0092343C">
        <w:t>, 20(1), p. 348. Available at: https://doi.org/10.3390/ijerph20010348.</w:t>
      </w:r>
    </w:p>
    <w:p w14:paraId="176B3E5F" w14:textId="6E0D2264" w:rsidR="00361375" w:rsidRPr="00971530" w:rsidRDefault="00361375" w:rsidP="00971530">
      <w:pPr>
        <w:spacing w:line="360" w:lineRule="auto"/>
        <w:rPr>
          <w:rFonts w:ascii="Arial" w:hAnsi="Arial" w:cs="Arial"/>
          <w:sz w:val="22"/>
          <w:szCs w:val="22"/>
        </w:rPr>
      </w:pPr>
      <w:r w:rsidRPr="00971530">
        <w:rPr>
          <w:rFonts w:ascii="Arial" w:hAnsi="Arial" w:cs="Arial"/>
          <w:sz w:val="22"/>
          <w:szCs w:val="22"/>
        </w:rPr>
        <w:fldChar w:fldCharType="end"/>
      </w:r>
    </w:p>
    <w:p w14:paraId="09BDBB9B" w14:textId="77777777" w:rsidR="00BF1920" w:rsidRPr="00971530" w:rsidRDefault="00BF1920" w:rsidP="00971530">
      <w:pPr>
        <w:spacing w:line="360" w:lineRule="auto"/>
        <w:rPr>
          <w:rFonts w:ascii="Arial" w:hAnsi="Arial" w:cs="Arial"/>
          <w:sz w:val="22"/>
          <w:szCs w:val="22"/>
        </w:rPr>
      </w:pPr>
    </w:p>
    <w:p w14:paraId="0A6B5908" w14:textId="77777777" w:rsidR="00264742" w:rsidRPr="009D3E0B" w:rsidRDefault="00264742" w:rsidP="00971530">
      <w:pPr>
        <w:spacing w:line="360" w:lineRule="auto"/>
        <w:rPr>
          <w:rFonts w:ascii="Arial" w:hAnsi="Arial" w:cs="Arial"/>
          <w:sz w:val="22"/>
          <w:szCs w:val="22"/>
        </w:rPr>
      </w:pPr>
    </w:p>
    <w:p w14:paraId="3A838576" w14:textId="77777777" w:rsidR="009D3E0B" w:rsidRPr="00E802BF" w:rsidRDefault="009D3E0B" w:rsidP="00971530">
      <w:pPr>
        <w:spacing w:line="360" w:lineRule="auto"/>
        <w:rPr>
          <w:rFonts w:ascii="Arial" w:hAnsi="Arial" w:cs="Arial"/>
          <w:sz w:val="22"/>
          <w:szCs w:val="22"/>
        </w:rPr>
      </w:pPr>
    </w:p>
    <w:p w14:paraId="4C8E3935" w14:textId="77777777" w:rsidR="00E802BF" w:rsidRPr="00971530" w:rsidRDefault="00E802BF" w:rsidP="00971530">
      <w:pPr>
        <w:spacing w:line="360" w:lineRule="auto"/>
        <w:rPr>
          <w:rFonts w:ascii="Arial" w:hAnsi="Arial" w:cs="Arial"/>
          <w:sz w:val="22"/>
          <w:szCs w:val="22"/>
        </w:rPr>
      </w:pPr>
    </w:p>
    <w:p w14:paraId="2DD39981" w14:textId="77777777" w:rsidR="00227EB2" w:rsidRPr="00281DDD" w:rsidRDefault="00227EB2" w:rsidP="00971530">
      <w:pPr>
        <w:spacing w:line="360" w:lineRule="auto"/>
        <w:rPr>
          <w:rFonts w:ascii="Arial" w:hAnsi="Arial" w:cs="Arial"/>
          <w:sz w:val="22"/>
          <w:szCs w:val="22"/>
        </w:rPr>
      </w:pPr>
    </w:p>
    <w:p w14:paraId="3FD7B1AD" w14:textId="77777777" w:rsidR="00281DDD" w:rsidRPr="00971530" w:rsidRDefault="00281DDD" w:rsidP="00971530">
      <w:pPr>
        <w:spacing w:line="360" w:lineRule="auto"/>
        <w:rPr>
          <w:rFonts w:ascii="Arial" w:hAnsi="Arial" w:cs="Arial"/>
          <w:sz w:val="22"/>
          <w:szCs w:val="22"/>
        </w:rPr>
      </w:pPr>
    </w:p>
    <w:sectPr w:rsidR="00281DDD" w:rsidRPr="0097153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5DEA8" w14:textId="77777777" w:rsidR="00DA74A0" w:rsidRDefault="00DA74A0" w:rsidP="00DA74A0">
      <w:pPr>
        <w:spacing w:after="0" w:line="240" w:lineRule="auto"/>
      </w:pPr>
      <w:r>
        <w:separator/>
      </w:r>
    </w:p>
  </w:endnote>
  <w:endnote w:type="continuationSeparator" w:id="0">
    <w:p w14:paraId="05217C83" w14:textId="77777777" w:rsidR="00DA74A0" w:rsidRDefault="00DA74A0" w:rsidP="00DA7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896926"/>
      <w:docPartObj>
        <w:docPartGallery w:val="Page Numbers (Bottom of Page)"/>
        <w:docPartUnique/>
      </w:docPartObj>
    </w:sdtPr>
    <w:sdtEndPr>
      <w:rPr>
        <w:noProof/>
      </w:rPr>
    </w:sdtEndPr>
    <w:sdtContent>
      <w:p w14:paraId="061FE12F" w14:textId="1564B062" w:rsidR="00DA74A0" w:rsidRDefault="00DA74A0" w:rsidP="00277D3B">
        <w:pPr>
          <w:pStyle w:val="Footer"/>
          <w:spacing w:line="36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058D6105" w14:textId="77777777" w:rsidR="00DA74A0" w:rsidRDefault="00DA7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726E8" w14:textId="77777777" w:rsidR="00DA74A0" w:rsidRDefault="00DA74A0" w:rsidP="00DA74A0">
      <w:pPr>
        <w:spacing w:after="0" w:line="240" w:lineRule="auto"/>
      </w:pPr>
      <w:r>
        <w:separator/>
      </w:r>
    </w:p>
  </w:footnote>
  <w:footnote w:type="continuationSeparator" w:id="0">
    <w:p w14:paraId="069783FD" w14:textId="77777777" w:rsidR="00DA74A0" w:rsidRDefault="00DA74A0" w:rsidP="00DA74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DDD"/>
    <w:rsid w:val="00011590"/>
    <w:rsid w:val="001426A7"/>
    <w:rsid w:val="00177B70"/>
    <w:rsid w:val="001B56EF"/>
    <w:rsid w:val="00227EB2"/>
    <w:rsid w:val="00264742"/>
    <w:rsid w:val="00277D3B"/>
    <w:rsid w:val="00281DDD"/>
    <w:rsid w:val="002E0A87"/>
    <w:rsid w:val="00342D96"/>
    <w:rsid w:val="00361375"/>
    <w:rsid w:val="00452C42"/>
    <w:rsid w:val="00664A42"/>
    <w:rsid w:val="00791C9F"/>
    <w:rsid w:val="007F2DF4"/>
    <w:rsid w:val="008B28DE"/>
    <w:rsid w:val="0092343C"/>
    <w:rsid w:val="00971530"/>
    <w:rsid w:val="009D3E0B"/>
    <w:rsid w:val="009F3133"/>
    <w:rsid w:val="009F38BE"/>
    <w:rsid w:val="00B5580D"/>
    <w:rsid w:val="00BF1920"/>
    <w:rsid w:val="00CE4B93"/>
    <w:rsid w:val="00D70E10"/>
    <w:rsid w:val="00DA74A0"/>
    <w:rsid w:val="00DE1902"/>
    <w:rsid w:val="00E4672E"/>
    <w:rsid w:val="00E802BF"/>
    <w:rsid w:val="00F11420"/>
    <w:rsid w:val="00F61976"/>
    <w:rsid w:val="00F6599C"/>
    <w:rsid w:val="00FC7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832D2"/>
  <w15:chartTrackingRefBased/>
  <w15:docId w15:val="{BDA79223-3F23-4B8B-823B-23C1C116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DDD"/>
    <w:rPr>
      <w:rFonts w:ascii="Aptos" w:eastAsia="Aptos" w:hAnsi="Aptos" w:cs="Aptos"/>
      <w:kern w:val="0"/>
      <w:lang w:eastAsia="en-GB"/>
      <w14:ligatures w14:val="none"/>
    </w:rPr>
  </w:style>
  <w:style w:type="paragraph" w:styleId="Heading1">
    <w:name w:val="heading 1"/>
    <w:basedOn w:val="Normal"/>
    <w:next w:val="Normal"/>
    <w:link w:val="Heading1Char"/>
    <w:uiPriority w:val="9"/>
    <w:qFormat/>
    <w:rsid w:val="00281D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1D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1D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D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D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D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D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D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D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D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1D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1D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D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D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D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D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D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DDD"/>
    <w:rPr>
      <w:rFonts w:eastAsiaTheme="majorEastAsia" w:cstheme="majorBidi"/>
      <w:color w:val="272727" w:themeColor="text1" w:themeTint="D8"/>
    </w:rPr>
  </w:style>
  <w:style w:type="paragraph" w:styleId="Title">
    <w:name w:val="Title"/>
    <w:basedOn w:val="Normal"/>
    <w:next w:val="Normal"/>
    <w:link w:val="TitleChar"/>
    <w:uiPriority w:val="10"/>
    <w:qFormat/>
    <w:rsid w:val="00281D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D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D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D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DDD"/>
    <w:pPr>
      <w:spacing w:before="160"/>
      <w:jc w:val="center"/>
    </w:pPr>
    <w:rPr>
      <w:i/>
      <w:iCs/>
      <w:color w:val="404040" w:themeColor="text1" w:themeTint="BF"/>
    </w:rPr>
  </w:style>
  <w:style w:type="character" w:customStyle="1" w:styleId="QuoteChar">
    <w:name w:val="Quote Char"/>
    <w:basedOn w:val="DefaultParagraphFont"/>
    <w:link w:val="Quote"/>
    <w:uiPriority w:val="29"/>
    <w:rsid w:val="00281DDD"/>
    <w:rPr>
      <w:i/>
      <w:iCs/>
      <w:color w:val="404040" w:themeColor="text1" w:themeTint="BF"/>
    </w:rPr>
  </w:style>
  <w:style w:type="paragraph" w:styleId="ListParagraph">
    <w:name w:val="List Paragraph"/>
    <w:basedOn w:val="Normal"/>
    <w:uiPriority w:val="34"/>
    <w:qFormat/>
    <w:rsid w:val="00281DDD"/>
    <w:pPr>
      <w:ind w:left="720"/>
      <w:contextualSpacing/>
    </w:pPr>
  </w:style>
  <w:style w:type="character" w:styleId="IntenseEmphasis">
    <w:name w:val="Intense Emphasis"/>
    <w:basedOn w:val="DefaultParagraphFont"/>
    <w:uiPriority w:val="21"/>
    <w:qFormat/>
    <w:rsid w:val="00281DDD"/>
    <w:rPr>
      <w:i/>
      <w:iCs/>
      <w:color w:val="0F4761" w:themeColor="accent1" w:themeShade="BF"/>
    </w:rPr>
  </w:style>
  <w:style w:type="paragraph" w:styleId="IntenseQuote">
    <w:name w:val="Intense Quote"/>
    <w:basedOn w:val="Normal"/>
    <w:next w:val="Normal"/>
    <w:link w:val="IntenseQuoteChar"/>
    <w:uiPriority w:val="30"/>
    <w:qFormat/>
    <w:rsid w:val="00281D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DDD"/>
    <w:rPr>
      <w:i/>
      <w:iCs/>
      <w:color w:val="0F4761" w:themeColor="accent1" w:themeShade="BF"/>
    </w:rPr>
  </w:style>
  <w:style w:type="character" w:styleId="IntenseReference">
    <w:name w:val="Intense Reference"/>
    <w:basedOn w:val="DefaultParagraphFont"/>
    <w:uiPriority w:val="32"/>
    <w:qFormat/>
    <w:rsid w:val="00281DDD"/>
    <w:rPr>
      <w:b/>
      <w:bCs/>
      <w:smallCaps/>
      <w:color w:val="0F4761" w:themeColor="accent1" w:themeShade="BF"/>
      <w:spacing w:val="5"/>
    </w:rPr>
  </w:style>
  <w:style w:type="paragraph" w:styleId="TOCHeading">
    <w:name w:val="TOC Heading"/>
    <w:basedOn w:val="Heading1"/>
    <w:next w:val="Normal"/>
    <w:uiPriority w:val="39"/>
    <w:unhideWhenUsed/>
    <w:qFormat/>
    <w:rsid w:val="00281DDD"/>
    <w:pPr>
      <w:spacing w:before="240" w:after="0" w:line="259" w:lineRule="auto"/>
      <w:outlineLvl w:val="9"/>
    </w:pPr>
    <w:rPr>
      <w:sz w:val="32"/>
      <w:szCs w:val="32"/>
      <w:lang w:val="en-US"/>
    </w:rPr>
  </w:style>
  <w:style w:type="paragraph" w:styleId="Bibliography">
    <w:name w:val="Bibliography"/>
    <w:basedOn w:val="Normal"/>
    <w:next w:val="Normal"/>
    <w:uiPriority w:val="37"/>
    <w:unhideWhenUsed/>
    <w:rsid w:val="00BF1920"/>
  </w:style>
  <w:style w:type="paragraph" w:styleId="TOC1">
    <w:name w:val="toc 1"/>
    <w:basedOn w:val="Normal"/>
    <w:next w:val="Normal"/>
    <w:autoRedefine/>
    <w:uiPriority w:val="39"/>
    <w:unhideWhenUsed/>
    <w:rsid w:val="00791C9F"/>
    <w:pPr>
      <w:spacing w:after="100"/>
    </w:pPr>
  </w:style>
  <w:style w:type="paragraph" w:styleId="TOC2">
    <w:name w:val="toc 2"/>
    <w:basedOn w:val="Normal"/>
    <w:next w:val="Normal"/>
    <w:autoRedefine/>
    <w:uiPriority w:val="39"/>
    <w:unhideWhenUsed/>
    <w:rsid w:val="00791C9F"/>
    <w:pPr>
      <w:spacing w:after="100"/>
      <w:ind w:left="240"/>
    </w:pPr>
  </w:style>
  <w:style w:type="paragraph" w:styleId="TOC3">
    <w:name w:val="toc 3"/>
    <w:basedOn w:val="Normal"/>
    <w:next w:val="Normal"/>
    <w:autoRedefine/>
    <w:uiPriority w:val="39"/>
    <w:unhideWhenUsed/>
    <w:rsid w:val="00791C9F"/>
    <w:pPr>
      <w:spacing w:after="100"/>
      <w:ind w:left="480"/>
    </w:pPr>
  </w:style>
  <w:style w:type="character" w:styleId="Hyperlink">
    <w:name w:val="Hyperlink"/>
    <w:basedOn w:val="DefaultParagraphFont"/>
    <w:uiPriority w:val="99"/>
    <w:unhideWhenUsed/>
    <w:rsid w:val="00791C9F"/>
    <w:rPr>
      <w:color w:val="467886" w:themeColor="hyperlink"/>
      <w:u w:val="single"/>
    </w:rPr>
  </w:style>
  <w:style w:type="paragraph" w:styleId="Header">
    <w:name w:val="header"/>
    <w:basedOn w:val="Normal"/>
    <w:link w:val="HeaderChar"/>
    <w:uiPriority w:val="99"/>
    <w:unhideWhenUsed/>
    <w:rsid w:val="00DA74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4A0"/>
    <w:rPr>
      <w:rFonts w:ascii="Aptos" w:eastAsia="Aptos" w:hAnsi="Aptos" w:cs="Aptos"/>
      <w:kern w:val="0"/>
      <w:lang w:eastAsia="en-GB"/>
      <w14:ligatures w14:val="none"/>
    </w:rPr>
  </w:style>
  <w:style w:type="paragraph" w:styleId="Footer">
    <w:name w:val="footer"/>
    <w:basedOn w:val="Normal"/>
    <w:link w:val="FooterChar"/>
    <w:uiPriority w:val="99"/>
    <w:unhideWhenUsed/>
    <w:rsid w:val="00DA7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4A0"/>
    <w:rPr>
      <w:rFonts w:ascii="Aptos" w:eastAsia="Aptos" w:hAnsi="Aptos" w:cs="Aptos"/>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54990">
      <w:bodyDiv w:val="1"/>
      <w:marLeft w:val="0"/>
      <w:marRight w:val="0"/>
      <w:marTop w:val="0"/>
      <w:marBottom w:val="0"/>
      <w:divBdr>
        <w:top w:val="none" w:sz="0" w:space="0" w:color="auto"/>
        <w:left w:val="none" w:sz="0" w:space="0" w:color="auto"/>
        <w:bottom w:val="none" w:sz="0" w:space="0" w:color="auto"/>
        <w:right w:val="none" w:sz="0" w:space="0" w:color="auto"/>
      </w:divBdr>
    </w:div>
    <w:div w:id="173962467">
      <w:bodyDiv w:val="1"/>
      <w:marLeft w:val="0"/>
      <w:marRight w:val="0"/>
      <w:marTop w:val="0"/>
      <w:marBottom w:val="0"/>
      <w:divBdr>
        <w:top w:val="none" w:sz="0" w:space="0" w:color="auto"/>
        <w:left w:val="none" w:sz="0" w:space="0" w:color="auto"/>
        <w:bottom w:val="none" w:sz="0" w:space="0" w:color="auto"/>
        <w:right w:val="none" w:sz="0" w:space="0" w:color="auto"/>
      </w:divBdr>
    </w:div>
    <w:div w:id="193813287">
      <w:bodyDiv w:val="1"/>
      <w:marLeft w:val="0"/>
      <w:marRight w:val="0"/>
      <w:marTop w:val="0"/>
      <w:marBottom w:val="0"/>
      <w:divBdr>
        <w:top w:val="none" w:sz="0" w:space="0" w:color="auto"/>
        <w:left w:val="none" w:sz="0" w:space="0" w:color="auto"/>
        <w:bottom w:val="none" w:sz="0" w:space="0" w:color="auto"/>
        <w:right w:val="none" w:sz="0" w:space="0" w:color="auto"/>
      </w:divBdr>
    </w:div>
    <w:div w:id="224682312">
      <w:bodyDiv w:val="1"/>
      <w:marLeft w:val="0"/>
      <w:marRight w:val="0"/>
      <w:marTop w:val="0"/>
      <w:marBottom w:val="0"/>
      <w:divBdr>
        <w:top w:val="none" w:sz="0" w:space="0" w:color="auto"/>
        <w:left w:val="none" w:sz="0" w:space="0" w:color="auto"/>
        <w:bottom w:val="none" w:sz="0" w:space="0" w:color="auto"/>
        <w:right w:val="none" w:sz="0" w:space="0" w:color="auto"/>
      </w:divBdr>
    </w:div>
    <w:div w:id="342896471">
      <w:bodyDiv w:val="1"/>
      <w:marLeft w:val="0"/>
      <w:marRight w:val="0"/>
      <w:marTop w:val="0"/>
      <w:marBottom w:val="0"/>
      <w:divBdr>
        <w:top w:val="none" w:sz="0" w:space="0" w:color="auto"/>
        <w:left w:val="none" w:sz="0" w:space="0" w:color="auto"/>
        <w:bottom w:val="none" w:sz="0" w:space="0" w:color="auto"/>
        <w:right w:val="none" w:sz="0" w:space="0" w:color="auto"/>
      </w:divBdr>
    </w:div>
    <w:div w:id="350650119">
      <w:bodyDiv w:val="1"/>
      <w:marLeft w:val="0"/>
      <w:marRight w:val="0"/>
      <w:marTop w:val="0"/>
      <w:marBottom w:val="0"/>
      <w:divBdr>
        <w:top w:val="none" w:sz="0" w:space="0" w:color="auto"/>
        <w:left w:val="none" w:sz="0" w:space="0" w:color="auto"/>
        <w:bottom w:val="none" w:sz="0" w:space="0" w:color="auto"/>
        <w:right w:val="none" w:sz="0" w:space="0" w:color="auto"/>
      </w:divBdr>
    </w:div>
    <w:div w:id="737746000">
      <w:bodyDiv w:val="1"/>
      <w:marLeft w:val="0"/>
      <w:marRight w:val="0"/>
      <w:marTop w:val="0"/>
      <w:marBottom w:val="0"/>
      <w:divBdr>
        <w:top w:val="none" w:sz="0" w:space="0" w:color="auto"/>
        <w:left w:val="none" w:sz="0" w:space="0" w:color="auto"/>
        <w:bottom w:val="none" w:sz="0" w:space="0" w:color="auto"/>
        <w:right w:val="none" w:sz="0" w:space="0" w:color="auto"/>
      </w:divBdr>
    </w:div>
    <w:div w:id="846099499">
      <w:bodyDiv w:val="1"/>
      <w:marLeft w:val="0"/>
      <w:marRight w:val="0"/>
      <w:marTop w:val="0"/>
      <w:marBottom w:val="0"/>
      <w:divBdr>
        <w:top w:val="none" w:sz="0" w:space="0" w:color="auto"/>
        <w:left w:val="none" w:sz="0" w:space="0" w:color="auto"/>
        <w:bottom w:val="none" w:sz="0" w:space="0" w:color="auto"/>
        <w:right w:val="none" w:sz="0" w:space="0" w:color="auto"/>
      </w:divBdr>
    </w:div>
    <w:div w:id="972293308">
      <w:bodyDiv w:val="1"/>
      <w:marLeft w:val="0"/>
      <w:marRight w:val="0"/>
      <w:marTop w:val="0"/>
      <w:marBottom w:val="0"/>
      <w:divBdr>
        <w:top w:val="none" w:sz="0" w:space="0" w:color="auto"/>
        <w:left w:val="none" w:sz="0" w:space="0" w:color="auto"/>
        <w:bottom w:val="none" w:sz="0" w:space="0" w:color="auto"/>
        <w:right w:val="none" w:sz="0" w:space="0" w:color="auto"/>
      </w:divBdr>
    </w:div>
    <w:div w:id="1116366264">
      <w:bodyDiv w:val="1"/>
      <w:marLeft w:val="0"/>
      <w:marRight w:val="0"/>
      <w:marTop w:val="0"/>
      <w:marBottom w:val="0"/>
      <w:divBdr>
        <w:top w:val="none" w:sz="0" w:space="0" w:color="auto"/>
        <w:left w:val="none" w:sz="0" w:space="0" w:color="auto"/>
        <w:bottom w:val="none" w:sz="0" w:space="0" w:color="auto"/>
        <w:right w:val="none" w:sz="0" w:space="0" w:color="auto"/>
      </w:divBdr>
    </w:div>
    <w:div w:id="1458913326">
      <w:bodyDiv w:val="1"/>
      <w:marLeft w:val="0"/>
      <w:marRight w:val="0"/>
      <w:marTop w:val="0"/>
      <w:marBottom w:val="0"/>
      <w:divBdr>
        <w:top w:val="none" w:sz="0" w:space="0" w:color="auto"/>
        <w:left w:val="none" w:sz="0" w:space="0" w:color="auto"/>
        <w:bottom w:val="none" w:sz="0" w:space="0" w:color="auto"/>
        <w:right w:val="none" w:sz="0" w:space="0" w:color="auto"/>
      </w:divBdr>
    </w:div>
    <w:div w:id="1591547234">
      <w:bodyDiv w:val="1"/>
      <w:marLeft w:val="0"/>
      <w:marRight w:val="0"/>
      <w:marTop w:val="0"/>
      <w:marBottom w:val="0"/>
      <w:divBdr>
        <w:top w:val="none" w:sz="0" w:space="0" w:color="auto"/>
        <w:left w:val="none" w:sz="0" w:space="0" w:color="auto"/>
        <w:bottom w:val="none" w:sz="0" w:space="0" w:color="auto"/>
        <w:right w:val="none" w:sz="0" w:space="0" w:color="auto"/>
      </w:divBdr>
    </w:div>
    <w:div w:id="1601136630">
      <w:bodyDiv w:val="1"/>
      <w:marLeft w:val="0"/>
      <w:marRight w:val="0"/>
      <w:marTop w:val="0"/>
      <w:marBottom w:val="0"/>
      <w:divBdr>
        <w:top w:val="none" w:sz="0" w:space="0" w:color="auto"/>
        <w:left w:val="none" w:sz="0" w:space="0" w:color="auto"/>
        <w:bottom w:val="none" w:sz="0" w:space="0" w:color="auto"/>
        <w:right w:val="none" w:sz="0" w:space="0" w:color="auto"/>
      </w:divBdr>
    </w:div>
    <w:div w:id="1610620144">
      <w:bodyDiv w:val="1"/>
      <w:marLeft w:val="0"/>
      <w:marRight w:val="0"/>
      <w:marTop w:val="0"/>
      <w:marBottom w:val="0"/>
      <w:divBdr>
        <w:top w:val="none" w:sz="0" w:space="0" w:color="auto"/>
        <w:left w:val="none" w:sz="0" w:space="0" w:color="auto"/>
        <w:bottom w:val="none" w:sz="0" w:space="0" w:color="auto"/>
        <w:right w:val="none" w:sz="0" w:space="0" w:color="auto"/>
      </w:divBdr>
    </w:div>
    <w:div w:id="1621447558">
      <w:bodyDiv w:val="1"/>
      <w:marLeft w:val="0"/>
      <w:marRight w:val="0"/>
      <w:marTop w:val="0"/>
      <w:marBottom w:val="0"/>
      <w:divBdr>
        <w:top w:val="none" w:sz="0" w:space="0" w:color="auto"/>
        <w:left w:val="none" w:sz="0" w:space="0" w:color="auto"/>
        <w:bottom w:val="none" w:sz="0" w:space="0" w:color="auto"/>
        <w:right w:val="none" w:sz="0" w:space="0" w:color="auto"/>
      </w:divBdr>
    </w:div>
    <w:div w:id="1630092140">
      <w:bodyDiv w:val="1"/>
      <w:marLeft w:val="0"/>
      <w:marRight w:val="0"/>
      <w:marTop w:val="0"/>
      <w:marBottom w:val="0"/>
      <w:divBdr>
        <w:top w:val="none" w:sz="0" w:space="0" w:color="auto"/>
        <w:left w:val="none" w:sz="0" w:space="0" w:color="auto"/>
        <w:bottom w:val="none" w:sz="0" w:space="0" w:color="auto"/>
        <w:right w:val="none" w:sz="0" w:space="0" w:color="auto"/>
      </w:divBdr>
    </w:div>
    <w:div w:id="1631201260">
      <w:bodyDiv w:val="1"/>
      <w:marLeft w:val="0"/>
      <w:marRight w:val="0"/>
      <w:marTop w:val="0"/>
      <w:marBottom w:val="0"/>
      <w:divBdr>
        <w:top w:val="none" w:sz="0" w:space="0" w:color="auto"/>
        <w:left w:val="none" w:sz="0" w:space="0" w:color="auto"/>
        <w:bottom w:val="none" w:sz="0" w:space="0" w:color="auto"/>
        <w:right w:val="none" w:sz="0" w:space="0" w:color="auto"/>
      </w:divBdr>
    </w:div>
    <w:div w:id="1650743676">
      <w:bodyDiv w:val="1"/>
      <w:marLeft w:val="0"/>
      <w:marRight w:val="0"/>
      <w:marTop w:val="0"/>
      <w:marBottom w:val="0"/>
      <w:divBdr>
        <w:top w:val="none" w:sz="0" w:space="0" w:color="auto"/>
        <w:left w:val="none" w:sz="0" w:space="0" w:color="auto"/>
        <w:bottom w:val="none" w:sz="0" w:space="0" w:color="auto"/>
        <w:right w:val="none" w:sz="0" w:space="0" w:color="auto"/>
      </w:divBdr>
    </w:div>
    <w:div w:id="1846706148">
      <w:bodyDiv w:val="1"/>
      <w:marLeft w:val="0"/>
      <w:marRight w:val="0"/>
      <w:marTop w:val="0"/>
      <w:marBottom w:val="0"/>
      <w:divBdr>
        <w:top w:val="none" w:sz="0" w:space="0" w:color="auto"/>
        <w:left w:val="none" w:sz="0" w:space="0" w:color="auto"/>
        <w:bottom w:val="none" w:sz="0" w:space="0" w:color="auto"/>
        <w:right w:val="none" w:sz="0" w:space="0" w:color="auto"/>
      </w:divBdr>
    </w:div>
    <w:div w:id="2069644991">
      <w:bodyDiv w:val="1"/>
      <w:marLeft w:val="0"/>
      <w:marRight w:val="0"/>
      <w:marTop w:val="0"/>
      <w:marBottom w:val="0"/>
      <w:divBdr>
        <w:top w:val="none" w:sz="0" w:space="0" w:color="auto"/>
        <w:left w:val="none" w:sz="0" w:space="0" w:color="auto"/>
        <w:bottom w:val="none" w:sz="0" w:space="0" w:color="auto"/>
        <w:right w:val="none" w:sz="0" w:space="0" w:color="auto"/>
      </w:divBdr>
    </w:div>
    <w:div w:id="2144959432">
      <w:bodyDiv w:val="1"/>
      <w:marLeft w:val="0"/>
      <w:marRight w:val="0"/>
      <w:marTop w:val="0"/>
      <w:marBottom w:val="0"/>
      <w:divBdr>
        <w:top w:val="none" w:sz="0" w:space="0" w:color="auto"/>
        <w:left w:val="none" w:sz="0" w:space="0" w:color="auto"/>
        <w:bottom w:val="none" w:sz="0" w:space="0" w:color="auto"/>
        <w:right w:val="none" w:sz="0" w:space="0" w:color="auto"/>
      </w:divBdr>
    </w:div>
    <w:div w:id="214561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B41D010-1F6F-43D4-A392-8E624C41D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4795</Words>
  <Characters>27337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Tandazo</dc:creator>
  <cp:keywords/>
  <dc:description/>
  <cp:lastModifiedBy>John Tandazo</cp:lastModifiedBy>
  <cp:revision>2</cp:revision>
  <dcterms:created xsi:type="dcterms:W3CDTF">2026-08-21T08:00:00Z</dcterms:created>
  <dcterms:modified xsi:type="dcterms:W3CDTF">2026-08-21T08:00:00Z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zotero-version="9.0.6"&gt;&lt;session id="Kcd0ssoP"/&gt;&lt;style id="http://www.zotero.org/styles/harvard-cite-them-right" locale="en-GB" hasBibliography="1" bibliographyStyleHasBeenSet="1"/&gt;&lt;prefs&gt;&lt;pref name="fieldType" value="Field"/&gt;&lt;/prefs</vt:lpwstr>
  </property>
  <property fmtid="{D5CDD505-2E9C-101B-9397-08002B2CF9AE}" pid="3" name="ZOTERO_PREF_2">
    <vt:lpwstr>&gt;&lt;/data&gt;</vt:lpwstr>
  </property>
</Properties>
</file>