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FC280" w14:textId="31B314B8" w:rsidR="00D31F59" w:rsidRPr="00D31F59" w:rsidRDefault="00D31F59" w:rsidP="00D31F59">
      <w:pPr>
        <w:pStyle w:val="Title"/>
        <w:jc w:val="center"/>
        <w:rPr>
          <w:rFonts w:ascii="Times New Roman" w:hAnsi="Times New Roman" w:cs="Times New Roman"/>
        </w:rPr>
      </w:pPr>
      <w:r>
        <w:rPr>
          <w:rFonts w:ascii="Times New Roman" w:hAnsi="Times New Roman" w:cs="Times New Roman"/>
        </w:rPr>
        <w:t>Data Security</w:t>
      </w:r>
      <w:r>
        <w:rPr>
          <w:rFonts w:ascii="Times New Roman" w:hAnsi="Times New Roman" w:cs="Times New Roman"/>
        </w:rPr>
        <w:br/>
      </w:r>
      <w:r w:rsidRPr="00D31F59">
        <w:rPr>
          <w:rStyle w:val="SubtitleChar"/>
          <w:sz w:val="22"/>
          <w:szCs w:val="22"/>
        </w:rPr>
        <w:t>Apply</w:t>
      </w:r>
      <w:r>
        <w:rPr>
          <w:rStyle w:val="SubtitleChar"/>
          <w:sz w:val="22"/>
          <w:szCs w:val="22"/>
        </w:rPr>
        <w:t>ing</w:t>
      </w:r>
      <w:r w:rsidRPr="00D31F59">
        <w:rPr>
          <w:rStyle w:val="SubtitleChar"/>
          <w:sz w:val="22"/>
          <w:szCs w:val="22"/>
        </w:rPr>
        <w:t xml:space="preserve"> the principles and practices of Data security based on a given scenario</w:t>
      </w:r>
      <w:r w:rsidR="00AD39A1">
        <w:rPr>
          <w:rStyle w:val="SubtitleChar"/>
          <w:sz w:val="22"/>
          <w:szCs w:val="22"/>
        </w:rPr>
        <w:br/>
        <w:t>P149891- Liam Blunt</w:t>
      </w:r>
    </w:p>
    <w:p w14:paraId="2F9A3FE0" w14:textId="77777777" w:rsidR="00D31F59" w:rsidRDefault="00D31F59" w:rsidP="00D31F59">
      <w:pPr>
        <w:jc w:val="both"/>
        <w:rPr>
          <w:rFonts w:ascii="Arial" w:hAnsi="Arial" w:cs="Arial"/>
          <w:color w:val="FF0000"/>
          <w:sz w:val="22"/>
          <w:szCs w:val="22"/>
        </w:rPr>
      </w:pPr>
    </w:p>
    <w:p w14:paraId="586DE7A2" w14:textId="77777777" w:rsidR="00D31F59" w:rsidRPr="00D31F59" w:rsidRDefault="00D31F59" w:rsidP="00D31F59">
      <w:pPr>
        <w:jc w:val="both"/>
        <w:rPr>
          <w:rFonts w:ascii="Arial" w:hAnsi="Arial" w:cs="Arial"/>
          <w:color w:val="FF0000"/>
          <w:sz w:val="22"/>
          <w:szCs w:val="22"/>
        </w:rPr>
      </w:pPr>
    </w:p>
    <w:p w14:paraId="75898E83" w14:textId="7906CE35" w:rsidR="006A43D6" w:rsidRPr="006A43D6" w:rsidRDefault="006A43D6" w:rsidP="006A43D6">
      <w:pPr>
        <w:pStyle w:val="Heading2"/>
        <w:numPr>
          <w:ilvl w:val="0"/>
          <w:numId w:val="4"/>
        </w:numPr>
        <w:jc w:val="center"/>
        <w:rPr>
          <w:rFonts w:ascii="Times New Roman" w:hAnsi="Times New Roman" w:cs="Times New Roman"/>
          <w:color w:val="auto"/>
          <w:lang w:val="en"/>
        </w:rPr>
      </w:pPr>
      <w:r>
        <w:rPr>
          <w:rFonts w:ascii="Times New Roman" w:hAnsi="Times New Roman" w:cs="Times New Roman"/>
          <w:color w:val="auto"/>
          <w:lang w:val="en"/>
        </w:rPr>
        <w:t>Introduction</w:t>
      </w:r>
    </w:p>
    <w:p w14:paraId="13865DBE" w14:textId="77777777" w:rsidR="006A43D6" w:rsidRDefault="006A43D6" w:rsidP="00564A8F">
      <w:pPr>
        <w:jc w:val="both"/>
        <w:rPr>
          <w:sz w:val="22"/>
          <w:szCs w:val="22"/>
          <w:lang w:val="en"/>
        </w:rPr>
      </w:pPr>
    </w:p>
    <w:p w14:paraId="356C4D5B" w14:textId="4DA5F26E" w:rsidR="00D92886" w:rsidRDefault="006A43D6" w:rsidP="00564A8F">
      <w:pPr>
        <w:jc w:val="both"/>
        <w:rPr>
          <w:sz w:val="22"/>
          <w:szCs w:val="22"/>
          <w:lang w:val="en"/>
        </w:rPr>
      </w:pPr>
      <w:r>
        <w:rPr>
          <w:sz w:val="22"/>
          <w:szCs w:val="22"/>
          <w:lang w:val="en"/>
        </w:rPr>
        <w:t xml:space="preserve">As businesses all over the world move towards a greater reliance on IT systems and services, the need for the subsequent security becomes more apparent despite the resistance from some </w:t>
      </w:r>
      <w:r w:rsidR="005F142E">
        <w:rPr>
          <w:sz w:val="22"/>
          <w:szCs w:val="22"/>
          <w:lang w:val="en"/>
        </w:rPr>
        <w:t>companies. What</w:t>
      </w:r>
      <w:r>
        <w:rPr>
          <w:sz w:val="22"/>
          <w:szCs w:val="22"/>
          <w:lang w:val="en"/>
        </w:rPr>
        <w:t xml:space="preserve"> t</w:t>
      </w:r>
      <w:r w:rsidR="00D92886">
        <w:rPr>
          <w:sz w:val="22"/>
          <w:szCs w:val="22"/>
          <w:lang w:val="en"/>
        </w:rPr>
        <w:t>he purpose of this assignment is to better understand the security frameworks and their subsequent implementation,</w:t>
      </w:r>
      <w:r w:rsidR="005F142E">
        <w:rPr>
          <w:sz w:val="22"/>
          <w:szCs w:val="22"/>
          <w:lang w:val="en"/>
        </w:rPr>
        <w:t xml:space="preserve"> </w:t>
      </w:r>
      <w:r w:rsidR="00D92886">
        <w:rPr>
          <w:sz w:val="22"/>
          <w:szCs w:val="22"/>
          <w:lang w:val="en"/>
        </w:rPr>
        <w:t>of which in this assignment is separated into two parts, the research and implementation sequentially.</w:t>
      </w:r>
    </w:p>
    <w:p w14:paraId="3B96700C" w14:textId="77777777" w:rsidR="00D92886" w:rsidRDefault="00D92886" w:rsidP="00564A8F">
      <w:pPr>
        <w:jc w:val="both"/>
        <w:rPr>
          <w:sz w:val="22"/>
          <w:szCs w:val="22"/>
          <w:lang w:val="en"/>
        </w:rPr>
      </w:pPr>
    </w:p>
    <w:p w14:paraId="04D31FF9" w14:textId="77777777" w:rsidR="00D92886" w:rsidRDefault="00D92886" w:rsidP="00564A8F">
      <w:pPr>
        <w:jc w:val="both"/>
        <w:rPr>
          <w:sz w:val="22"/>
          <w:szCs w:val="22"/>
          <w:lang w:val="en"/>
        </w:rPr>
      </w:pPr>
    </w:p>
    <w:p w14:paraId="30184025" w14:textId="77777777" w:rsidR="00D92886" w:rsidRDefault="00D92886" w:rsidP="00564A8F">
      <w:pPr>
        <w:jc w:val="both"/>
        <w:rPr>
          <w:sz w:val="22"/>
          <w:szCs w:val="22"/>
          <w:lang w:val="en"/>
        </w:rPr>
      </w:pPr>
    </w:p>
    <w:p w14:paraId="15FA6DBC" w14:textId="4B474263" w:rsidR="00D92886" w:rsidRPr="00D92886" w:rsidRDefault="00D92886" w:rsidP="006A43D6">
      <w:pPr>
        <w:pStyle w:val="Heading2"/>
        <w:numPr>
          <w:ilvl w:val="0"/>
          <w:numId w:val="4"/>
        </w:numPr>
        <w:jc w:val="center"/>
        <w:rPr>
          <w:rFonts w:ascii="Times New Roman" w:hAnsi="Times New Roman" w:cs="Times New Roman"/>
          <w:lang w:val="en"/>
        </w:rPr>
      </w:pPr>
      <w:r w:rsidRPr="00D92886">
        <w:rPr>
          <w:rFonts w:ascii="Times New Roman" w:hAnsi="Times New Roman" w:cs="Times New Roman"/>
          <w:color w:val="auto"/>
          <w:lang w:val="en"/>
        </w:rPr>
        <w:t>Framework Research</w:t>
      </w:r>
    </w:p>
    <w:p w14:paraId="5F9D7F47" w14:textId="77777777" w:rsidR="00D92886" w:rsidRDefault="00D92886" w:rsidP="00564A8F">
      <w:pPr>
        <w:jc w:val="both"/>
        <w:rPr>
          <w:sz w:val="22"/>
          <w:szCs w:val="22"/>
          <w:lang w:val="en"/>
        </w:rPr>
      </w:pPr>
    </w:p>
    <w:p w14:paraId="3373C161" w14:textId="2D61A4C2" w:rsidR="0065719D" w:rsidRPr="00564A8F" w:rsidRDefault="00732C45" w:rsidP="00564A8F">
      <w:pPr>
        <w:jc w:val="both"/>
        <w:rPr>
          <w:sz w:val="22"/>
          <w:szCs w:val="22"/>
        </w:rPr>
      </w:pPr>
      <w:r w:rsidRPr="00564A8F">
        <w:rPr>
          <w:sz w:val="22"/>
          <w:szCs w:val="22"/>
          <w:lang w:val="en"/>
        </w:rPr>
        <w:t>One of the most popular security frameworks is the N</w:t>
      </w:r>
      <w:r w:rsidR="00BA3C29" w:rsidRPr="00564A8F">
        <w:rPr>
          <w:sz w:val="22"/>
          <w:szCs w:val="22"/>
          <w:lang w:val="en"/>
        </w:rPr>
        <w:t>ational Institute of Standards and Technology</w:t>
      </w:r>
      <w:r w:rsidR="000C07DD" w:rsidRPr="00564A8F">
        <w:rPr>
          <w:sz w:val="22"/>
          <w:szCs w:val="22"/>
          <w:lang w:val="en"/>
        </w:rPr>
        <w:t xml:space="preserve"> Cybersecurity</w:t>
      </w:r>
      <w:r w:rsidR="00BA3C29" w:rsidRPr="00564A8F">
        <w:rPr>
          <w:sz w:val="22"/>
          <w:szCs w:val="22"/>
          <w:lang w:val="en"/>
        </w:rPr>
        <w:t xml:space="preserve"> Framework, or NIST </w:t>
      </w:r>
      <w:r w:rsidR="005E73C4" w:rsidRPr="00564A8F">
        <w:rPr>
          <w:sz w:val="22"/>
          <w:szCs w:val="22"/>
          <w:lang w:val="en"/>
        </w:rPr>
        <w:t xml:space="preserve">CSF </w:t>
      </w:r>
      <w:r w:rsidR="00BA3C29" w:rsidRPr="00564A8F">
        <w:rPr>
          <w:sz w:val="22"/>
          <w:szCs w:val="22"/>
          <w:lang w:val="en"/>
        </w:rPr>
        <w:t>for short</w:t>
      </w:r>
      <w:r w:rsidR="000436ED" w:rsidRPr="00564A8F">
        <w:rPr>
          <w:sz w:val="22"/>
          <w:szCs w:val="22"/>
          <w:lang w:val="en"/>
        </w:rPr>
        <w:t xml:space="preserve">, developed in 2014 at the behest of </w:t>
      </w:r>
      <w:r w:rsidR="00C017B4" w:rsidRPr="00564A8F">
        <w:rPr>
          <w:sz w:val="22"/>
          <w:szCs w:val="22"/>
          <w:lang w:val="en"/>
        </w:rPr>
        <w:t xml:space="preserve">US </w:t>
      </w:r>
      <w:r w:rsidR="000436ED" w:rsidRPr="00564A8F">
        <w:rPr>
          <w:sz w:val="22"/>
          <w:szCs w:val="22"/>
          <w:lang w:val="en"/>
        </w:rPr>
        <w:t>executive order 13636</w:t>
      </w:r>
      <w:r w:rsidR="00C017B4" w:rsidRPr="00564A8F">
        <w:rPr>
          <w:sz w:val="22"/>
          <w:szCs w:val="22"/>
          <w:lang w:val="en"/>
        </w:rPr>
        <w:t xml:space="preserve"> in order to improve the security of critical infrastructure</w:t>
      </w:r>
      <w:r w:rsidR="00BA3C29" w:rsidRPr="00564A8F">
        <w:rPr>
          <w:sz w:val="22"/>
          <w:szCs w:val="22"/>
          <w:lang w:val="en"/>
        </w:rPr>
        <w:t>.</w:t>
      </w:r>
      <w:r w:rsidR="00DF5FCF" w:rsidRPr="00564A8F">
        <w:rPr>
          <w:sz w:val="22"/>
          <w:szCs w:val="22"/>
          <w:lang w:val="en"/>
        </w:rPr>
        <w:t xml:space="preserve"> As a security framework it</w:t>
      </w:r>
      <w:r w:rsidR="00C34260" w:rsidRPr="00564A8F">
        <w:rPr>
          <w:sz w:val="22"/>
          <w:szCs w:val="22"/>
          <w:lang w:val="en"/>
        </w:rPr>
        <w:t xml:space="preserve"> i</w:t>
      </w:r>
      <w:r w:rsidR="00DF5FCF" w:rsidRPr="00564A8F">
        <w:rPr>
          <w:sz w:val="22"/>
          <w:szCs w:val="22"/>
          <w:lang w:val="en"/>
        </w:rPr>
        <w:t>s official purpose is to</w:t>
      </w:r>
      <w:r w:rsidR="00C2308C" w:rsidRPr="00564A8F">
        <w:rPr>
          <w:sz w:val="22"/>
          <w:szCs w:val="22"/>
          <w:lang w:val="en"/>
        </w:rPr>
        <w:t xml:space="preserve">; </w:t>
      </w:r>
      <w:r w:rsidR="00DF5FCF" w:rsidRPr="00564A8F">
        <w:rPr>
          <w:sz w:val="22"/>
          <w:szCs w:val="22"/>
        </w:rPr>
        <w:t>“</w:t>
      </w:r>
      <w:r w:rsidR="00C2308C" w:rsidRPr="00564A8F">
        <w:rPr>
          <w:sz w:val="22"/>
          <w:szCs w:val="22"/>
        </w:rPr>
        <w:t xml:space="preserve">identify </w:t>
      </w:r>
      <w:r w:rsidR="00DF5FCF" w:rsidRPr="00564A8F">
        <w:rPr>
          <w:sz w:val="22"/>
          <w:szCs w:val="22"/>
        </w:rPr>
        <w:t>a prioritized, flexible, repeatable, performance-based, and cost-effective approach, including information security measures and controls that may be voluntarily adopted by owners and operators of critical infrastructure to help them identify, assess, and manage cyber risks.”</w:t>
      </w:r>
      <w:r w:rsidR="008837D7" w:rsidRPr="00564A8F">
        <w:rPr>
          <w:sz w:val="22"/>
          <w:szCs w:val="22"/>
        </w:rPr>
        <w:fldChar w:fldCharType="begin" w:fldLock="1"/>
      </w:r>
      <w:r w:rsidR="006505C8" w:rsidRPr="00564A8F">
        <w:rPr>
          <w:sz w:val="22"/>
          <w:szCs w:val="22"/>
        </w:rPr>
        <w:instrText>ADDIN CSL_CITATION {"citationItems":[{"id":"ITEM-1","itemData":{"abstract":"This publication describes a voluntary risk management framework (“the Framework”) that consists of standards, guidelines, and best practices to manage cybersecurity-related risk. The Framework’s prioritized, flexible, and cost-effective approach helps to promote the protection and resilience of critical infrastructure and other sectors important to the economy and national security. This release, Version 1.1, includes a number of updates from the original Version 1.0 (from February 2014), including: a new section on self-assessment; expanded explanation of using the Framework for cyber supply chain risk management purposes; refinements to better account for authentication, authorization, and identity proofing; explanation of the relationship between implementation tiers and profiles; and consideration of coordinated vulnerability disclosure. Complete information about the Framework is available at https://www.nist.gov/cyberframework.","author":[{"dropping-particle":"","family":"National Institute of Standards and Technology","given":"","non-dropping-particle":"","parse-names":false,"suffix":""}],"id":"ITEM-1","issued":{"date-parts":[["2018"]]},"title":"Framework for Improving Critical Infrastructure Cybersecurity","type":"report"},"uris":["http://www.mendeley.com/documents/?uuid=bb3f4ce6-a05c-455d-8911-029268d29e98"]}],"mendeley":{"formattedCitation":"[1]","plainTextFormattedCitation":"[1]","previouslyFormattedCitation":"[1]"},"properties":{"noteIndex":0},"schema":"https://github.com/citation-style-language/schema/raw/master/csl-citation.json"}</w:instrText>
      </w:r>
      <w:r w:rsidR="008837D7" w:rsidRPr="00564A8F">
        <w:rPr>
          <w:sz w:val="22"/>
          <w:szCs w:val="22"/>
        </w:rPr>
        <w:fldChar w:fldCharType="separate"/>
      </w:r>
      <w:r w:rsidR="008837D7" w:rsidRPr="00564A8F">
        <w:rPr>
          <w:noProof/>
          <w:sz w:val="22"/>
          <w:szCs w:val="22"/>
        </w:rPr>
        <w:t>[1]</w:t>
      </w:r>
      <w:r w:rsidR="008837D7" w:rsidRPr="00564A8F">
        <w:rPr>
          <w:sz w:val="22"/>
          <w:szCs w:val="22"/>
        </w:rPr>
        <w:fldChar w:fldCharType="end"/>
      </w:r>
      <w:r w:rsidR="0008023C" w:rsidRPr="00564A8F">
        <w:rPr>
          <w:sz w:val="22"/>
          <w:szCs w:val="22"/>
        </w:rPr>
        <w:t xml:space="preserve"> </w:t>
      </w:r>
      <w:r w:rsidR="00D841F0" w:rsidRPr="00564A8F">
        <w:rPr>
          <w:sz w:val="22"/>
          <w:szCs w:val="22"/>
        </w:rPr>
        <w:t>In layman’s terms</w:t>
      </w:r>
      <w:r w:rsidR="000436ED" w:rsidRPr="00564A8F">
        <w:rPr>
          <w:sz w:val="22"/>
          <w:szCs w:val="22"/>
        </w:rPr>
        <w:t>;</w:t>
      </w:r>
      <w:r w:rsidR="00D841F0" w:rsidRPr="00564A8F">
        <w:rPr>
          <w:sz w:val="22"/>
          <w:szCs w:val="22"/>
        </w:rPr>
        <w:t xml:space="preserve"> </w:t>
      </w:r>
      <w:r w:rsidR="00723CCB" w:rsidRPr="00564A8F">
        <w:rPr>
          <w:sz w:val="22"/>
          <w:szCs w:val="22"/>
        </w:rPr>
        <w:t xml:space="preserve">a </w:t>
      </w:r>
      <w:r w:rsidR="0035292D" w:rsidRPr="00564A8F">
        <w:rPr>
          <w:sz w:val="22"/>
          <w:szCs w:val="22"/>
        </w:rPr>
        <w:t>cyber</w:t>
      </w:r>
      <w:r w:rsidR="00723CCB" w:rsidRPr="00564A8F">
        <w:rPr>
          <w:sz w:val="22"/>
          <w:szCs w:val="22"/>
        </w:rPr>
        <w:t>-</w:t>
      </w:r>
      <w:r w:rsidR="0035292D" w:rsidRPr="00564A8F">
        <w:rPr>
          <w:sz w:val="22"/>
          <w:szCs w:val="22"/>
        </w:rPr>
        <w:t>security</w:t>
      </w:r>
      <w:r w:rsidR="00D841F0" w:rsidRPr="00564A8F">
        <w:rPr>
          <w:sz w:val="22"/>
          <w:szCs w:val="22"/>
        </w:rPr>
        <w:t xml:space="preserve"> framework that </w:t>
      </w:r>
      <w:r w:rsidR="0063579A" w:rsidRPr="00564A8F">
        <w:rPr>
          <w:sz w:val="22"/>
          <w:szCs w:val="22"/>
        </w:rPr>
        <w:t>specifies</w:t>
      </w:r>
      <w:r w:rsidR="00D841F0" w:rsidRPr="00564A8F">
        <w:rPr>
          <w:sz w:val="22"/>
          <w:szCs w:val="22"/>
        </w:rPr>
        <w:t xml:space="preserve"> the security measure</w:t>
      </w:r>
      <w:r w:rsidR="0098670F" w:rsidRPr="00564A8F">
        <w:rPr>
          <w:sz w:val="22"/>
          <w:szCs w:val="22"/>
        </w:rPr>
        <w:t>s</w:t>
      </w:r>
      <w:r w:rsidR="00AC2CC0" w:rsidRPr="00564A8F">
        <w:rPr>
          <w:sz w:val="22"/>
          <w:szCs w:val="22"/>
        </w:rPr>
        <w:t>,</w:t>
      </w:r>
      <w:r w:rsidR="00D841F0" w:rsidRPr="00564A8F">
        <w:rPr>
          <w:sz w:val="22"/>
          <w:szCs w:val="22"/>
        </w:rPr>
        <w:t xml:space="preserve"> access-controls </w:t>
      </w:r>
      <w:r w:rsidR="00AC2CC0" w:rsidRPr="00564A8F">
        <w:rPr>
          <w:sz w:val="22"/>
          <w:szCs w:val="22"/>
        </w:rPr>
        <w:t>and risk-assessment criteria</w:t>
      </w:r>
      <w:r w:rsidR="0008023C" w:rsidRPr="00564A8F">
        <w:rPr>
          <w:sz w:val="22"/>
          <w:szCs w:val="22"/>
        </w:rPr>
        <w:t xml:space="preserve"> and controls</w:t>
      </w:r>
      <w:r w:rsidR="00AC2CC0" w:rsidRPr="00564A8F">
        <w:rPr>
          <w:sz w:val="22"/>
          <w:szCs w:val="22"/>
        </w:rPr>
        <w:t xml:space="preserve"> </w:t>
      </w:r>
      <w:r w:rsidR="00D841F0" w:rsidRPr="00564A8F">
        <w:rPr>
          <w:sz w:val="22"/>
          <w:szCs w:val="22"/>
        </w:rPr>
        <w:t>needed</w:t>
      </w:r>
      <w:r w:rsidR="00C36EC0" w:rsidRPr="00564A8F">
        <w:rPr>
          <w:sz w:val="22"/>
          <w:szCs w:val="22"/>
        </w:rPr>
        <w:t xml:space="preserve"> </w:t>
      </w:r>
      <w:r w:rsidR="00AC2CC0" w:rsidRPr="00564A8F">
        <w:rPr>
          <w:sz w:val="22"/>
          <w:szCs w:val="22"/>
        </w:rPr>
        <w:t xml:space="preserve">for the implementation of an adequate level of cybersecurity in </w:t>
      </w:r>
      <w:r w:rsidR="0008023C" w:rsidRPr="00564A8F">
        <w:rPr>
          <w:sz w:val="22"/>
          <w:szCs w:val="22"/>
        </w:rPr>
        <w:t>the modern age</w:t>
      </w:r>
      <w:r w:rsidR="00C36EC0" w:rsidRPr="00564A8F">
        <w:rPr>
          <w:sz w:val="22"/>
          <w:szCs w:val="22"/>
        </w:rPr>
        <w:t>, at a cost-effective yet flexible</w:t>
      </w:r>
      <w:r w:rsidR="00AC2CC0" w:rsidRPr="00564A8F">
        <w:rPr>
          <w:sz w:val="22"/>
          <w:szCs w:val="22"/>
        </w:rPr>
        <w:t>/customisable</w:t>
      </w:r>
      <w:r w:rsidR="00C36EC0" w:rsidRPr="00564A8F">
        <w:rPr>
          <w:sz w:val="22"/>
          <w:szCs w:val="22"/>
        </w:rPr>
        <w:t xml:space="preserve"> basis</w:t>
      </w:r>
      <w:r w:rsidR="00ED17B3" w:rsidRPr="00564A8F">
        <w:rPr>
          <w:sz w:val="22"/>
          <w:szCs w:val="22"/>
        </w:rPr>
        <w:t xml:space="preserve"> </w:t>
      </w:r>
      <w:r w:rsidR="00AC2CC0" w:rsidRPr="00564A8F">
        <w:rPr>
          <w:sz w:val="22"/>
          <w:szCs w:val="22"/>
        </w:rPr>
        <w:t>for near any and all systems. Having said this version 1.1 of NIST CSF puts focus on “industries vital to national and economic security, including energy, banking, communications and the defence industrial base”</w:t>
      </w:r>
      <w:r w:rsidR="0065719D" w:rsidRPr="00564A8F">
        <w:rPr>
          <w:sz w:val="22"/>
          <w:szCs w:val="22"/>
        </w:rPr>
        <w:fldChar w:fldCharType="begin" w:fldLock="1"/>
      </w:r>
      <w:r w:rsidR="00912B44" w:rsidRPr="00564A8F">
        <w:rPr>
          <w:sz w:val="22"/>
          <w:szCs w:val="22"/>
        </w:rPr>
        <w:instrText>ADDIN CSL_CITATION {"citationItems":[{"id":"ITEM-1","itemData":{"URL":"https://www.nist.gov/news-events/news/2018/04/nist-releases-version-11-its-popular-cybersecurity-framework","author":[{"dropping-particle":"","family":"NIST.gov","given":"","non-dropping-particle":"","parse-names":false,"suffix":""}],"container-title":"NIST","id":"ITEM-1","issued":{"date-parts":[["2018"]]},"title":"NIST Releases Version 1.1 of its Popular Cybersecurity Framework","type":"webpage"},"uris":["http://www.mendeley.com/documents/?uuid=6f387b40-6c2f-4519-995d-f1a39ac84529"]}],"mendeley":{"formattedCitation":"[2]","plainTextFormattedCitation":"[2]","previouslyFormattedCitation":"[2]"},"properties":{"noteIndex":0},"schema":"https://github.com/citation-style-language/schema/raw/master/csl-citation.json"}</w:instrText>
      </w:r>
      <w:r w:rsidR="0065719D" w:rsidRPr="00564A8F">
        <w:rPr>
          <w:sz w:val="22"/>
          <w:szCs w:val="22"/>
        </w:rPr>
        <w:fldChar w:fldCharType="separate"/>
      </w:r>
      <w:r w:rsidR="0065719D" w:rsidRPr="00564A8F">
        <w:rPr>
          <w:noProof/>
          <w:sz w:val="22"/>
          <w:szCs w:val="22"/>
        </w:rPr>
        <w:t>[2]</w:t>
      </w:r>
      <w:r w:rsidR="0065719D" w:rsidRPr="00564A8F">
        <w:rPr>
          <w:sz w:val="22"/>
          <w:szCs w:val="22"/>
        </w:rPr>
        <w:fldChar w:fldCharType="end"/>
      </w:r>
      <w:r w:rsidR="0065719D" w:rsidRPr="00564A8F">
        <w:rPr>
          <w:sz w:val="22"/>
          <w:szCs w:val="22"/>
        </w:rPr>
        <w:t>, of which brings it a high level of credibility, as it sees use in Government agencies such as the Department of Defence.</w:t>
      </w:r>
      <w:r w:rsidR="00D841F0" w:rsidRPr="00564A8F">
        <w:rPr>
          <w:sz w:val="22"/>
          <w:szCs w:val="22"/>
        </w:rPr>
        <w:t xml:space="preserve"> </w:t>
      </w:r>
      <w:r w:rsidR="00CF2E75" w:rsidRPr="00564A8F">
        <w:rPr>
          <w:sz w:val="22"/>
          <w:szCs w:val="22"/>
        </w:rPr>
        <w:t>While this framework was designed for use in the United States</w:t>
      </w:r>
      <w:r w:rsidR="0001605F" w:rsidRPr="00564A8F">
        <w:rPr>
          <w:sz w:val="22"/>
          <w:szCs w:val="22"/>
        </w:rPr>
        <w:t xml:space="preserve">, it is used by many a business </w:t>
      </w:r>
      <w:r w:rsidR="00337119" w:rsidRPr="00564A8F">
        <w:rPr>
          <w:sz w:val="22"/>
          <w:szCs w:val="22"/>
        </w:rPr>
        <w:t>internationally</w:t>
      </w:r>
      <w:r w:rsidR="00C2308C" w:rsidRPr="00564A8F">
        <w:rPr>
          <w:sz w:val="22"/>
          <w:szCs w:val="22"/>
        </w:rPr>
        <w:t xml:space="preserve"> </w:t>
      </w:r>
      <w:r w:rsidR="0065719D" w:rsidRPr="00564A8F">
        <w:rPr>
          <w:sz w:val="22"/>
          <w:szCs w:val="22"/>
        </w:rPr>
        <w:t xml:space="preserve">due to the fact that </w:t>
      </w:r>
      <w:r w:rsidR="00676C4C" w:rsidRPr="00564A8F">
        <w:rPr>
          <w:sz w:val="22"/>
          <w:szCs w:val="22"/>
        </w:rPr>
        <w:t>the framework is</w:t>
      </w:r>
      <w:r w:rsidR="00337119" w:rsidRPr="00564A8F">
        <w:rPr>
          <w:sz w:val="22"/>
          <w:szCs w:val="22"/>
        </w:rPr>
        <w:t xml:space="preserve"> both</w:t>
      </w:r>
      <w:r w:rsidR="00676C4C" w:rsidRPr="00564A8F">
        <w:rPr>
          <w:sz w:val="22"/>
          <w:szCs w:val="22"/>
        </w:rPr>
        <w:t xml:space="preserve"> extensive and</w:t>
      </w:r>
      <w:r w:rsidR="005E5AC4" w:rsidRPr="00564A8F">
        <w:rPr>
          <w:sz w:val="22"/>
          <w:szCs w:val="22"/>
        </w:rPr>
        <w:t xml:space="preserve"> </w:t>
      </w:r>
      <w:r w:rsidR="00422BFD" w:rsidRPr="00564A8F">
        <w:rPr>
          <w:sz w:val="22"/>
          <w:szCs w:val="22"/>
        </w:rPr>
        <w:t>versatile</w:t>
      </w:r>
      <w:r w:rsidR="00566D02" w:rsidRPr="00564A8F">
        <w:rPr>
          <w:sz w:val="22"/>
          <w:szCs w:val="22"/>
        </w:rPr>
        <w:t xml:space="preserve"> enough to be put in</w:t>
      </w:r>
      <w:r w:rsidR="0008023C" w:rsidRPr="00564A8F">
        <w:rPr>
          <w:sz w:val="22"/>
          <w:szCs w:val="22"/>
        </w:rPr>
        <w:t>to use in many business environments, ranging from smaller businesses to international businesses</w:t>
      </w:r>
      <w:r w:rsidR="00210D63" w:rsidRPr="00564A8F">
        <w:rPr>
          <w:sz w:val="22"/>
          <w:szCs w:val="22"/>
        </w:rPr>
        <w:t>.</w:t>
      </w:r>
      <w:r w:rsidR="0016551D" w:rsidRPr="00564A8F">
        <w:rPr>
          <w:sz w:val="22"/>
          <w:szCs w:val="22"/>
        </w:rPr>
        <w:t xml:space="preserve"> </w:t>
      </w:r>
      <w:r w:rsidR="0060797E" w:rsidRPr="00564A8F">
        <w:rPr>
          <w:sz w:val="22"/>
          <w:szCs w:val="22"/>
        </w:rPr>
        <w:t>A</w:t>
      </w:r>
      <w:r w:rsidR="009559A1" w:rsidRPr="00564A8F">
        <w:rPr>
          <w:sz w:val="22"/>
          <w:szCs w:val="22"/>
        </w:rPr>
        <w:t>ccording to surveys over 9</w:t>
      </w:r>
      <w:r w:rsidR="00993748" w:rsidRPr="00564A8F">
        <w:rPr>
          <w:sz w:val="22"/>
          <w:szCs w:val="22"/>
        </w:rPr>
        <w:t>0</w:t>
      </w:r>
      <w:r w:rsidR="009559A1" w:rsidRPr="00564A8F">
        <w:rPr>
          <w:sz w:val="22"/>
          <w:szCs w:val="22"/>
        </w:rPr>
        <w:t>% of companies in the US</w:t>
      </w:r>
      <w:r w:rsidR="00993748" w:rsidRPr="00564A8F">
        <w:rPr>
          <w:sz w:val="22"/>
          <w:szCs w:val="22"/>
        </w:rPr>
        <w:t>, as of 2017,</w:t>
      </w:r>
      <w:r w:rsidR="009559A1" w:rsidRPr="00564A8F">
        <w:rPr>
          <w:sz w:val="22"/>
          <w:szCs w:val="22"/>
        </w:rPr>
        <w:t xml:space="preserve"> use </w:t>
      </w:r>
      <w:r w:rsidR="00E20E6F" w:rsidRPr="00564A8F">
        <w:rPr>
          <w:sz w:val="22"/>
          <w:szCs w:val="22"/>
        </w:rPr>
        <w:t>a policy</w:t>
      </w:r>
      <w:r w:rsidR="00993748" w:rsidRPr="00564A8F">
        <w:rPr>
          <w:sz w:val="22"/>
          <w:szCs w:val="22"/>
        </w:rPr>
        <w:t xml:space="preserve"> derived from either</w:t>
      </w:r>
      <w:r w:rsidR="009559A1" w:rsidRPr="00564A8F">
        <w:rPr>
          <w:sz w:val="22"/>
          <w:szCs w:val="22"/>
        </w:rPr>
        <w:t xml:space="preserve"> NIST</w:t>
      </w:r>
      <w:r w:rsidR="00C41B57" w:rsidRPr="00564A8F">
        <w:rPr>
          <w:sz w:val="22"/>
          <w:szCs w:val="22"/>
        </w:rPr>
        <w:t xml:space="preserve"> CSF or ISO/IEC 2700</w:t>
      </w:r>
      <w:r w:rsidR="00A674B3" w:rsidRPr="00564A8F">
        <w:rPr>
          <w:sz w:val="22"/>
          <w:szCs w:val="22"/>
        </w:rPr>
        <w:t>0 series</w:t>
      </w:r>
      <w:r w:rsidR="00327961" w:rsidRPr="00564A8F">
        <w:rPr>
          <w:sz w:val="22"/>
          <w:szCs w:val="22"/>
        </w:rPr>
        <w:fldChar w:fldCharType="begin" w:fldLock="1"/>
      </w:r>
      <w:r w:rsidR="00564A8F" w:rsidRPr="00564A8F">
        <w:rPr>
          <w:sz w:val="22"/>
          <w:szCs w:val="22"/>
        </w:rPr>
        <w:instrText>ADDIN CSL_CITATION {"citationItems":[{"id":"ITEM-1","itemData":{"author":[{"dropping-particle":"","family":"NIST.gov","given":"","non-dropping-particle":"","parse-names":false,"suffix":""}],"id":"ITEM-1","issued":{"date-parts":[["2017"]]},"number-of-pages":"1-21","title":"Financial Services Sector Specific Cybersecurity “ Profile ” NIST Cybersecurity Workshop","type":"report"},"uris":["http://www.mendeley.com/documents/?uuid=37655df0-9d06-4cba-8234-d25e5b4c922e"]}],"mendeley":{"formattedCitation":"[3]","plainTextFormattedCitation":"[3]","previouslyFormattedCitation":"[3]"},"properties":{"noteIndex":0},"schema":"https://github.com/citation-style-language/schema/raw/master/csl-citation.json"}</w:instrText>
      </w:r>
      <w:r w:rsidR="00327961" w:rsidRPr="00564A8F">
        <w:rPr>
          <w:sz w:val="22"/>
          <w:szCs w:val="22"/>
        </w:rPr>
        <w:fldChar w:fldCharType="separate"/>
      </w:r>
      <w:r w:rsidR="00912B44" w:rsidRPr="00564A8F">
        <w:rPr>
          <w:noProof/>
          <w:sz w:val="22"/>
          <w:szCs w:val="22"/>
        </w:rPr>
        <w:t>[3]</w:t>
      </w:r>
      <w:r w:rsidR="00327961" w:rsidRPr="00564A8F">
        <w:rPr>
          <w:sz w:val="22"/>
          <w:szCs w:val="22"/>
        </w:rPr>
        <w:fldChar w:fldCharType="end"/>
      </w:r>
      <w:r w:rsidR="0060797E" w:rsidRPr="00564A8F">
        <w:rPr>
          <w:sz w:val="22"/>
          <w:szCs w:val="22"/>
        </w:rPr>
        <w:t>, a number which is only likely to increase as the need for adequate risk management and cybersecurity does so.</w:t>
      </w:r>
      <w:r w:rsidR="00F0107A" w:rsidRPr="00564A8F">
        <w:rPr>
          <w:sz w:val="22"/>
          <w:szCs w:val="22"/>
        </w:rPr>
        <w:t xml:space="preserve"> </w:t>
      </w:r>
      <w:r w:rsidR="0065719D" w:rsidRPr="00564A8F">
        <w:rPr>
          <w:sz w:val="22"/>
          <w:szCs w:val="22"/>
        </w:rPr>
        <w:t xml:space="preserve">Worth noting that while NIST CSF is a </w:t>
      </w:r>
      <w:r w:rsidR="0060797E" w:rsidRPr="00564A8F">
        <w:rPr>
          <w:sz w:val="22"/>
          <w:szCs w:val="22"/>
        </w:rPr>
        <w:t xml:space="preserve">NIST </w:t>
      </w:r>
      <w:r w:rsidR="0065719D" w:rsidRPr="00564A8F">
        <w:rPr>
          <w:sz w:val="22"/>
          <w:szCs w:val="22"/>
        </w:rPr>
        <w:t xml:space="preserve">framework, it does not </w:t>
      </w:r>
      <w:r w:rsidR="0065719D" w:rsidRPr="00564A8F">
        <w:rPr>
          <w:i/>
          <w:iCs/>
          <w:sz w:val="22"/>
          <w:szCs w:val="22"/>
        </w:rPr>
        <w:t>technically</w:t>
      </w:r>
      <w:r w:rsidR="0065719D" w:rsidRPr="00564A8F">
        <w:rPr>
          <w:sz w:val="22"/>
          <w:szCs w:val="22"/>
        </w:rPr>
        <w:t xml:space="preserve"> </w:t>
      </w:r>
      <w:r w:rsidR="0008023C" w:rsidRPr="00564A8F">
        <w:rPr>
          <w:sz w:val="22"/>
          <w:szCs w:val="22"/>
        </w:rPr>
        <w:t xml:space="preserve">include </w:t>
      </w:r>
      <w:r w:rsidR="0060797E" w:rsidRPr="00564A8F">
        <w:rPr>
          <w:sz w:val="22"/>
          <w:szCs w:val="22"/>
        </w:rPr>
        <w:t xml:space="preserve">the regulatory </w:t>
      </w:r>
      <w:r w:rsidR="00627527" w:rsidRPr="00564A8F">
        <w:rPr>
          <w:sz w:val="22"/>
          <w:szCs w:val="22"/>
        </w:rPr>
        <w:t>S</w:t>
      </w:r>
      <w:r w:rsidR="0060797E" w:rsidRPr="00564A8F">
        <w:rPr>
          <w:sz w:val="22"/>
          <w:szCs w:val="22"/>
        </w:rPr>
        <w:t xml:space="preserve">pecial </w:t>
      </w:r>
      <w:r w:rsidR="00627527" w:rsidRPr="00564A8F">
        <w:rPr>
          <w:sz w:val="22"/>
          <w:szCs w:val="22"/>
        </w:rPr>
        <w:t>P</w:t>
      </w:r>
      <w:r w:rsidR="0060797E" w:rsidRPr="00564A8F">
        <w:rPr>
          <w:sz w:val="22"/>
          <w:szCs w:val="22"/>
        </w:rPr>
        <w:t>ublications</w:t>
      </w:r>
      <w:r w:rsidR="0008023C" w:rsidRPr="00564A8F">
        <w:rPr>
          <w:sz w:val="22"/>
          <w:szCs w:val="22"/>
        </w:rPr>
        <w:t>, documentation for specific topic areas,</w:t>
      </w:r>
      <w:r w:rsidR="0060797E" w:rsidRPr="00564A8F">
        <w:rPr>
          <w:sz w:val="22"/>
          <w:szCs w:val="22"/>
        </w:rPr>
        <w:t xml:space="preserve"> such as SP 800-53</w:t>
      </w:r>
      <w:r w:rsidR="0008023C" w:rsidRPr="00564A8F">
        <w:rPr>
          <w:sz w:val="22"/>
          <w:szCs w:val="22"/>
        </w:rPr>
        <w:t>. Instead</w:t>
      </w:r>
      <w:r w:rsidR="0060797E" w:rsidRPr="00564A8F">
        <w:rPr>
          <w:sz w:val="22"/>
          <w:szCs w:val="22"/>
        </w:rPr>
        <w:t xml:space="preserve"> NIST CSF is </w:t>
      </w:r>
      <w:r w:rsidR="0008023C" w:rsidRPr="00564A8F">
        <w:rPr>
          <w:sz w:val="22"/>
          <w:szCs w:val="22"/>
        </w:rPr>
        <w:t xml:space="preserve">much </w:t>
      </w:r>
      <w:r w:rsidR="0060797E" w:rsidRPr="00564A8F">
        <w:rPr>
          <w:sz w:val="22"/>
          <w:szCs w:val="22"/>
        </w:rPr>
        <w:t>larger-in-scope</w:t>
      </w:r>
      <w:r w:rsidR="0008023C" w:rsidRPr="00564A8F">
        <w:rPr>
          <w:sz w:val="22"/>
          <w:szCs w:val="22"/>
        </w:rPr>
        <w:t xml:space="preserve"> but</w:t>
      </w:r>
      <w:r w:rsidR="0060797E" w:rsidRPr="00564A8F">
        <w:rPr>
          <w:sz w:val="22"/>
          <w:szCs w:val="22"/>
        </w:rPr>
        <w:t xml:space="preserve"> more concise and user-friendly, </w:t>
      </w:r>
      <w:r w:rsidR="0008023C" w:rsidRPr="00564A8F">
        <w:rPr>
          <w:sz w:val="22"/>
          <w:szCs w:val="22"/>
        </w:rPr>
        <w:t xml:space="preserve">as it is </w:t>
      </w:r>
      <w:r w:rsidR="0060797E" w:rsidRPr="00564A8F">
        <w:rPr>
          <w:sz w:val="22"/>
          <w:szCs w:val="22"/>
        </w:rPr>
        <w:t>aimed largely at executives.</w:t>
      </w:r>
      <w:r w:rsidR="0065719D" w:rsidRPr="00564A8F">
        <w:rPr>
          <w:sz w:val="22"/>
          <w:szCs w:val="22"/>
        </w:rPr>
        <w:t xml:space="preserve"> This isn’t to say they cannot be used, the NIST CSF actively encourages their use</w:t>
      </w:r>
      <w:r w:rsidR="0060797E" w:rsidRPr="00564A8F">
        <w:rPr>
          <w:sz w:val="22"/>
          <w:szCs w:val="22"/>
        </w:rPr>
        <w:t>, often references them</w:t>
      </w:r>
      <w:r w:rsidR="0008023C" w:rsidRPr="00564A8F">
        <w:rPr>
          <w:sz w:val="22"/>
          <w:szCs w:val="22"/>
        </w:rPr>
        <w:t xml:space="preserve"> and other frameworks;</w:t>
      </w:r>
      <w:r w:rsidR="0060797E" w:rsidRPr="00564A8F">
        <w:rPr>
          <w:sz w:val="22"/>
          <w:szCs w:val="22"/>
        </w:rPr>
        <w:t xml:space="preserve"> if the framework is to act as the bas</w:t>
      </w:r>
      <w:r w:rsidR="0008023C" w:rsidRPr="00564A8F">
        <w:rPr>
          <w:sz w:val="22"/>
          <w:szCs w:val="22"/>
        </w:rPr>
        <w:t>e</w:t>
      </w:r>
      <w:r w:rsidR="0060797E" w:rsidRPr="00564A8F">
        <w:rPr>
          <w:sz w:val="22"/>
          <w:szCs w:val="22"/>
        </w:rPr>
        <w:t>, then special publications are the more</w:t>
      </w:r>
      <w:r w:rsidR="0008023C" w:rsidRPr="00564A8F">
        <w:rPr>
          <w:sz w:val="22"/>
          <w:szCs w:val="22"/>
        </w:rPr>
        <w:t>-</w:t>
      </w:r>
      <w:r w:rsidR="0060797E" w:rsidRPr="00564A8F">
        <w:rPr>
          <w:sz w:val="22"/>
          <w:szCs w:val="22"/>
        </w:rPr>
        <w:t xml:space="preserve">advanced </w:t>
      </w:r>
      <w:r w:rsidR="00E631EC" w:rsidRPr="00564A8F">
        <w:rPr>
          <w:sz w:val="22"/>
          <w:szCs w:val="22"/>
        </w:rPr>
        <w:t>additions</w:t>
      </w:r>
      <w:r w:rsidR="0060797E" w:rsidRPr="00564A8F">
        <w:rPr>
          <w:sz w:val="22"/>
          <w:szCs w:val="22"/>
        </w:rPr>
        <w:t>.</w:t>
      </w:r>
    </w:p>
    <w:p w14:paraId="415C6795" w14:textId="387026F1" w:rsidR="00337119" w:rsidRPr="00564A8F" w:rsidRDefault="00AC2CC0" w:rsidP="00564A8F">
      <w:pPr>
        <w:jc w:val="both"/>
        <w:rPr>
          <w:sz w:val="22"/>
          <w:szCs w:val="22"/>
        </w:rPr>
      </w:pPr>
      <w:r w:rsidRPr="00564A8F">
        <w:rPr>
          <w:sz w:val="22"/>
          <w:szCs w:val="22"/>
        </w:rPr>
        <w:t>There are three major sections of NIST CSF; Core, Tiers and Profiles.</w:t>
      </w:r>
      <w:r w:rsidR="00A92F33" w:rsidRPr="00564A8F">
        <w:rPr>
          <w:sz w:val="22"/>
          <w:szCs w:val="22"/>
        </w:rPr>
        <w:t xml:space="preserve"> When it comes to the Core of</w:t>
      </w:r>
      <w:r w:rsidR="0011398F" w:rsidRPr="00564A8F">
        <w:rPr>
          <w:sz w:val="22"/>
          <w:szCs w:val="22"/>
        </w:rPr>
        <w:t xml:space="preserve"> NIST</w:t>
      </w:r>
      <w:r w:rsidR="00A92F33" w:rsidRPr="00564A8F">
        <w:rPr>
          <w:sz w:val="22"/>
          <w:szCs w:val="22"/>
        </w:rPr>
        <w:t xml:space="preserve"> CSF</w:t>
      </w:r>
      <w:r w:rsidR="0011398F" w:rsidRPr="00564A8F">
        <w:rPr>
          <w:sz w:val="22"/>
          <w:szCs w:val="22"/>
        </w:rPr>
        <w:t xml:space="preserve">, there are five </w:t>
      </w:r>
      <w:r w:rsidR="000436ED" w:rsidRPr="00564A8F">
        <w:rPr>
          <w:sz w:val="22"/>
          <w:szCs w:val="22"/>
        </w:rPr>
        <w:t>major</w:t>
      </w:r>
      <w:r w:rsidR="0011398F" w:rsidRPr="00564A8F">
        <w:rPr>
          <w:sz w:val="22"/>
          <w:szCs w:val="22"/>
        </w:rPr>
        <w:t xml:space="preserve"> functions; Identify, Protect, Detect, Respond and Recover. Each of these functions encompasses </w:t>
      </w:r>
      <w:r w:rsidR="000436ED" w:rsidRPr="00564A8F">
        <w:rPr>
          <w:sz w:val="22"/>
          <w:szCs w:val="22"/>
        </w:rPr>
        <w:t>a</w:t>
      </w:r>
      <w:r w:rsidR="0011398F" w:rsidRPr="00564A8F">
        <w:rPr>
          <w:sz w:val="22"/>
          <w:szCs w:val="22"/>
        </w:rPr>
        <w:t xml:space="preserve"> wide range of </w:t>
      </w:r>
      <w:r w:rsidR="000436ED" w:rsidRPr="00564A8F">
        <w:rPr>
          <w:sz w:val="22"/>
          <w:szCs w:val="22"/>
        </w:rPr>
        <w:t xml:space="preserve">specialised </w:t>
      </w:r>
      <w:r w:rsidR="0011398F" w:rsidRPr="00564A8F">
        <w:rPr>
          <w:sz w:val="22"/>
          <w:szCs w:val="22"/>
        </w:rPr>
        <w:t xml:space="preserve">categories, these categories then encompass a number of </w:t>
      </w:r>
      <w:r w:rsidR="0011398F" w:rsidRPr="00564A8F">
        <w:rPr>
          <w:sz w:val="22"/>
          <w:szCs w:val="22"/>
        </w:rPr>
        <w:softHyphen/>
      </w:r>
      <w:r w:rsidR="0011398F" w:rsidRPr="00564A8F">
        <w:rPr>
          <w:i/>
          <w:iCs/>
          <w:sz w:val="22"/>
          <w:szCs w:val="22"/>
        </w:rPr>
        <w:t>sub</w:t>
      </w:r>
      <w:r w:rsidR="0011398F" w:rsidRPr="00564A8F">
        <w:rPr>
          <w:sz w:val="22"/>
          <w:szCs w:val="22"/>
        </w:rPr>
        <w:t>categories, these subcategories then “provide an example of the outcome focused statements that are found throughout the core”</w:t>
      </w:r>
      <w:r w:rsidR="009C15A6" w:rsidRPr="00564A8F">
        <w:rPr>
          <w:sz w:val="22"/>
          <w:szCs w:val="22"/>
        </w:rPr>
        <w:fldChar w:fldCharType="begin" w:fldLock="1"/>
      </w:r>
      <w:r w:rsidR="00564A8F" w:rsidRPr="00564A8F">
        <w:rPr>
          <w:sz w:val="22"/>
          <w:szCs w:val="22"/>
        </w:rPr>
        <w:instrText>ADDIN CSL_CITATION {"citationItems":[{"id":"ITEM-1","itemData":{"URL":"https://www.nist.gov/cyberframework/online-learning/components-framework","author":[{"dropping-particle":"","family":"NIST.gov","given":"","non-dropping-particle":"","parse-names":false,"suffix":""}],"container-title":"NIST Cybersecurity Framework","id":"ITEM-1","issued":{"date-parts":[["2019"]]},"title":"An Introduction to the Components of the Framework","type":"webpage"},"uris":["http://www.mendeley.com/documents/?uuid=46ff0c23-dd96-4927-9709-ec2aed9f619a"]}],"mendeley":{"formattedCitation":"[4]","plainTextFormattedCitation":"[4]","previouslyFormattedCitation":"[4]"},"properties":{"noteIndex":0},"schema":"https://github.com/citation-style-language/schema/raw/master/csl-citation.json"}</w:instrText>
      </w:r>
      <w:r w:rsidR="009C15A6" w:rsidRPr="00564A8F">
        <w:rPr>
          <w:sz w:val="22"/>
          <w:szCs w:val="22"/>
        </w:rPr>
        <w:fldChar w:fldCharType="separate"/>
      </w:r>
      <w:r w:rsidR="00912B44" w:rsidRPr="00564A8F">
        <w:rPr>
          <w:noProof/>
          <w:sz w:val="22"/>
          <w:szCs w:val="22"/>
        </w:rPr>
        <w:t>[4]</w:t>
      </w:r>
      <w:r w:rsidR="009C15A6" w:rsidRPr="00564A8F">
        <w:rPr>
          <w:sz w:val="22"/>
          <w:szCs w:val="22"/>
        </w:rPr>
        <w:fldChar w:fldCharType="end"/>
      </w:r>
      <w:r w:rsidR="0011398F" w:rsidRPr="00564A8F">
        <w:rPr>
          <w:sz w:val="22"/>
          <w:szCs w:val="22"/>
        </w:rPr>
        <w:t xml:space="preserve">, as well as give references to achieve the outcome, most often </w:t>
      </w:r>
      <w:r w:rsidR="000436ED" w:rsidRPr="00564A8F">
        <w:rPr>
          <w:sz w:val="22"/>
          <w:szCs w:val="22"/>
        </w:rPr>
        <w:t>directed towards</w:t>
      </w:r>
      <w:r w:rsidR="0011398F" w:rsidRPr="00564A8F">
        <w:rPr>
          <w:sz w:val="22"/>
          <w:szCs w:val="22"/>
        </w:rPr>
        <w:t xml:space="preserve"> other documentation such as </w:t>
      </w:r>
      <w:r w:rsidR="00343747" w:rsidRPr="00564A8F">
        <w:rPr>
          <w:sz w:val="22"/>
          <w:szCs w:val="22"/>
        </w:rPr>
        <w:t xml:space="preserve">the included NIST CSF informative documentation or externally such as </w:t>
      </w:r>
      <w:r w:rsidR="0011398F" w:rsidRPr="00564A8F">
        <w:rPr>
          <w:sz w:val="22"/>
          <w:szCs w:val="22"/>
        </w:rPr>
        <w:t>NIST’s own Special Publications, COBIT or ISO.</w:t>
      </w:r>
      <w:r w:rsidR="00AA5C2B" w:rsidRPr="00564A8F">
        <w:rPr>
          <w:sz w:val="22"/>
          <w:szCs w:val="22"/>
        </w:rPr>
        <w:t xml:space="preserve"> </w:t>
      </w:r>
      <w:r w:rsidR="00A92F33" w:rsidRPr="00564A8F">
        <w:rPr>
          <w:sz w:val="22"/>
          <w:szCs w:val="22"/>
        </w:rPr>
        <w:t xml:space="preserve">The next section of the framework </w:t>
      </w:r>
      <w:r w:rsidR="00D92886" w:rsidRPr="00564A8F">
        <w:rPr>
          <w:sz w:val="22"/>
          <w:szCs w:val="22"/>
        </w:rPr>
        <w:t>is</w:t>
      </w:r>
      <w:r w:rsidR="00A92F33" w:rsidRPr="00564A8F">
        <w:rPr>
          <w:sz w:val="22"/>
          <w:szCs w:val="22"/>
        </w:rPr>
        <w:t xml:space="preserve"> Implementation Tiers, these are the level of security, as well as their handling of risk management, starting from tier </w:t>
      </w:r>
      <w:r w:rsidR="00D92886" w:rsidRPr="00564A8F">
        <w:rPr>
          <w:sz w:val="22"/>
          <w:szCs w:val="22"/>
        </w:rPr>
        <w:t>1, which</w:t>
      </w:r>
      <w:r w:rsidR="00A92F33" w:rsidRPr="00564A8F">
        <w:rPr>
          <w:sz w:val="22"/>
          <w:szCs w:val="22"/>
        </w:rPr>
        <w:t xml:space="preserve"> is partial cybersecurity framework implementation to tier 5 which is complete implementation of NIST CSF, allowing for them to prepare and respond to nearly any sort of risk. </w:t>
      </w:r>
      <w:r w:rsidR="000436ED" w:rsidRPr="00564A8F">
        <w:rPr>
          <w:sz w:val="22"/>
          <w:szCs w:val="22"/>
        </w:rPr>
        <w:t xml:space="preserve">NIST CSF Documentation is ~50 pages long which is relatively short for such a widely used framework, especially so when comparing it to other industry adopted frameworks such as COBIT </w:t>
      </w:r>
      <w:r w:rsidR="000436ED" w:rsidRPr="00564A8F">
        <w:rPr>
          <w:sz w:val="22"/>
          <w:szCs w:val="22"/>
        </w:rPr>
        <w:lastRenderedPageBreak/>
        <w:t>and ITIL</w:t>
      </w:r>
      <w:r w:rsidR="00C017B4" w:rsidRPr="00564A8F">
        <w:rPr>
          <w:sz w:val="22"/>
          <w:szCs w:val="22"/>
        </w:rPr>
        <w:t>. This due to the aforementioned referencing of other already established frameworks, and the fact that NIST is largely an executive summary, making it more usable/understandable by the executives who are in charge of whether or not it is implemented because while NIST was created by executive order, its implementation was not; it is completely voluntary.</w:t>
      </w:r>
      <w:r w:rsidR="0001353C" w:rsidRPr="00564A8F">
        <w:rPr>
          <w:sz w:val="22"/>
          <w:szCs w:val="22"/>
        </w:rPr>
        <w:br/>
      </w:r>
      <w:r w:rsidR="00D841F0" w:rsidRPr="00564A8F">
        <w:rPr>
          <w:sz w:val="22"/>
          <w:szCs w:val="22"/>
        </w:rPr>
        <w:t>The downside</w:t>
      </w:r>
      <w:r w:rsidR="000F4B8F" w:rsidRPr="00564A8F">
        <w:rPr>
          <w:sz w:val="22"/>
          <w:szCs w:val="22"/>
        </w:rPr>
        <w:t>s</w:t>
      </w:r>
      <w:r w:rsidR="00D841F0" w:rsidRPr="00564A8F">
        <w:rPr>
          <w:sz w:val="22"/>
          <w:szCs w:val="22"/>
        </w:rPr>
        <w:t xml:space="preserve"> to NIST</w:t>
      </w:r>
      <w:r w:rsidR="0011398F" w:rsidRPr="00564A8F">
        <w:rPr>
          <w:sz w:val="22"/>
          <w:szCs w:val="22"/>
        </w:rPr>
        <w:t xml:space="preserve"> is the previously mentioned lack of </w:t>
      </w:r>
      <w:r w:rsidR="0011398F" w:rsidRPr="00564A8F">
        <w:rPr>
          <w:i/>
          <w:iCs/>
          <w:sz w:val="22"/>
          <w:szCs w:val="22"/>
        </w:rPr>
        <w:t>how</w:t>
      </w:r>
      <w:r w:rsidR="0011398F" w:rsidRPr="00564A8F">
        <w:rPr>
          <w:sz w:val="22"/>
          <w:szCs w:val="22"/>
        </w:rPr>
        <w:t xml:space="preserve"> or </w:t>
      </w:r>
      <w:r w:rsidR="0011398F" w:rsidRPr="00564A8F">
        <w:rPr>
          <w:i/>
          <w:iCs/>
          <w:sz w:val="22"/>
          <w:szCs w:val="22"/>
        </w:rPr>
        <w:t>what to do</w:t>
      </w:r>
      <w:r w:rsidR="0011398F" w:rsidRPr="00564A8F">
        <w:rPr>
          <w:sz w:val="22"/>
          <w:szCs w:val="22"/>
        </w:rPr>
        <w:t xml:space="preserve"> to achieve the outcomes given in the framework, making the mapping and/or use of additional security frameworks and models all but a guarantee</w:t>
      </w:r>
      <w:bookmarkStart w:id="0" w:name="_Hlk29494169"/>
      <w:r w:rsidR="000F4B8F" w:rsidRPr="00564A8F">
        <w:rPr>
          <w:sz w:val="22"/>
          <w:szCs w:val="22"/>
        </w:rPr>
        <w:t>, at the very least if the business wants the best outcome/result.</w:t>
      </w:r>
    </w:p>
    <w:p w14:paraId="1AE0F25A" w14:textId="77777777" w:rsidR="000436ED" w:rsidRPr="00564A8F" w:rsidRDefault="000436ED" w:rsidP="00564A8F">
      <w:pPr>
        <w:jc w:val="both"/>
        <w:rPr>
          <w:sz w:val="22"/>
          <w:szCs w:val="22"/>
        </w:rPr>
      </w:pPr>
    </w:p>
    <w:p w14:paraId="6ED3C25F" w14:textId="1445C3B0" w:rsidR="0081005B" w:rsidRPr="00564A8F" w:rsidRDefault="007C3966" w:rsidP="00480082">
      <w:pPr>
        <w:jc w:val="both"/>
        <w:rPr>
          <w:sz w:val="22"/>
          <w:szCs w:val="22"/>
        </w:rPr>
      </w:pPr>
      <w:r w:rsidRPr="00564A8F">
        <w:rPr>
          <w:sz w:val="22"/>
          <w:szCs w:val="22"/>
          <w:lang w:val="en"/>
        </w:rPr>
        <w:t>Another well</w:t>
      </w:r>
      <w:r w:rsidR="00386335" w:rsidRPr="00564A8F">
        <w:rPr>
          <w:sz w:val="22"/>
          <w:szCs w:val="22"/>
          <w:lang w:val="en"/>
        </w:rPr>
        <w:t>-</w:t>
      </w:r>
      <w:r w:rsidRPr="00564A8F">
        <w:rPr>
          <w:sz w:val="22"/>
          <w:szCs w:val="22"/>
          <w:lang w:val="en"/>
        </w:rPr>
        <w:t xml:space="preserve">known </w:t>
      </w:r>
      <w:r w:rsidR="00955664" w:rsidRPr="00564A8F">
        <w:rPr>
          <w:sz w:val="22"/>
          <w:szCs w:val="22"/>
          <w:lang w:val="en"/>
        </w:rPr>
        <w:t xml:space="preserve">business </w:t>
      </w:r>
      <w:r w:rsidRPr="00564A8F">
        <w:rPr>
          <w:sz w:val="22"/>
          <w:szCs w:val="22"/>
          <w:lang w:val="en"/>
        </w:rPr>
        <w:t xml:space="preserve">security framework is the </w:t>
      </w:r>
      <w:r w:rsidR="00E938AA" w:rsidRPr="00564A8F">
        <w:rPr>
          <w:rStyle w:val="e24kjd"/>
          <w:sz w:val="22"/>
          <w:szCs w:val="22"/>
        </w:rPr>
        <w:t xml:space="preserve">Control Objectives for Information and Related Technology or COBIT, created by the </w:t>
      </w:r>
      <w:r w:rsidR="00AE4CB5" w:rsidRPr="00564A8F">
        <w:rPr>
          <w:rStyle w:val="e24kjd"/>
          <w:sz w:val="22"/>
          <w:szCs w:val="22"/>
        </w:rPr>
        <w:t>Information Systems Audit and Control Association or ‘ISASA’.</w:t>
      </w:r>
      <w:r w:rsidR="00EE258F" w:rsidRPr="00564A8F">
        <w:rPr>
          <w:rStyle w:val="e24kjd"/>
          <w:sz w:val="22"/>
          <w:szCs w:val="22"/>
        </w:rPr>
        <w:t xml:space="preserve"> While there are iterations of COBIT, this will mainly be looking at COBIT 5, as it builds off of COBIT 4.1, </w:t>
      </w:r>
      <w:r w:rsidR="00C34260" w:rsidRPr="00564A8F">
        <w:rPr>
          <w:rStyle w:val="e24kjd"/>
          <w:sz w:val="22"/>
          <w:szCs w:val="22"/>
        </w:rPr>
        <w:t>but each level of COBIT defines a different aspect of security control.</w:t>
      </w:r>
      <w:r w:rsidR="00A14040" w:rsidRPr="00564A8F">
        <w:rPr>
          <w:rStyle w:val="e24kjd"/>
          <w:sz w:val="22"/>
          <w:szCs w:val="22"/>
        </w:rPr>
        <w:fldChar w:fldCharType="begin" w:fldLock="1"/>
      </w:r>
      <w:r w:rsidR="00564A8F" w:rsidRPr="00564A8F">
        <w:rPr>
          <w:rStyle w:val="e24kjd"/>
          <w:sz w:val="22"/>
          <w:szCs w:val="22"/>
        </w:rPr>
        <w:instrText>ADDIN CSL_CITATION {"citationItems":[{"id":"ITEM-1","itemData":{"author":[{"dropping-particle":"","family":"CA Technolgies","given":"","non-dropping-particle":"","parse-names":false,"suffix":""},{"dropping-particle":"","family":"ISACA","given":"","non-dropping-particle":"","parse-names":false,"suffix":""},{"dropping-particle":"","family":"Stroud","given":"Robert","non-dropping-particle":"","parse-names":false,"suffix":""}],"id":"ITEM-1","issued":{"date-parts":[["2012"]]},"title":"Introduction to COBIT 5","type":"article"},"uris":["http://www.mendeley.com/documents/?uuid=72f35a70-f021-4d51-ab2d-8019f48e1430"]}],"mendeley":{"formattedCitation":"[5]","plainTextFormattedCitation":"[5]","previouslyFormattedCitation":"[5]"},"properties":{"noteIndex":0},"schema":"https://github.com/citation-style-language/schema/raw/master/csl-citation.json"}</w:instrText>
      </w:r>
      <w:r w:rsidR="00A14040" w:rsidRPr="00564A8F">
        <w:rPr>
          <w:rStyle w:val="e24kjd"/>
          <w:sz w:val="22"/>
          <w:szCs w:val="22"/>
        </w:rPr>
        <w:fldChar w:fldCharType="separate"/>
      </w:r>
      <w:r w:rsidR="00912B44" w:rsidRPr="00564A8F">
        <w:rPr>
          <w:rStyle w:val="e24kjd"/>
          <w:noProof/>
          <w:sz w:val="22"/>
          <w:szCs w:val="22"/>
        </w:rPr>
        <w:t>[5]</w:t>
      </w:r>
      <w:r w:rsidR="00A14040" w:rsidRPr="00564A8F">
        <w:rPr>
          <w:rStyle w:val="e24kjd"/>
          <w:sz w:val="22"/>
          <w:szCs w:val="22"/>
        </w:rPr>
        <w:fldChar w:fldCharType="end"/>
      </w:r>
      <w:r w:rsidR="00C34260" w:rsidRPr="00564A8F">
        <w:rPr>
          <w:rStyle w:val="e24kjd"/>
          <w:sz w:val="22"/>
          <w:szCs w:val="22"/>
        </w:rPr>
        <w:t xml:space="preserve"> COBIT 1 and 2 are IT audit and control frameworks, 3 is an IT management framework and 4-4.1 are IT governance frameworks. COBIT 5 is then an update to 4.1 that now covers enterprise as a whole, not limited to IT enterprise, as well as improvements for better integration with other frameworks such as ISO 27000</w:t>
      </w:r>
      <w:r w:rsidR="0081005B" w:rsidRPr="00564A8F">
        <w:rPr>
          <w:rStyle w:val="e24kjd"/>
          <w:sz w:val="22"/>
          <w:szCs w:val="22"/>
        </w:rPr>
        <w:t xml:space="preserve"> and ITIL</w:t>
      </w:r>
      <w:r w:rsidR="00C34260" w:rsidRPr="00564A8F">
        <w:rPr>
          <w:rStyle w:val="e24kjd"/>
          <w:sz w:val="22"/>
          <w:szCs w:val="22"/>
        </w:rPr>
        <w:t>.</w:t>
      </w:r>
      <w:r w:rsidR="00A14040" w:rsidRPr="00564A8F">
        <w:rPr>
          <w:rStyle w:val="e24kjd"/>
          <w:sz w:val="22"/>
          <w:szCs w:val="22"/>
        </w:rPr>
        <w:fldChar w:fldCharType="begin" w:fldLock="1"/>
      </w:r>
      <w:r w:rsidR="00564A8F" w:rsidRPr="00564A8F">
        <w:rPr>
          <w:rStyle w:val="e24kjd"/>
          <w:sz w:val="22"/>
          <w:szCs w:val="22"/>
        </w:rPr>
        <w:instrText>ADDIN CSL_CITATION {"citationItems":[{"id":"ITEM-1","itemData":{"author":[{"dropping-particle":"","family":"ISACA","given":"","non-dropping-particle":"","parse-names":false,"suffix":""}],"id":"ITEM-1","issued":{"date-parts":[["0"]]},"title":"COBIT5-Compare-With-4","type":"report"},"uris":["http://www.mendeley.com/documents/?uuid=83e4a6e8-016b-49d4-86ae-789114aa2df9"]}],"mendeley":{"formattedCitation":"[6]","plainTextFormattedCitation":"[6]","previouslyFormattedCitation":"[6]"},"properties":{"noteIndex":0},"schema":"https://github.com/citation-style-language/schema/raw/master/csl-citation.json"}</w:instrText>
      </w:r>
      <w:r w:rsidR="00A14040" w:rsidRPr="00564A8F">
        <w:rPr>
          <w:rStyle w:val="e24kjd"/>
          <w:sz w:val="22"/>
          <w:szCs w:val="22"/>
        </w:rPr>
        <w:fldChar w:fldCharType="separate"/>
      </w:r>
      <w:r w:rsidR="00912B44" w:rsidRPr="00564A8F">
        <w:rPr>
          <w:rStyle w:val="e24kjd"/>
          <w:noProof/>
          <w:sz w:val="22"/>
          <w:szCs w:val="22"/>
        </w:rPr>
        <w:t>[6]</w:t>
      </w:r>
      <w:r w:rsidR="00A14040" w:rsidRPr="00564A8F">
        <w:rPr>
          <w:rStyle w:val="e24kjd"/>
          <w:sz w:val="22"/>
          <w:szCs w:val="22"/>
        </w:rPr>
        <w:fldChar w:fldCharType="end"/>
      </w:r>
      <w:r w:rsidR="00467125" w:rsidRPr="00564A8F">
        <w:rPr>
          <w:rStyle w:val="e24kjd"/>
          <w:sz w:val="22"/>
          <w:szCs w:val="22"/>
        </w:rPr>
        <w:t xml:space="preserve"> </w:t>
      </w:r>
      <w:r w:rsidR="00504082" w:rsidRPr="00564A8F">
        <w:rPr>
          <w:rStyle w:val="e24kjd"/>
          <w:sz w:val="22"/>
          <w:szCs w:val="22"/>
        </w:rPr>
        <w:t>The guiding principles of COBIT 5 are;</w:t>
      </w:r>
      <w:r w:rsidR="00AA6F30" w:rsidRPr="00564A8F">
        <w:rPr>
          <w:rStyle w:val="e24kjd"/>
          <w:sz w:val="22"/>
          <w:szCs w:val="22"/>
        </w:rPr>
        <w:t xml:space="preserve"> Meetings the needs of stakeholders, Covering Enterprise end-to-end, Applying a singular integrated framework, </w:t>
      </w:r>
      <w:r w:rsidR="00345A5D" w:rsidRPr="00564A8F">
        <w:rPr>
          <w:rStyle w:val="e24kjd"/>
          <w:sz w:val="22"/>
          <w:szCs w:val="22"/>
        </w:rPr>
        <w:t>Enabling</w:t>
      </w:r>
      <w:r w:rsidR="00AA6F30" w:rsidRPr="00564A8F">
        <w:rPr>
          <w:rStyle w:val="e24kjd"/>
          <w:sz w:val="22"/>
          <w:szCs w:val="22"/>
        </w:rPr>
        <w:t xml:space="preserve"> a holistic </w:t>
      </w:r>
      <w:r w:rsidR="00345A5D" w:rsidRPr="00564A8F">
        <w:rPr>
          <w:rStyle w:val="e24kjd"/>
          <w:sz w:val="22"/>
          <w:szCs w:val="22"/>
        </w:rPr>
        <w:t xml:space="preserve">approach </w:t>
      </w:r>
      <w:r w:rsidR="002E29CC" w:rsidRPr="00564A8F">
        <w:rPr>
          <w:rStyle w:val="e24kjd"/>
          <w:sz w:val="22"/>
          <w:szCs w:val="22"/>
        </w:rPr>
        <w:t xml:space="preserve">(understanding all aspects of an approach) </w:t>
      </w:r>
      <w:r w:rsidR="00345A5D" w:rsidRPr="00564A8F">
        <w:rPr>
          <w:rStyle w:val="e24kjd"/>
          <w:sz w:val="22"/>
          <w:szCs w:val="22"/>
        </w:rPr>
        <w:t>and Separating governance from management</w:t>
      </w:r>
      <w:r w:rsidR="002E3F6D" w:rsidRPr="00564A8F">
        <w:rPr>
          <w:rStyle w:val="e24kjd"/>
          <w:sz w:val="22"/>
          <w:szCs w:val="22"/>
        </w:rPr>
        <w:fldChar w:fldCharType="begin" w:fldLock="1"/>
      </w:r>
      <w:r w:rsidR="00564A8F" w:rsidRPr="00564A8F">
        <w:rPr>
          <w:rStyle w:val="e24kjd"/>
          <w:sz w:val="22"/>
          <w:szCs w:val="22"/>
        </w:rPr>
        <w:instrText>ADDIN CSL_CITATION {"citationItems":[{"id":"ITEM-1","itemData":{"author":[{"dropping-particle":"De","family":"Haes","given":"Steven","non-dropping-particle":"","parse-names":false,"suffix":""},{"dropping-particle":"","family":"Ph","given":"D","non-dropping-particle":"","parse-names":false,"suffix":""}],"id":"ITEM-1","issued":{"date-parts":[["2013"]]},"title":"Understanding the Core Concepts in COBIT 5","type":"article-journal","volume":"5"},"uris":["http://www.mendeley.com/documents/?uuid=59b3a942-0c57-4dc5-9552-71777653cf2e"]},{"id":"ITEM-2","itemData":{"DOI":"https://doi.org/10.1016/B978-1-59749-266-9.00005-9","ISBN":"978-1-59749-266-9","author":[{"dropping-particle":"","family":"Wright","given":"Craig","non-dropping-particle":"","parse-names":false,"suffix":""}],"container-title":"The IT Regulatory and Standards Compliance Handbook","editor":[{"dropping-particle":"","family":"Wright","given":"Craig","non-dropping-particle":"","parse-names":false,"suffix":""}],"id":"ITEM-2","issued":{"date-parts":[["2008"]]},"page":"73-114","publisher":"Syngress","publisher-place":"Burlington","title":"Chapter 5 - Information Gathering","type":"chapter"},"uris":["http://www.mendeley.com/documents/?uuid=f712b6f5-531d-4ab4-ab98-ce83e9168881"]}],"mendeley":{"formattedCitation":"[7], [8]","plainTextFormattedCitation":"[7], [8]","previouslyFormattedCitation":"[7], [8]"},"properties":{"noteIndex":0},"schema":"https://github.com/citation-style-language/schema/raw/master/csl-citation.json"}</w:instrText>
      </w:r>
      <w:r w:rsidR="002E3F6D" w:rsidRPr="00564A8F">
        <w:rPr>
          <w:rStyle w:val="e24kjd"/>
          <w:sz w:val="22"/>
          <w:szCs w:val="22"/>
        </w:rPr>
        <w:fldChar w:fldCharType="separate"/>
      </w:r>
      <w:r w:rsidR="00912B44" w:rsidRPr="00564A8F">
        <w:rPr>
          <w:rStyle w:val="e24kjd"/>
          <w:noProof/>
          <w:sz w:val="22"/>
          <w:szCs w:val="22"/>
        </w:rPr>
        <w:t>[7], [8]</w:t>
      </w:r>
      <w:r w:rsidR="002E3F6D" w:rsidRPr="00564A8F">
        <w:rPr>
          <w:rStyle w:val="e24kjd"/>
          <w:sz w:val="22"/>
          <w:szCs w:val="22"/>
        </w:rPr>
        <w:fldChar w:fldCharType="end"/>
      </w:r>
      <w:r w:rsidR="00345A5D" w:rsidRPr="00564A8F">
        <w:rPr>
          <w:rStyle w:val="e24kjd"/>
          <w:sz w:val="22"/>
          <w:szCs w:val="22"/>
        </w:rPr>
        <w:t>.</w:t>
      </w:r>
    </w:p>
    <w:p w14:paraId="2578F209" w14:textId="2AC1AC01" w:rsidR="007C3966" w:rsidRPr="00564A8F" w:rsidRDefault="0081005B" w:rsidP="00480082">
      <w:pPr>
        <w:jc w:val="both"/>
        <w:rPr>
          <w:rStyle w:val="e24kjd"/>
          <w:rFonts w:eastAsiaTheme="majorEastAsia"/>
          <w:sz w:val="22"/>
          <w:szCs w:val="22"/>
        </w:rPr>
      </w:pPr>
      <w:r w:rsidRPr="00564A8F">
        <w:rPr>
          <w:rStyle w:val="e24kjd"/>
          <w:rFonts w:eastAsiaTheme="majorEastAsia"/>
          <w:sz w:val="22"/>
          <w:szCs w:val="22"/>
        </w:rPr>
        <w:t xml:space="preserve">An interesting note is that while COBIT is a very large framework, encompassing many sections of business, it understands that no single framework can be an all-in-one </w:t>
      </w:r>
      <w:r w:rsidR="00912B44" w:rsidRPr="00564A8F">
        <w:rPr>
          <w:rStyle w:val="e24kjd"/>
          <w:rFonts w:eastAsiaTheme="majorEastAsia"/>
          <w:sz w:val="22"/>
          <w:szCs w:val="22"/>
        </w:rPr>
        <w:t>solution, as of yet,</w:t>
      </w:r>
      <w:r w:rsidRPr="00564A8F">
        <w:rPr>
          <w:rStyle w:val="e24kjd"/>
          <w:rFonts w:eastAsiaTheme="majorEastAsia"/>
          <w:sz w:val="22"/>
          <w:szCs w:val="22"/>
        </w:rPr>
        <w:t xml:space="preserve"> as seen by the </w:t>
      </w:r>
      <w:r w:rsidR="00912B44" w:rsidRPr="00564A8F">
        <w:rPr>
          <w:rStyle w:val="e24kjd"/>
          <w:rFonts w:eastAsiaTheme="majorEastAsia"/>
          <w:sz w:val="22"/>
          <w:szCs w:val="22"/>
        </w:rPr>
        <w:t xml:space="preserve">main </w:t>
      </w:r>
      <w:r w:rsidRPr="00564A8F">
        <w:rPr>
          <w:rStyle w:val="e24kjd"/>
          <w:rFonts w:eastAsiaTheme="majorEastAsia"/>
          <w:sz w:val="22"/>
          <w:szCs w:val="22"/>
        </w:rPr>
        <w:t xml:space="preserve">principle of “Applying a singular integrated framework”, </w:t>
      </w:r>
      <w:r w:rsidRPr="00564A8F">
        <w:rPr>
          <w:rStyle w:val="e24kjd"/>
          <w:rFonts w:eastAsiaTheme="majorEastAsia"/>
          <w:i/>
          <w:iCs/>
          <w:sz w:val="22"/>
          <w:szCs w:val="22"/>
        </w:rPr>
        <w:t>integrated</w:t>
      </w:r>
      <w:r w:rsidRPr="00564A8F">
        <w:rPr>
          <w:rStyle w:val="e24kjd"/>
          <w:rFonts w:eastAsiaTheme="majorEastAsia"/>
          <w:sz w:val="22"/>
          <w:szCs w:val="22"/>
        </w:rPr>
        <w:t xml:space="preserve"> being the important word here. COBIT is designed to work well with other frameworks such as the aforementioned NIST and ITIL, as well as vice versa, as each framework refers to each other in their respective documentation.</w:t>
      </w:r>
      <w:r w:rsidRPr="00564A8F">
        <w:rPr>
          <w:rStyle w:val="e24kjd"/>
          <w:sz w:val="22"/>
          <w:szCs w:val="22"/>
        </w:rPr>
        <w:fldChar w:fldCharType="begin" w:fldLock="1"/>
      </w:r>
      <w:r w:rsidR="00564A8F" w:rsidRPr="00564A8F">
        <w:rPr>
          <w:rStyle w:val="e24kjd"/>
          <w:sz w:val="22"/>
          <w:szCs w:val="22"/>
        </w:rPr>
        <w:instrText>ADDIN CSL_CITATION {"citationItems":[{"id":"ITEM-1","itemData":{"URL":"https://www.isaca.org/Knowledge-Center/Blog/Lists/Posts/Post.aspx?ID=808","author":[{"dropping-particle":"","family":"Thomas","given":"Mark","non-dropping-particle":"","parse-names":false,"suffix":""},{"dropping-particle":"","family":"CGEIT","given":"","non-dropping-particle":"","parse-names":false,"suffix":""},{"dropping-particle":"","family":"CRISC","given":"","non-dropping-particle":"","parse-names":false,"suffix":""},{"dropping-particle":"","family":"LLC","given":"Escoute","non-dropping-particle":"","parse-names":false,"suffix":""}],"container-title":"ISACA Now Blog","id":"ITEM-1","issued":{"date-parts":[["2018"]]},"title":"COBIT 5 and the NIST Cybersecurity Framework – A Simplified Framework Solution","type":"webpage"},"uris":["http://www.mendeley.com/documents/?uuid=33a556cb-2d1a-4def-9535-6ffe2892686f"]}],"mendeley":{"formattedCitation":"[9]","plainTextFormattedCitation":"[9]","previouslyFormattedCitation":"[9]"},"properties":{"noteIndex":0},"schema":"https://github.com/citation-style-language/schema/raw/master/csl-citation.json"}</w:instrText>
      </w:r>
      <w:r w:rsidRPr="00564A8F">
        <w:rPr>
          <w:rStyle w:val="e24kjd"/>
          <w:sz w:val="22"/>
          <w:szCs w:val="22"/>
        </w:rPr>
        <w:fldChar w:fldCharType="separate"/>
      </w:r>
      <w:r w:rsidR="00912B44" w:rsidRPr="00564A8F">
        <w:rPr>
          <w:rStyle w:val="e24kjd"/>
          <w:noProof/>
          <w:sz w:val="22"/>
          <w:szCs w:val="22"/>
        </w:rPr>
        <w:t>[9]</w:t>
      </w:r>
      <w:r w:rsidRPr="00564A8F">
        <w:rPr>
          <w:rStyle w:val="e24kjd"/>
          <w:sz w:val="22"/>
          <w:szCs w:val="22"/>
        </w:rPr>
        <w:fldChar w:fldCharType="end"/>
      </w:r>
      <w:r w:rsidR="00912B44" w:rsidRPr="00564A8F">
        <w:rPr>
          <w:rStyle w:val="e24kjd"/>
          <w:sz w:val="22"/>
          <w:szCs w:val="22"/>
        </w:rPr>
        <w:t xml:space="preserve"> If successfully mapped together, each framework can make up for the others as a way to ‘patch the gaps’ where one framework would overlook.</w:t>
      </w:r>
      <w:r w:rsidR="00627527" w:rsidRPr="00564A8F">
        <w:rPr>
          <w:rStyle w:val="e24kjd"/>
          <w:sz w:val="22"/>
          <w:szCs w:val="22"/>
        </w:rPr>
        <w:br/>
      </w:r>
      <w:r w:rsidR="00AA4B21" w:rsidRPr="00564A8F">
        <w:rPr>
          <w:rStyle w:val="e24kjd"/>
          <w:sz w:val="22"/>
          <w:szCs w:val="22"/>
        </w:rPr>
        <w:t xml:space="preserve">COBIT is often used outside of IT enterprise as it can act as a framework for the management of a company as well as a framework for better communication between upper management and IT, specifically COBIT 5. To further expand upon this point COBIT as it stands in 2019 has 5 major sections; Framework, Process descriptions, control objectives, management guidelines and maturity model, each with their own respective publication. </w:t>
      </w:r>
      <w:r w:rsidR="00FA466C" w:rsidRPr="00564A8F">
        <w:rPr>
          <w:rStyle w:val="e24kjd"/>
          <w:sz w:val="22"/>
          <w:szCs w:val="22"/>
        </w:rPr>
        <w:t xml:space="preserve">As you may see COBIT focuses more on managing enterprise IT well from a upper-management and stockholder point of view, as </w:t>
      </w:r>
      <w:r w:rsidR="007F7160" w:rsidRPr="00564A8F">
        <w:rPr>
          <w:rStyle w:val="e24kjd"/>
          <w:sz w:val="22"/>
          <w:szCs w:val="22"/>
        </w:rPr>
        <w:t>the difference in value of a company that do</w:t>
      </w:r>
      <w:r w:rsidR="004C36D6" w:rsidRPr="00564A8F">
        <w:rPr>
          <w:rStyle w:val="e24kjd"/>
          <w:sz w:val="22"/>
          <w:szCs w:val="22"/>
        </w:rPr>
        <w:t>es</w:t>
      </w:r>
      <w:r w:rsidR="00FA466C" w:rsidRPr="00564A8F">
        <w:rPr>
          <w:rStyle w:val="e24kjd"/>
          <w:sz w:val="22"/>
          <w:szCs w:val="22"/>
        </w:rPr>
        <w:t xml:space="preserve"> “manage IT well and those that do not, or cannot, is tremendous”</w:t>
      </w:r>
      <w:r w:rsidR="00FA466C" w:rsidRPr="00564A8F">
        <w:rPr>
          <w:rStyle w:val="e24kjd"/>
          <w:sz w:val="22"/>
          <w:szCs w:val="22"/>
        </w:rPr>
        <w:fldChar w:fldCharType="begin" w:fldLock="1"/>
      </w:r>
      <w:r w:rsidR="00564A8F" w:rsidRPr="00564A8F">
        <w:rPr>
          <w:rStyle w:val="e24kjd"/>
          <w:sz w:val="22"/>
          <w:szCs w:val="22"/>
        </w:rPr>
        <w:instrText>ADDIN CSL_CITATION {"citationItems":[{"id":"ITEM-1","itemData":{"author":[{"dropping-particle":"","family":"Briefing","given":"Management","non-dropping-particle":"","parse-names":false,"suffix":""},{"dropping-particle":"","family":"Itgi","given":"From","non-dropping-particle":"","parse-names":false,"suffix":""}],"id":"ITEM-1","issued":{"date-parts":[["0"]]},"number-of-pages":"1-130","title":"Aligning CobiT 4 . 1 , ITIL V3 and ISO / IEC 27002 for Business Benefit","type":"report"},"uris":["http://www.mendeley.com/documents/?uuid=f25d9541-1332-411d-96a0-e15ed6dd66f2"]}],"mendeley":{"formattedCitation":"[10]","plainTextFormattedCitation":"[10]","previouslyFormattedCitation":"[10]"},"properties":{"noteIndex":0},"schema":"https://github.com/citation-style-language/schema/raw/master/csl-citation.json"}</w:instrText>
      </w:r>
      <w:r w:rsidR="00FA466C" w:rsidRPr="00564A8F">
        <w:rPr>
          <w:rStyle w:val="e24kjd"/>
          <w:sz w:val="22"/>
          <w:szCs w:val="22"/>
        </w:rPr>
        <w:fldChar w:fldCharType="separate"/>
      </w:r>
      <w:r w:rsidR="00912B44" w:rsidRPr="00564A8F">
        <w:rPr>
          <w:rStyle w:val="e24kjd"/>
          <w:noProof/>
          <w:sz w:val="22"/>
          <w:szCs w:val="22"/>
        </w:rPr>
        <w:t>[10]</w:t>
      </w:r>
      <w:r w:rsidR="00FA466C" w:rsidRPr="00564A8F">
        <w:rPr>
          <w:rStyle w:val="e24kjd"/>
          <w:sz w:val="22"/>
          <w:szCs w:val="22"/>
        </w:rPr>
        <w:fldChar w:fldCharType="end"/>
      </w:r>
      <w:r w:rsidR="00853062" w:rsidRPr="00564A8F">
        <w:rPr>
          <w:rStyle w:val="e24kjd"/>
          <w:sz w:val="22"/>
          <w:szCs w:val="22"/>
        </w:rPr>
        <w:t xml:space="preserve">. </w:t>
      </w:r>
      <w:r w:rsidRPr="00564A8F">
        <w:rPr>
          <w:rStyle w:val="e24kjd"/>
          <w:sz w:val="22"/>
          <w:szCs w:val="22"/>
        </w:rPr>
        <w:t>This is due to the fact that it is not uncommon for businesses to see IT as an expense, and as such COBIT aims to align IT with business to a better degree .</w:t>
      </w:r>
      <w:r w:rsidR="00853062" w:rsidRPr="00564A8F">
        <w:rPr>
          <w:rStyle w:val="e24kjd"/>
          <w:sz w:val="22"/>
          <w:szCs w:val="22"/>
        </w:rPr>
        <w:t xml:space="preserve">Having said this, while it focuses more on management and governance, that isn’t to say it disregards the individual and the rest of the company, but rather understands that for the different sectors of a business to work efficiently, there needs to be sufficient structure, </w:t>
      </w:r>
      <w:r w:rsidR="00FD5148" w:rsidRPr="00564A8F">
        <w:rPr>
          <w:rStyle w:val="e24kjd"/>
          <w:sz w:val="22"/>
          <w:szCs w:val="22"/>
        </w:rPr>
        <w:t xml:space="preserve">set </w:t>
      </w:r>
      <w:r w:rsidR="00853062" w:rsidRPr="00564A8F">
        <w:rPr>
          <w:rStyle w:val="e24kjd"/>
          <w:sz w:val="22"/>
          <w:szCs w:val="22"/>
        </w:rPr>
        <w:t>practice</w:t>
      </w:r>
      <w:r w:rsidR="00FD5148" w:rsidRPr="00564A8F">
        <w:rPr>
          <w:rStyle w:val="e24kjd"/>
          <w:sz w:val="22"/>
          <w:szCs w:val="22"/>
        </w:rPr>
        <w:t>s</w:t>
      </w:r>
      <w:r w:rsidR="00853062" w:rsidRPr="00564A8F">
        <w:rPr>
          <w:rStyle w:val="e24kjd"/>
          <w:sz w:val="22"/>
          <w:szCs w:val="22"/>
        </w:rPr>
        <w:t xml:space="preserve"> </w:t>
      </w:r>
      <w:r w:rsidR="00FD5148" w:rsidRPr="00564A8F">
        <w:rPr>
          <w:rStyle w:val="e24kjd"/>
          <w:sz w:val="22"/>
          <w:szCs w:val="22"/>
        </w:rPr>
        <w:t>,</w:t>
      </w:r>
      <w:r w:rsidR="00853062" w:rsidRPr="00564A8F">
        <w:rPr>
          <w:rStyle w:val="e24kjd"/>
          <w:sz w:val="22"/>
          <w:szCs w:val="22"/>
        </w:rPr>
        <w:t>objectives</w:t>
      </w:r>
      <w:r w:rsidR="003867F9" w:rsidRPr="00564A8F">
        <w:rPr>
          <w:rStyle w:val="e24kjd"/>
          <w:sz w:val="22"/>
          <w:szCs w:val="22"/>
        </w:rPr>
        <w:t>, communication</w:t>
      </w:r>
      <w:r w:rsidR="00FD5148" w:rsidRPr="00564A8F">
        <w:rPr>
          <w:rStyle w:val="e24kjd"/>
          <w:sz w:val="22"/>
          <w:szCs w:val="22"/>
        </w:rPr>
        <w:t xml:space="preserve"> and subsequent management</w:t>
      </w:r>
      <w:r w:rsidR="00853062" w:rsidRPr="00564A8F">
        <w:rPr>
          <w:rStyle w:val="e24kjd"/>
          <w:sz w:val="22"/>
          <w:szCs w:val="22"/>
        </w:rPr>
        <w:t xml:space="preserve"> in place. </w:t>
      </w:r>
    </w:p>
    <w:bookmarkEnd w:id="0"/>
    <w:p w14:paraId="5028825E" w14:textId="77777777" w:rsidR="00627527" w:rsidRPr="00564A8F" w:rsidRDefault="00627527" w:rsidP="00564A8F">
      <w:pPr>
        <w:jc w:val="both"/>
        <w:rPr>
          <w:sz w:val="22"/>
          <w:szCs w:val="22"/>
        </w:rPr>
      </w:pPr>
    </w:p>
    <w:p w14:paraId="617A0A17" w14:textId="5596861B" w:rsidR="00A555A4" w:rsidRPr="00564A8F" w:rsidRDefault="00FD5148" w:rsidP="00564A8F">
      <w:pPr>
        <w:jc w:val="both"/>
        <w:rPr>
          <w:rStyle w:val="e24kjd"/>
          <w:rFonts w:eastAsiaTheme="majorEastAsia"/>
          <w:sz w:val="22"/>
          <w:szCs w:val="22"/>
        </w:rPr>
      </w:pPr>
      <w:r w:rsidRPr="00564A8F">
        <w:rPr>
          <w:rStyle w:val="e24kjd"/>
          <w:rFonts w:eastAsiaTheme="majorEastAsia"/>
          <w:sz w:val="22"/>
          <w:szCs w:val="22"/>
        </w:rPr>
        <w:t>The next framework is ITIL or ‘Information Technology Infrastructure Library’, and is a “well-known set of IT best practices designed to assist businesses in aligning their IT services with customer and business needs”.</w:t>
      </w:r>
      <w:r w:rsidRPr="00564A8F">
        <w:rPr>
          <w:rStyle w:val="e24kjd"/>
          <w:rFonts w:eastAsiaTheme="majorEastAsia"/>
          <w:sz w:val="22"/>
          <w:szCs w:val="22"/>
        </w:rPr>
        <w:fldChar w:fldCharType="begin" w:fldLock="1"/>
      </w:r>
      <w:r w:rsidR="00564A8F" w:rsidRPr="00564A8F">
        <w:rPr>
          <w:rStyle w:val="e24kjd"/>
          <w:rFonts w:eastAsiaTheme="majorEastAsia"/>
          <w:sz w:val="22"/>
          <w:szCs w:val="22"/>
        </w:rPr>
        <w:instrText>ADDIN CSL_CITATION {"citationItems":[{"id":"ITEM-1","itemData":{"URL":"https://www.cherwell.com/library/essential-guides/essential-guide-to-itil-framework-and-processes/","author":[{"dropping-particle":"","family":"Greene","given":"Jarod","non-dropping-particle":"","parse-names":false,"suffix":""}],"container-title":"Charwell","id":"ITEM-1","issued":{"date-parts":[["2018"]]},"title":"The Essential Guide to ITIL Framework and Processes","type":"webpage"},"uris":["http://www.mendeley.com/documents/?uuid=a30244f5-45d3-44d2-8a8a-4d79c57a77fb"]}],"mendeley":{"formattedCitation":"[11]","plainTextFormattedCitation":"[11]","previouslyFormattedCitation":"[11]"},"properties":{"noteIndex":0},"schema":"https://github.com/citation-style-language/schema/raw/master/csl-citation.json"}</w:instrText>
      </w:r>
      <w:r w:rsidRPr="00564A8F">
        <w:rPr>
          <w:rStyle w:val="e24kjd"/>
          <w:rFonts w:eastAsiaTheme="majorEastAsia"/>
          <w:sz w:val="22"/>
          <w:szCs w:val="22"/>
        </w:rPr>
        <w:fldChar w:fldCharType="separate"/>
      </w:r>
      <w:r w:rsidR="00912B44" w:rsidRPr="00564A8F">
        <w:rPr>
          <w:rStyle w:val="e24kjd"/>
          <w:rFonts w:eastAsiaTheme="majorEastAsia"/>
          <w:noProof/>
          <w:sz w:val="22"/>
          <w:szCs w:val="22"/>
        </w:rPr>
        <w:t>[11]</w:t>
      </w:r>
      <w:r w:rsidRPr="00564A8F">
        <w:rPr>
          <w:rStyle w:val="e24kjd"/>
          <w:rFonts w:eastAsiaTheme="majorEastAsia"/>
          <w:sz w:val="22"/>
          <w:szCs w:val="22"/>
        </w:rPr>
        <w:fldChar w:fldCharType="end"/>
      </w:r>
      <w:r w:rsidRPr="00564A8F">
        <w:rPr>
          <w:rStyle w:val="e24kjd"/>
          <w:rFonts w:eastAsiaTheme="majorEastAsia"/>
          <w:sz w:val="22"/>
          <w:szCs w:val="22"/>
        </w:rPr>
        <w:t xml:space="preserve"> </w:t>
      </w:r>
      <w:r w:rsidR="00A555A4" w:rsidRPr="00564A8F">
        <w:rPr>
          <w:rStyle w:val="e24kjd"/>
          <w:rFonts w:eastAsiaTheme="majorEastAsia"/>
          <w:sz w:val="22"/>
          <w:szCs w:val="22"/>
        </w:rPr>
        <w:t>Currently ITIL is at version 4 although as of the time of writing it isn’t completely released, only the foundation and two of the four managing modules. Having said this while it would be worthwhile to use version 3 as it is complete, doing so would put ITIL at a worthwhile disadvantage in terms of comparison as v3 is nearing nine years old, and as such version 4 despite its near incomplete state will be discussed here</w:t>
      </w:r>
      <w:r w:rsidRPr="00564A8F">
        <w:rPr>
          <w:rStyle w:val="e24kjd"/>
          <w:rFonts w:eastAsiaTheme="majorEastAsia"/>
          <w:sz w:val="22"/>
          <w:szCs w:val="22"/>
        </w:rPr>
        <w:t>. Originally developed by the British government as standards for the ever-growing IT sector, it is now used by both government and non-government entities as the “guidance organizations need to address new service</w:t>
      </w:r>
      <w:r w:rsidR="00AE7A70" w:rsidRPr="00564A8F">
        <w:rPr>
          <w:rStyle w:val="e24kjd"/>
          <w:rFonts w:eastAsiaTheme="majorEastAsia"/>
          <w:sz w:val="22"/>
          <w:szCs w:val="22"/>
        </w:rPr>
        <w:t xml:space="preserve"> </w:t>
      </w:r>
      <w:r w:rsidRPr="00564A8F">
        <w:rPr>
          <w:rStyle w:val="e24kjd"/>
          <w:rFonts w:eastAsiaTheme="majorEastAsia"/>
          <w:sz w:val="22"/>
          <w:szCs w:val="22"/>
        </w:rPr>
        <w:t>management challenges and utilize the potential of modern technology”</w:t>
      </w:r>
      <w:r w:rsidRPr="00564A8F">
        <w:rPr>
          <w:rStyle w:val="e24kjd"/>
          <w:rFonts w:eastAsiaTheme="majorEastAsia"/>
          <w:sz w:val="22"/>
          <w:szCs w:val="22"/>
        </w:rPr>
        <w:fldChar w:fldCharType="begin" w:fldLock="1"/>
      </w:r>
      <w:r w:rsidR="00564A8F" w:rsidRPr="00564A8F">
        <w:rPr>
          <w:rStyle w:val="e24kjd"/>
          <w:rFonts w:eastAsiaTheme="majorEastAsia"/>
          <w:sz w:val="22"/>
          <w:szCs w:val="22"/>
        </w:rPr>
        <w:instrText>ADDIN CSL_CITATION {"citationItems":[{"id":"ITEM-1","itemData":{"ISBN":"9780113316076","author":[{"dropping-particle":"","family":"Axelos","given":"","non-dropping-particle":"","parse-names":false,"suffix":""}],"edition":"4th","id":"ITEM-1","issued":{"date-parts":[["2019"]]},"title":"ITIL Foundation 4 edition","type":"book"},"uris":["http://www.mendeley.com/documents/?uuid=4d309ac0-dd03-4173-a8b3-c7292578166f"]}],"mendeley":{"formattedCitation":"[12]","plainTextFormattedCitation":"[12]","previouslyFormattedCitation":"[12]"},"properties":{"noteIndex":0},"schema":"https://github.com/citation-style-language/schema/raw/master/csl-citation.json"}</w:instrText>
      </w:r>
      <w:r w:rsidRPr="00564A8F">
        <w:rPr>
          <w:rStyle w:val="e24kjd"/>
          <w:rFonts w:eastAsiaTheme="majorEastAsia"/>
          <w:sz w:val="22"/>
          <w:szCs w:val="22"/>
        </w:rPr>
        <w:fldChar w:fldCharType="separate"/>
      </w:r>
      <w:r w:rsidR="00912B44" w:rsidRPr="00564A8F">
        <w:rPr>
          <w:rStyle w:val="e24kjd"/>
          <w:rFonts w:eastAsiaTheme="majorEastAsia"/>
          <w:noProof/>
          <w:sz w:val="22"/>
          <w:szCs w:val="22"/>
        </w:rPr>
        <w:t>[12]</w:t>
      </w:r>
      <w:r w:rsidRPr="00564A8F">
        <w:rPr>
          <w:rStyle w:val="e24kjd"/>
          <w:rFonts w:eastAsiaTheme="majorEastAsia"/>
          <w:sz w:val="22"/>
          <w:szCs w:val="22"/>
        </w:rPr>
        <w:fldChar w:fldCharType="end"/>
      </w:r>
      <w:r w:rsidR="00783531" w:rsidRPr="00564A8F">
        <w:rPr>
          <w:rStyle w:val="e24kjd"/>
          <w:rFonts w:eastAsiaTheme="majorEastAsia"/>
          <w:sz w:val="22"/>
          <w:szCs w:val="22"/>
        </w:rPr>
        <w:t>, by both businesses domestic and internationally</w:t>
      </w:r>
      <w:r w:rsidRPr="00564A8F">
        <w:rPr>
          <w:rStyle w:val="e24kjd"/>
          <w:rFonts w:eastAsiaTheme="majorEastAsia"/>
          <w:sz w:val="22"/>
          <w:szCs w:val="22"/>
        </w:rPr>
        <w:t>.</w:t>
      </w:r>
      <w:r w:rsidR="00783531" w:rsidRPr="00564A8F">
        <w:rPr>
          <w:rStyle w:val="e24kjd"/>
          <w:rFonts w:eastAsiaTheme="majorEastAsia"/>
          <w:sz w:val="22"/>
          <w:szCs w:val="22"/>
        </w:rPr>
        <w:t xml:space="preserve"> </w:t>
      </w:r>
      <w:r w:rsidRPr="00564A8F">
        <w:rPr>
          <w:rStyle w:val="e24kjd"/>
          <w:rFonts w:eastAsiaTheme="majorEastAsia"/>
          <w:sz w:val="22"/>
          <w:szCs w:val="22"/>
        </w:rPr>
        <w:t xml:space="preserve">The core principles </w:t>
      </w:r>
      <w:r w:rsidR="00783531" w:rsidRPr="00564A8F">
        <w:rPr>
          <w:rStyle w:val="e24kjd"/>
          <w:rFonts w:eastAsiaTheme="majorEastAsia"/>
          <w:sz w:val="22"/>
          <w:szCs w:val="22"/>
        </w:rPr>
        <w:t>that define</w:t>
      </w:r>
      <w:r w:rsidRPr="00564A8F">
        <w:rPr>
          <w:rStyle w:val="e24kjd"/>
          <w:rFonts w:eastAsiaTheme="majorEastAsia"/>
          <w:sz w:val="22"/>
          <w:szCs w:val="22"/>
        </w:rPr>
        <w:t xml:space="preserve"> ITIL are; Delivering maximum value to customers, optimizing resources and capabilities, </w:t>
      </w:r>
      <w:proofErr w:type="gramStart"/>
      <w:r w:rsidRPr="00564A8F">
        <w:rPr>
          <w:rStyle w:val="e24kjd"/>
          <w:rFonts w:eastAsiaTheme="majorEastAsia"/>
          <w:sz w:val="22"/>
          <w:szCs w:val="22"/>
        </w:rPr>
        <w:t>Offering</w:t>
      </w:r>
      <w:proofErr w:type="gramEnd"/>
      <w:r w:rsidRPr="00564A8F">
        <w:rPr>
          <w:rStyle w:val="e24kjd"/>
          <w:rFonts w:eastAsiaTheme="majorEastAsia"/>
          <w:sz w:val="22"/>
          <w:szCs w:val="22"/>
        </w:rPr>
        <w:t xml:space="preserve"> services that are both useful and reliable, Planning processes with specific goals in mind and Defining clear roles for each task. As you may see from the core principles, ITIL seems to take a more bottom-up approach, </w:t>
      </w:r>
      <w:r w:rsidR="005B56A2" w:rsidRPr="00564A8F">
        <w:rPr>
          <w:rStyle w:val="e24kjd"/>
          <w:rFonts w:eastAsiaTheme="majorEastAsia"/>
          <w:sz w:val="22"/>
          <w:szCs w:val="22"/>
        </w:rPr>
        <w:t>on how the running of processes and the services can assist the business better.</w:t>
      </w:r>
      <w:r w:rsidR="004C0D2D" w:rsidRPr="00564A8F">
        <w:rPr>
          <w:rStyle w:val="e24kjd"/>
          <w:rFonts w:eastAsiaTheme="majorEastAsia"/>
          <w:sz w:val="22"/>
          <w:szCs w:val="22"/>
        </w:rPr>
        <w:t xml:space="preserve"> To reach these principles/objectives ITIL follows what it calls the ‘IT Service Strategy’, this is a guide to creating a plan for the business depending on the current market and is split into 5 sections of management; Service Portfolio, Financial, Strategy for IT Services, Demand and Business Relationship. As is the same with </w:t>
      </w:r>
      <w:r w:rsidR="004C0D2D" w:rsidRPr="00564A8F">
        <w:rPr>
          <w:rStyle w:val="e24kjd"/>
          <w:rFonts w:eastAsiaTheme="majorEastAsia"/>
          <w:sz w:val="22"/>
          <w:szCs w:val="22"/>
        </w:rPr>
        <w:lastRenderedPageBreak/>
        <w:t>other frameworks, these sections are then split into subsections of which will then focus on specific scenarios and/or problems. While the IT Service Strategy is a large part of the framework there are multiple other guides based around services such as design, transition, continual improvement and operation.</w:t>
      </w:r>
      <w:r w:rsidR="00690AC3" w:rsidRPr="00564A8F">
        <w:rPr>
          <w:rStyle w:val="e24kjd"/>
          <w:rFonts w:eastAsiaTheme="majorEastAsia"/>
          <w:sz w:val="22"/>
          <w:szCs w:val="22"/>
        </w:rPr>
        <w:t xml:space="preserve"> An important point to make about ITIL is that in terms of the implementation of the framework, it quite often points to ISO 2700</w:t>
      </w:r>
      <w:r w:rsidR="00337119" w:rsidRPr="00564A8F">
        <w:rPr>
          <w:rStyle w:val="e24kjd"/>
          <w:rFonts w:eastAsiaTheme="majorEastAsia"/>
          <w:sz w:val="22"/>
          <w:szCs w:val="22"/>
        </w:rPr>
        <w:t>0 series</w:t>
      </w:r>
      <w:r w:rsidR="00690AC3" w:rsidRPr="00564A8F">
        <w:rPr>
          <w:rStyle w:val="e24kjd"/>
          <w:rFonts w:eastAsiaTheme="majorEastAsia"/>
          <w:sz w:val="22"/>
          <w:szCs w:val="22"/>
        </w:rPr>
        <w:t>, another popular framework, that while not as high a level framework as ITIL, it gives a more detailed approach to implementation, and as such refers to it rather than give a less detailed approach. Therefore, while a company could only use ITIL alone, they would most likely have to use another framework implementation guideline for the best result.</w:t>
      </w:r>
    </w:p>
    <w:p w14:paraId="3178F7CF" w14:textId="212E1797" w:rsidR="009875D9" w:rsidRPr="00564A8F" w:rsidRDefault="00A555A4" w:rsidP="00564A8F">
      <w:pPr>
        <w:jc w:val="both"/>
        <w:rPr>
          <w:rStyle w:val="e24kjd"/>
          <w:rFonts w:eastAsiaTheme="majorEastAsia"/>
          <w:sz w:val="22"/>
          <w:szCs w:val="22"/>
        </w:rPr>
      </w:pPr>
      <w:r w:rsidRPr="00564A8F">
        <w:rPr>
          <w:rStyle w:val="e24kjd"/>
          <w:rFonts w:eastAsiaTheme="majorEastAsia"/>
          <w:sz w:val="22"/>
          <w:szCs w:val="22"/>
        </w:rPr>
        <w:br/>
      </w:r>
      <w:r w:rsidR="001D4FCC" w:rsidRPr="00564A8F">
        <w:rPr>
          <w:rStyle w:val="e24kjd"/>
          <w:rFonts w:eastAsiaTheme="majorEastAsia"/>
          <w:sz w:val="22"/>
          <w:szCs w:val="22"/>
        </w:rPr>
        <w:t xml:space="preserve">To start to compare the three frameworks, first we look at their scope, while it could be said they are all competing frameworks, that is not entirely accurate. Each framework has a separate scope, and while there is often a significant amount of overlap. NIST’s scope is the critical systems and </w:t>
      </w:r>
      <w:r w:rsidR="00DE5A8A" w:rsidRPr="00564A8F">
        <w:rPr>
          <w:rStyle w:val="e24kjd"/>
          <w:rFonts w:eastAsiaTheme="majorEastAsia"/>
          <w:sz w:val="22"/>
          <w:szCs w:val="22"/>
        </w:rPr>
        <w:t>infrastructure</w:t>
      </w:r>
      <w:r w:rsidR="001D4FCC" w:rsidRPr="00564A8F">
        <w:rPr>
          <w:rStyle w:val="e24kjd"/>
          <w:rFonts w:eastAsiaTheme="majorEastAsia"/>
          <w:sz w:val="22"/>
          <w:szCs w:val="22"/>
        </w:rPr>
        <w:t xml:space="preserve"> used by companies, COBIT is the IT Control and Governance and ITIL is aimed at the Operational/Service environment of a business.</w:t>
      </w:r>
      <w:r w:rsidR="00833CEF" w:rsidRPr="00564A8F">
        <w:rPr>
          <w:rStyle w:val="e24kjd"/>
          <w:rFonts w:eastAsiaTheme="majorEastAsia"/>
          <w:sz w:val="22"/>
          <w:szCs w:val="22"/>
        </w:rPr>
        <w:t xml:space="preserve"> In actual fact they could all be used together, and likely are in some scenarios, the chosen of the overlap being chosen depending on the scenario</w:t>
      </w:r>
      <w:r w:rsidR="00FD5148" w:rsidRPr="00564A8F">
        <w:rPr>
          <w:rStyle w:val="e24kjd"/>
          <w:rFonts w:eastAsiaTheme="majorEastAsia"/>
          <w:sz w:val="22"/>
          <w:szCs w:val="22"/>
        </w:rPr>
        <w:fldChar w:fldCharType="begin" w:fldLock="1"/>
      </w:r>
      <w:r w:rsidR="00564A8F" w:rsidRPr="00564A8F">
        <w:rPr>
          <w:rStyle w:val="e24kjd"/>
          <w:rFonts w:eastAsiaTheme="majorEastAsia"/>
          <w:sz w:val="22"/>
          <w:szCs w:val="22"/>
        </w:rPr>
        <w:instrText>ADDIN CSL_CITATION {"citationItems":[{"id":"ITEM-1","itemData":{"URL":"https://www.scnsoft.com/blog/cobit-vs-itil","author":[{"dropping-particle":"","family":"Leinov","given":"Vladimir","non-dropping-particle":"","parse-names":false,"suffix":""}],"container-title":"Sciencesoft","id":"ITEM-1","issued":{"date-parts":[["2018"]]},"title":"COBIT vs ITIL: a real-life example of what these two can do","type":"webpage"},"uris":["http://www.mendeley.com/documents/?uuid=85153ced-ec3c-4b84-abc0-221d8e1daaff"]}],"mendeley":{"formattedCitation":"[13]","plainTextFormattedCitation":"[13]","previouslyFormattedCitation":"[13]"},"properties":{"noteIndex":0},"schema":"https://github.com/citation-style-language/schema/raw/master/csl-citation.json"}</w:instrText>
      </w:r>
      <w:r w:rsidR="00FD5148" w:rsidRPr="00564A8F">
        <w:rPr>
          <w:rStyle w:val="e24kjd"/>
          <w:rFonts w:eastAsiaTheme="majorEastAsia"/>
          <w:sz w:val="22"/>
          <w:szCs w:val="22"/>
        </w:rPr>
        <w:fldChar w:fldCharType="separate"/>
      </w:r>
      <w:r w:rsidR="00912B44" w:rsidRPr="00564A8F">
        <w:rPr>
          <w:rStyle w:val="e24kjd"/>
          <w:rFonts w:eastAsiaTheme="majorEastAsia"/>
          <w:noProof/>
          <w:sz w:val="22"/>
          <w:szCs w:val="22"/>
        </w:rPr>
        <w:t>[13]</w:t>
      </w:r>
      <w:r w:rsidR="00FD5148" w:rsidRPr="00564A8F">
        <w:rPr>
          <w:rStyle w:val="e24kjd"/>
          <w:rFonts w:eastAsiaTheme="majorEastAsia"/>
          <w:sz w:val="22"/>
          <w:szCs w:val="22"/>
        </w:rPr>
        <w:fldChar w:fldCharType="end"/>
      </w:r>
      <w:r w:rsidR="00FD5148" w:rsidRPr="00564A8F">
        <w:rPr>
          <w:rStyle w:val="e24kjd"/>
          <w:rFonts w:eastAsiaTheme="majorEastAsia"/>
          <w:sz w:val="22"/>
          <w:szCs w:val="22"/>
        </w:rPr>
        <w:t>.</w:t>
      </w:r>
      <w:r w:rsidR="00833CEF" w:rsidRPr="00564A8F">
        <w:rPr>
          <w:rStyle w:val="e24kjd"/>
          <w:rFonts w:eastAsiaTheme="majorEastAsia"/>
          <w:sz w:val="22"/>
          <w:szCs w:val="22"/>
        </w:rPr>
        <w:t xml:space="preserve"> Having said this once you introduce the additional branches from the foundation, there is </w:t>
      </w:r>
      <w:r w:rsidR="00833CEF" w:rsidRPr="00564A8F">
        <w:rPr>
          <w:rStyle w:val="e24kjd"/>
          <w:rFonts w:eastAsiaTheme="majorEastAsia"/>
          <w:i/>
          <w:iCs/>
          <w:sz w:val="22"/>
          <w:szCs w:val="22"/>
        </w:rPr>
        <w:t>significantly</w:t>
      </w:r>
      <w:r w:rsidR="00833CEF" w:rsidRPr="00564A8F">
        <w:rPr>
          <w:rStyle w:val="e24kjd"/>
          <w:rFonts w:eastAsiaTheme="majorEastAsia"/>
          <w:sz w:val="22"/>
          <w:szCs w:val="22"/>
        </w:rPr>
        <w:t xml:space="preserve"> more comparisons. Take NIST 800-35, a guide on IT security services, will directly overlap with ‘IT security management’ section of ITIL, the ‘Service design’ section to be more precise and as such the business will need to choose between them</w:t>
      </w:r>
      <w:r w:rsidR="00332D5A" w:rsidRPr="00564A8F">
        <w:rPr>
          <w:rStyle w:val="e24kjd"/>
          <w:rFonts w:eastAsiaTheme="majorEastAsia"/>
          <w:sz w:val="22"/>
          <w:szCs w:val="22"/>
        </w:rPr>
        <w:t xml:space="preserve">. Add to this the fact that NIST special publications often refer to other frameworks such as ITIL and COBIT as references and you start to see how often they’re used together. </w:t>
      </w:r>
      <w:r w:rsidR="00627527" w:rsidRPr="00564A8F">
        <w:rPr>
          <w:rStyle w:val="e24kjd"/>
          <w:rFonts w:eastAsiaTheme="majorEastAsia"/>
          <w:sz w:val="22"/>
          <w:szCs w:val="22"/>
        </w:rPr>
        <w:t xml:space="preserve">The weakness in NIST especially is that </w:t>
      </w:r>
      <w:r w:rsidR="00E979E7" w:rsidRPr="00564A8F">
        <w:rPr>
          <w:rStyle w:val="e24kjd"/>
          <w:rFonts w:eastAsiaTheme="majorEastAsia"/>
          <w:sz w:val="22"/>
          <w:szCs w:val="22"/>
        </w:rPr>
        <w:t>its</w:t>
      </w:r>
      <w:r w:rsidR="00627527" w:rsidRPr="00564A8F">
        <w:rPr>
          <w:rStyle w:val="e24kjd"/>
          <w:rFonts w:eastAsiaTheme="majorEastAsia"/>
          <w:sz w:val="22"/>
          <w:szCs w:val="22"/>
        </w:rPr>
        <w:t xml:space="preserve"> scope is limited to IT, which depending on the needs of the user can be either a positive or negative, but in comparison, COBIT and ITIL have references and frameworks/models for use by non-IT management whereas NIST has management but of cybersecurity-related systems.</w:t>
      </w:r>
      <w:r w:rsidR="00EA7246">
        <w:rPr>
          <w:rStyle w:val="e24kjd"/>
          <w:rFonts w:eastAsiaTheme="majorEastAsia"/>
          <w:sz w:val="22"/>
          <w:szCs w:val="22"/>
        </w:rPr>
        <w:t xml:space="preserve"> Worth noting is that while they have different scopes, for the most part they all cover the basis of security policy no matter the scope, although they might call it something different.</w:t>
      </w:r>
      <w:r w:rsidR="004C0D2D" w:rsidRPr="00564A8F">
        <w:rPr>
          <w:rStyle w:val="e24kjd"/>
          <w:rFonts w:eastAsiaTheme="majorEastAsia"/>
          <w:sz w:val="22"/>
          <w:szCs w:val="22"/>
        </w:rPr>
        <w:br/>
        <w:t>The next comparison would be that while NIST, ITIL and COBIT are all frameworks</w:t>
      </w:r>
      <w:r w:rsidR="00690AC3" w:rsidRPr="00564A8F">
        <w:rPr>
          <w:rStyle w:val="e24kjd"/>
          <w:rFonts w:eastAsiaTheme="majorEastAsia"/>
          <w:sz w:val="22"/>
          <w:szCs w:val="22"/>
        </w:rPr>
        <w:t xml:space="preserve">, of them only NIST is a standard in addition. This means that COBIT and ITIL are optional and as such a company </w:t>
      </w:r>
      <w:r w:rsidR="00627527" w:rsidRPr="00564A8F">
        <w:rPr>
          <w:rStyle w:val="e24kjd"/>
          <w:rFonts w:eastAsiaTheme="majorEastAsia"/>
          <w:sz w:val="22"/>
          <w:szCs w:val="22"/>
        </w:rPr>
        <w:t>may choose which parts to follow,</w:t>
      </w:r>
      <w:r w:rsidR="00690AC3" w:rsidRPr="00564A8F">
        <w:rPr>
          <w:rStyle w:val="e24kjd"/>
          <w:rFonts w:eastAsiaTheme="majorEastAsia"/>
          <w:sz w:val="22"/>
          <w:szCs w:val="22"/>
        </w:rPr>
        <w:t xml:space="preserve"> NIST for the most part is the same but for certain special publications such as NIST SP 800-53, if a company is obligated to use it due to some scenario such as being federally contracted or partnered, they </w:t>
      </w:r>
      <w:r w:rsidR="00690AC3" w:rsidRPr="00564A8F">
        <w:rPr>
          <w:rStyle w:val="e24kjd"/>
          <w:rFonts w:eastAsiaTheme="majorEastAsia"/>
          <w:i/>
          <w:iCs/>
          <w:sz w:val="22"/>
          <w:szCs w:val="22"/>
        </w:rPr>
        <w:t>must</w:t>
      </w:r>
      <w:r w:rsidR="00690AC3" w:rsidRPr="00564A8F">
        <w:rPr>
          <w:rStyle w:val="e24kjd"/>
          <w:rFonts w:eastAsiaTheme="majorEastAsia"/>
          <w:sz w:val="22"/>
          <w:szCs w:val="22"/>
        </w:rPr>
        <w:t xml:space="preserve"> follow it in its </w:t>
      </w:r>
      <w:r w:rsidR="00690AC3" w:rsidRPr="00564A8F">
        <w:rPr>
          <w:rStyle w:val="e24kjd"/>
          <w:rFonts w:eastAsiaTheme="majorEastAsia"/>
          <w:i/>
          <w:iCs/>
          <w:sz w:val="22"/>
          <w:szCs w:val="22"/>
        </w:rPr>
        <w:t>entirety</w:t>
      </w:r>
      <w:r w:rsidR="00690AC3" w:rsidRPr="00564A8F">
        <w:rPr>
          <w:rStyle w:val="e24kjd"/>
          <w:rFonts w:eastAsiaTheme="majorEastAsia"/>
          <w:sz w:val="22"/>
          <w:szCs w:val="22"/>
        </w:rPr>
        <w:t xml:space="preserve">, lest face legal repercussions if discovered. The distinction here is between NIST as a whole and NIST Cybersecurity Framework, although many companies follow standards of their own volition as it provides a solid foundation/basis for any IT relevant business. </w:t>
      </w:r>
    </w:p>
    <w:p w14:paraId="2417D51A" w14:textId="28C469BE" w:rsidR="00D31F59" w:rsidRPr="006A43D6" w:rsidRDefault="0001353C" w:rsidP="006A43D6">
      <w:pPr>
        <w:jc w:val="both"/>
        <w:rPr>
          <w:rFonts w:eastAsiaTheme="majorEastAsia"/>
          <w:sz w:val="22"/>
          <w:szCs w:val="22"/>
        </w:rPr>
      </w:pPr>
      <w:r w:rsidRPr="00564A8F">
        <w:rPr>
          <w:rStyle w:val="e24kjd"/>
          <w:rFonts w:eastAsiaTheme="majorEastAsia"/>
          <w:sz w:val="22"/>
          <w:szCs w:val="22"/>
        </w:rPr>
        <w:t>One major weakness that these frameworks share would be that due to the way they’re marketed, managers may see it as a magic tool that can solve all cybersecurity problems, rather than a tool to assist in that goal. By that point a framework can only be as good as those who implement it, which if a business doesn’t have their own specialist, which is unlikely, it can become an expense many would rather not deal with.</w:t>
      </w:r>
    </w:p>
    <w:p w14:paraId="780D71F2" w14:textId="36D93D43" w:rsidR="00202E38" w:rsidRDefault="00202E38" w:rsidP="0051109C">
      <w:pPr>
        <w:spacing w:after="160" w:line="256" w:lineRule="auto"/>
        <w:jc w:val="both"/>
        <w:rPr>
          <w:sz w:val="22"/>
          <w:szCs w:val="22"/>
        </w:rPr>
      </w:pPr>
    </w:p>
    <w:p w14:paraId="0149EEDF" w14:textId="77777777" w:rsidR="000F3DD9" w:rsidRDefault="000F3DD9" w:rsidP="0051109C">
      <w:pPr>
        <w:spacing w:after="160" w:line="256" w:lineRule="auto"/>
        <w:jc w:val="both"/>
        <w:rPr>
          <w:sz w:val="22"/>
          <w:szCs w:val="22"/>
        </w:rPr>
      </w:pPr>
    </w:p>
    <w:p w14:paraId="0B2587EE" w14:textId="14EE2D5C" w:rsidR="000F3DD9" w:rsidRPr="000F3DD9" w:rsidRDefault="00D92886" w:rsidP="006A43D6">
      <w:pPr>
        <w:pStyle w:val="Heading2"/>
        <w:numPr>
          <w:ilvl w:val="0"/>
          <w:numId w:val="4"/>
        </w:numPr>
        <w:jc w:val="center"/>
        <w:rPr>
          <w:rFonts w:ascii="Times New Roman" w:hAnsi="Times New Roman" w:cs="Times New Roman"/>
          <w:color w:val="auto"/>
          <w:sz w:val="28"/>
          <w:szCs w:val="28"/>
        </w:rPr>
      </w:pPr>
      <w:r>
        <w:rPr>
          <w:rFonts w:ascii="Times New Roman" w:hAnsi="Times New Roman" w:cs="Times New Roman"/>
          <w:color w:val="auto"/>
          <w:sz w:val="28"/>
          <w:szCs w:val="28"/>
        </w:rPr>
        <w:t>Practical Implementation</w:t>
      </w:r>
    </w:p>
    <w:p w14:paraId="749EF60F" w14:textId="77777777" w:rsidR="000F3DD9" w:rsidRDefault="000F3DD9" w:rsidP="0051109C">
      <w:pPr>
        <w:spacing w:after="160" w:line="256" w:lineRule="auto"/>
        <w:jc w:val="both"/>
        <w:rPr>
          <w:sz w:val="22"/>
          <w:szCs w:val="22"/>
        </w:rPr>
      </w:pPr>
    </w:p>
    <w:p w14:paraId="7BDFF110" w14:textId="2279A793" w:rsidR="005421F6" w:rsidRPr="00480082" w:rsidRDefault="00480082" w:rsidP="00480082">
      <w:pPr>
        <w:spacing w:after="160" w:line="256" w:lineRule="auto"/>
        <w:jc w:val="both"/>
        <w:rPr>
          <w:sz w:val="22"/>
          <w:szCs w:val="22"/>
        </w:rPr>
      </w:pPr>
      <w:r>
        <w:rPr>
          <w:sz w:val="22"/>
          <w:szCs w:val="22"/>
        </w:rPr>
        <w:t>While the specification lists the business as international, for the implementation we will be focusing on a singular business location</w:t>
      </w:r>
      <w:r w:rsidR="00202E38">
        <w:rPr>
          <w:sz w:val="22"/>
          <w:szCs w:val="22"/>
        </w:rPr>
        <w:t xml:space="preserve">. The first step in security development would be a security and risk assessment of the systems and assets already in place, </w:t>
      </w:r>
      <w:r>
        <w:rPr>
          <w:sz w:val="22"/>
          <w:szCs w:val="22"/>
        </w:rPr>
        <w:t xml:space="preserve">as there is no </w:t>
      </w:r>
      <w:r>
        <w:rPr>
          <w:i/>
          <w:sz w:val="22"/>
          <w:szCs w:val="22"/>
        </w:rPr>
        <w:t xml:space="preserve">official </w:t>
      </w:r>
      <w:r>
        <w:rPr>
          <w:sz w:val="22"/>
          <w:szCs w:val="22"/>
        </w:rPr>
        <w:t>policy, it would be unlikely for a business like this to have no security</w:t>
      </w:r>
      <w:r w:rsidR="00202E38">
        <w:rPr>
          <w:sz w:val="22"/>
          <w:szCs w:val="22"/>
        </w:rPr>
        <w:t xml:space="preserve">. </w:t>
      </w:r>
      <w:r>
        <w:rPr>
          <w:sz w:val="22"/>
          <w:szCs w:val="22"/>
        </w:rPr>
        <w:t>T</w:t>
      </w:r>
      <w:r w:rsidR="00202E38">
        <w:rPr>
          <w:sz w:val="22"/>
          <w:szCs w:val="22"/>
        </w:rPr>
        <w:t xml:space="preserve">aking this </w:t>
      </w:r>
      <w:r w:rsidR="00202E38" w:rsidRPr="00202E38">
        <w:rPr>
          <w:sz w:val="22"/>
          <w:szCs w:val="22"/>
        </w:rPr>
        <w:t>holistic approach</w:t>
      </w:r>
      <w:r w:rsidR="00202E38">
        <w:rPr>
          <w:sz w:val="22"/>
          <w:szCs w:val="22"/>
        </w:rPr>
        <w:t xml:space="preserve"> from the very beginning the business can start to develop their ideal of what the policy should cover, with expert/specialist opinion include</w:t>
      </w:r>
      <w:r>
        <w:rPr>
          <w:sz w:val="22"/>
          <w:szCs w:val="22"/>
        </w:rPr>
        <w:t xml:space="preserve">. </w:t>
      </w:r>
      <w:r w:rsidR="00202E38">
        <w:rPr>
          <w:sz w:val="22"/>
          <w:szCs w:val="22"/>
        </w:rPr>
        <w:t xml:space="preserve">Now that the initial assessment of the current state of the company </w:t>
      </w:r>
      <w:r>
        <w:rPr>
          <w:sz w:val="22"/>
          <w:szCs w:val="22"/>
        </w:rPr>
        <w:t>is complete</w:t>
      </w:r>
      <w:r w:rsidR="00202E38">
        <w:rPr>
          <w:sz w:val="22"/>
          <w:szCs w:val="22"/>
        </w:rPr>
        <w:t xml:space="preserve"> the company’s security is easier to understand, and therefore the main problems can be addressed in priority order</w:t>
      </w:r>
      <w:r w:rsidR="0083677E">
        <w:rPr>
          <w:sz w:val="22"/>
          <w:szCs w:val="22"/>
        </w:rPr>
        <w:t>, from critical to insignificant</w:t>
      </w:r>
      <w:r w:rsidR="00202E38">
        <w:rPr>
          <w:sz w:val="22"/>
          <w:szCs w:val="22"/>
        </w:rPr>
        <w:t>, such as the fact that if this weren’t theoretical</w:t>
      </w:r>
      <w:r w:rsidR="00152F4F">
        <w:rPr>
          <w:sz w:val="22"/>
          <w:szCs w:val="22"/>
        </w:rPr>
        <w:t>,</w:t>
      </w:r>
      <w:r w:rsidR="00202E38">
        <w:rPr>
          <w:sz w:val="22"/>
          <w:szCs w:val="22"/>
        </w:rPr>
        <w:t xml:space="preserve"> the company’s legal department would be dealing with fines and lawsuits </w:t>
      </w:r>
      <w:r w:rsidR="00152F4F">
        <w:rPr>
          <w:sz w:val="22"/>
          <w:szCs w:val="22"/>
        </w:rPr>
        <w:t xml:space="preserve">in abundance </w:t>
      </w:r>
      <w:r w:rsidR="00202E38">
        <w:rPr>
          <w:sz w:val="22"/>
          <w:szCs w:val="22"/>
        </w:rPr>
        <w:t xml:space="preserve">due to their apparent lack of security </w:t>
      </w:r>
      <w:r w:rsidR="00202E38">
        <w:rPr>
          <w:sz w:val="22"/>
          <w:szCs w:val="22"/>
        </w:rPr>
        <w:lastRenderedPageBreak/>
        <w:t>of intellectual property and personal information</w:t>
      </w:r>
      <w:r w:rsidR="00152F4F">
        <w:rPr>
          <w:sz w:val="22"/>
          <w:szCs w:val="22"/>
        </w:rPr>
        <w:t>, the latter of which even more so due to the relatively recent EU General Data Protection Regulation (GDPR)</w:t>
      </w:r>
      <w:r w:rsidR="00202E38">
        <w:rPr>
          <w:sz w:val="22"/>
          <w:szCs w:val="22"/>
        </w:rPr>
        <w:t xml:space="preserve">. </w:t>
      </w:r>
      <w:r w:rsidR="0083677E">
        <w:rPr>
          <w:sz w:val="22"/>
          <w:szCs w:val="22"/>
        </w:rPr>
        <w:br/>
        <w:t>Before the actual security policy is developed or implemented it would be beneficial for company restructuring in accordance with InfoSec and COBIT</w:t>
      </w:r>
      <w:r w:rsidR="00D21F6D">
        <w:rPr>
          <w:sz w:val="22"/>
          <w:szCs w:val="22"/>
        </w:rPr>
        <w:t xml:space="preserve"> 5</w:t>
      </w:r>
      <w:r w:rsidR="0083677E">
        <w:rPr>
          <w:sz w:val="22"/>
          <w:szCs w:val="22"/>
        </w:rPr>
        <w:t xml:space="preserve"> to segment </w:t>
      </w:r>
      <w:r w:rsidR="00D21F6D">
        <w:rPr>
          <w:sz w:val="22"/>
          <w:szCs w:val="22"/>
        </w:rPr>
        <w:t xml:space="preserve">and reorganise </w:t>
      </w:r>
      <w:r w:rsidR="0083677E">
        <w:rPr>
          <w:sz w:val="22"/>
          <w:szCs w:val="22"/>
        </w:rPr>
        <w:t>the company into roles and responsibilities depending on their subsequent department, while there may already be a structure implemented, due to the lack of formal security policy it is highly unlikely</w:t>
      </w:r>
      <w:r w:rsidR="006114D9">
        <w:rPr>
          <w:sz w:val="22"/>
          <w:szCs w:val="22"/>
        </w:rPr>
        <w:t xml:space="preserve"> that it is up to standards, worth noting that this would only be of the IT-related sections as a business-wide restructuring is much too risky and would likely cost much too much</w:t>
      </w:r>
      <w:r w:rsidR="0083677E">
        <w:rPr>
          <w:sz w:val="22"/>
          <w:szCs w:val="22"/>
        </w:rPr>
        <w:t>.</w:t>
      </w:r>
      <w:r w:rsidR="00152C78">
        <w:rPr>
          <w:sz w:val="22"/>
          <w:szCs w:val="22"/>
        </w:rPr>
        <w:t xml:space="preserve"> </w:t>
      </w:r>
      <w:r w:rsidR="00EC081E">
        <w:rPr>
          <w:sz w:val="22"/>
          <w:szCs w:val="22"/>
        </w:rPr>
        <w:t xml:space="preserve">This restructure would follow recommended roles and responsibilities as dictated in the NIST CSF, as well as the relatively separate InfoSec portion of the IT department. </w:t>
      </w:r>
      <w:r w:rsidR="00152C78">
        <w:rPr>
          <w:sz w:val="22"/>
          <w:szCs w:val="22"/>
        </w:rPr>
        <w:t>As a guideline to the roles and responsibilities of those in an IT environment please refer to ISO 27001</w:t>
      </w:r>
      <w:r w:rsidR="00564A8F">
        <w:rPr>
          <w:sz w:val="22"/>
          <w:szCs w:val="22"/>
        </w:rPr>
        <w:t>-related documents</w:t>
      </w:r>
      <w:r w:rsidR="00564A8F">
        <w:rPr>
          <w:sz w:val="22"/>
          <w:szCs w:val="22"/>
        </w:rPr>
        <w:fldChar w:fldCharType="begin" w:fldLock="1"/>
      </w:r>
      <w:r w:rsidR="00564A8F">
        <w:rPr>
          <w:sz w:val="22"/>
          <w:szCs w:val="22"/>
        </w:rPr>
        <w:instrText>ADDIN CSL_CITATION {"citationItems":[{"id":"ITEM-1","itemData":{"ISBN":"1484254139, 9781484254134","author":[{"dropping-particle":"","family":"Chopra","given":"Abhishek","non-dropping-particle":"","parse-names":false,"suffix":""},{"dropping-particle":"","family":"Chaudberry","given":"Mukund","non-dropping-particle":"","parse-names":false,"suffix":""}],"edition":"2","id":"ITEM-1","issued":{"date-parts":[["2019"]]},"number-of-pages":"274","publisher":"Apress","title":"Implementing an Information Security Management System using ISO 27001","type":"book"},"uris":["http://www.mendeley.com/documents/?uuid=67977740-6c5d-4a66-95de-f9e84e7e6582"]}],"mendeley":{"formattedCitation":"[14]","plainTextFormattedCitation":"[14]","previouslyFormattedCitation":"[14]"},"properties":{"noteIndex":0},"schema":"https://github.com/citation-style-language/schema/raw/master/csl-citation.json"}</w:instrText>
      </w:r>
      <w:r w:rsidR="00564A8F">
        <w:rPr>
          <w:sz w:val="22"/>
          <w:szCs w:val="22"/>
        </w:rPr>
        <w:fldChar w:fldCharType="separate"/>
      </w:r>
      <w:r w:rsidR="00564A8F" w:rsidRPr="00564A8F">
        <w:rPr>
          <w:noProof/>
          <w:sz w:val="22"/>
          <w:szCs w:val="22"/>
        </w:rPr>
        <w:t>[14]</w:t>
      </w:r>
      <w:r w:rsidR="00564A8F">
        <w:rPr>
          <w:sz w:val="22"/>
          <w:szCs w:val="22"/>
        </w:rPr>
        <w:fldChar w:fldCharType="end"/>
      </w:r>
      <w:r w:rsidR="00564A8F">
        <w:rPr>
          <w:sz w:val="22"/>
          <w:szCs w:val="22"/>
        </w:rPr>
        <w:t xml:space="preserve"> or </w:t>
      </w:r>
      <w:r w:rsidR="00D21F6D">
        <w:rPr>
          <w:sz w:val="22"/>
          <w:szCs w:val="22"/>
        </w:rPr>
        <w:t>NIST SP 800-</w:t>
      </w:r>
      <w:r w:rsidR="00564A8F">
        <w:rPr>
          <w:sz w:val="22"/>
          <w:szCs w:val="22"/>
        </w:rPr>
        <w:t>100</w:t>
      </w:r>
      <w:r w:rsidR="00EC081E">
        <w:rPr>
          <w:sz w:val="22"/>
          <w:szCs w:val="22"/>
        </w:rPr>
        <w:fldChar w:fldCharType="begin" w:fldLock="1"/>
      </w:r>
      <w:r w:rsidR="00EC081E">
        <w:rPr>
          <w:sz w:val="22"/>
          <w:szCs w:val="22"/>
        </w:rPr>
        <w:instrText>ADDIN CSL_CITATION {"citationItems":[{"id":"ITEM-1","itemData":{"DOI":"10.6028/NIST.SP.800-100","abstract":"This Information Security Handbook provides a broad overview of information security program elements to assist managers in understanding how to establish and implement an information security program. Typically, the organization looks to the program for overall responsibility to ensure the selection and implementation of appropriate security controls and to demonstrate the effectiveness of satisfying their stated security requirements. The topics within this document were selected based on the laws and regulations relevant to information security, including the ClingerCohen Act of 1996, the Federal Information Security Management Act (FISMA) of 2002, and Office of Management and Budget (OMB) Circular A-130. The material in this handbook can be referenced for general information on a particular topic or can be used in the decision-making process for developing an information security program. National Institute of Standards and Technology (NISTIR) Interagency Report 7298 provides a summary glossary for the basic security terms used throughout this document. While reading this handbook, please consider that the guidance is not specific to a particular agency. Agencies should tailor this guidance according to their security posture and business requirements.","author":[{"dropping-particle":"","family":"Bowen","given":"Pauline","non-dropping-particle":"","parse-names":false,"suffix":""},{"dropping-particle":"","family":"Hash","given":"Joan","non-dropping-particle":"","parse-names":false,"suffix":""},{"dropping-particle":"","family":"Wilson","given":"Mark","non-dropping-particle":"","parse-names":false,"suffix":""}],"container-title":"NIST Special Publication 800-100","id":"ITEM-1","issue":"October","issued":{"date-parts":[["2006"]]},"page":"137","title":"Information Security Handbook: A Guide for Managers NIST Special Publication 800-100","type":"article-journal"},"uris":["http://www.mendeley.com/documents/?uuid=07dc0750-a133-484c-a2c3-e7db87520f05"]}],"mendeley":{"formattedCitation":"[15]","plainTextFormattedCitation":"[15]","previouslyFormattedCitation":"[15]"},"properties":{"noteIndex":0},"schema":"https://github.com/citation-style-language/schema/raw/master/csl-citation.json"}</w:instrText>
      </w:r>
      <w:r w:rsidR="00EC081E">
        <w:rPr>
          <w:sz w:val="22"/>
          <w:szCs w:val="22"/>
        </w:rPr>
        <w:fldChar w:fldCharType="separate"/>
      </w:r>
      <w:r w:rsidR="00EC081E" w:rsidRPr="00EC081E">
        <w:rPr>
          <w:noProof/>
          <w:sz w:val="22"/>
          <w:szCs w:val="22"/>
        </w:rPr>
        <w:t>[15]</w:t>
      </w:r>
      <w:r w:rsidR="00EC081E">
        <w:rPr>
          <w:sz w:val="22"/>
          <w:szCs w:val="22"/>
        </w:rPr>
        <w:fldChar w:fldCharType="end"/>
      </w:r>
      <w:r w:rsidR="00564A8F">
        <w:rPr>
          <w:sz w:val="22"/>
          <w:szCs w:val="22"/>
        </w:rPr>
        <w:t>.</w:t>
      </w:r>
      <w:r w:rsidR="000F3E4C">
        <w:rPr>
          <w:sz w:val="22"/>
          <w:szCs w:val="22"/>
        </w:rPr>
        <w:t xml:space="preserve"> In terms of the actual structure to follow, this writer would advise the use of a divisional  organisational design</w:t>
      </w:r>
      <w:r w:rsidR="000F3E4C">
        <w:rPr>
          <w:sz w:val="22"/>
          <w:szCs w:val="22"/>
        </w:rPr>
        <w:fldChar w:fldCharType="begin" w:fldLock="1"/>
      </w:r>
      <w:r w:rsidR="00EC081E">
        <w:rPr>
          <w:sz w:val="22"/>
          <w:szCs w:val="22"/>
        </w:rPr>
        <w:instrText>ADDIN CSL_CITATION {"citationItems":[{"id":"ITEM-1","itemData":{"author":[{"dropping-particle":"","family":"Whitaker","given":"Justin","non-dropping-particle":"","parse-names":false,"suffix":""}],"id":"ITEM-1","issue":"February","issued":{"date-parts":[["2019"]]},"publisher":"Dayblink","title":"Structuring the Information Structuring the Security Information Organization Security Organization","type":"report"},"uris":["http://www.mendeley.com/documents/?uuid=1422cffe-2643-4cb1-af36-ebec84f37d84"]}],"mendeley":{"formattedCitation":"[16]","plainTextFormattedCitation":"[16]","previouslyFormattedCitation":"[16]"},"properties":{"noteIndex":0},"schema":"https://github.com/citation-style-language/schema/raw/master/csl-citation.json"}</w:instrText>
      </w:r>
      <w:r w:rsidR="000F3E4C">
        <w:rPr>
          <w:sz w:val="22"/>
          <w:szCs w:val="22"/>
        </w:rPr>
        <w:fldChar w:fldCharType="separate"/>
      </w:r>
      <w:r w:rsidR="00EC081E" w:rsidRPr="00EC081E">
        <w:rPr>
          <w:noProof/>
          <w:sz w:val="22"/>
          <w:szCs w:val="22"/>
        </w:rPr>
        <w:t>[16]</w:t>
      </w:r>
      <w:r w:rsidR="000F3E4C">
        <w:rPr>
          <w:sz w:val="22"/>
          <w:szCs w:val="22"/>
        </w:rPr>
        <w:fldChar w:fldCharType="end"/>
      </w:r>
      <w:r w:rsidR="000F3E4C">
        <w:rPr>
          <w:sz w:val="22"/>
          <w:szCs w:val="22"/>
        </w:rPr>
        <w:t>, largely in part due to the international presence meaning dividing the company’s IT structure based on geographical location would best allow for the company to work in a place-by-place manner.</w:t>
      </w:r>
      <w:r w:rsidR="0083677E">
        <w:rPr>
          <w:sz w:val="22"/>
          <w:szCs w:val="22"/>
        </w:rPr>
        <w:br/>
        <w:t>The development of the subsequent security policy will have to cover multiple systems including those already in place as well as those to be introduced in the future.</w:t>
      </w:r>
      <w:r w:rsidR="00152C78">
        <w:rPr>
          <w:sz w:val="22"/>
          <w:szCs w:val="22"/>
        </w:rPr>
        <w:t xml:space="preserve"> This can bring quite a significant amount of turmoil in implementation and as such some aspects will need to be gradually introduced whereas some changes will need to be immediate, depending on the priority.</w:t>
      </w:r>
      <w:r w:rsidR="001B1ECC">
        <w:rPr>
          <w:sz w:val="22"/>
          <w:szCs w:val="22"/>
        </w:rPr>
        <w:t xml:space="preserve"> For guidelines on the development of security policy those present in the frameworks in task 1 all have relevant guidelines for this subject as well as the aforementioned NIST special publications</w:t>
      </w:r>
      <w:r w:rsidR="005F142E">
        <w:rPr>
          <w:sz w:val="22"/>
          <w:szCs w:val="22"/>
        </w:rPr>
        <w:t xml:space="preserve"> as well as the SANS institute security policy templates and guidelines</w:t>
      </w:r>
      <w:r w:rsidR="006A46C5">
        <w:rPr>
          <w:sz w:val="22"/>
          <w:szCs w:val="22"/>
        </w:rPr>
        <w:fldChar w:fldCharType="begin" w:fldLock="1"/>
      </w:r>
      <w:r w:rsidR="006A46C5">
        <w:rPr>
          <w:sz w:val="22"/>
          <w:szCs w:val="22"/>
        </w:rPr>
        <w:instrText>ADDIN CSL_CITATION {"citationItems":[{"id":"ITEM-1","itemData":{"URL":"https://www.sans.org/security-resources/policies","author":[{"dropping-particle":"","family":"SANS","given":"","non-dropping-particle":"","parse-names":false,"suffix":""}],"container-title":"SANS.org","id":"ITEM-1","issued":{"date-parts":[["2019"]]},"title":"Information Security Policy Templates","type":"webpage"},"uris":["http://www.mendeley.com/documents/?uuid=35c52a81-38e9-4707-9d82-87ad8bd374d9"]}],"mendeley":{"formattedCitation":"[17]","plainTextFormattedCitation":"[17]","previouslyFormattedCitation":"[17]"},"properties":{"noteIndex":0},"schema":"https://github.com/citation-style-language/schema/raw/master/csl-citation.json"}</w:instrText>
      </w:r>
      <w:r w:rsidR="006A46C5">
        <w:rPr>
          <w:sz w:val="22"/>
          <w:szCs w:val="22"/>
        </w:rPr>
        <w:fldChar w:fldCharType="separate"/>
      </w:r>
      <w:r w:rsidR="006A46C5" w:rsidRPr="006A46C5">
        <w:rPr>
          <w:noProof/>
          <w:sz w:val="22"/>
          <w:szCs w:val="22"/>
        </w:rPr>
        <w:t>[17]</w:t>
      </w:r>
      <w:r w:rsidR="006A46C5">
        <w:rPr>
          <w:sz w:val="22"/>
          <w:szCs w:val="22"/>
        </w:rPr>
        <w:fldChar w:fldCharType="end"/>
      </w:r>
      <w:r w:rsidR="001B1ECC">
        <w:rPr>
          <w:sz w:val="22"/>
          <w:szCs w:val="22"/>
        </w:rPr>
        <w:t xml:space="preserve">. As specified in the </w:t>
      </w:r>
      <w:r w:rsidR="005F142E">
        <w:rPr>
          <w:sz w:val="22"/>
          <w:szCs w:val="22"/>
        </w:rPr>
        <w:t>specification</w:t>
      </w:r>
      <w:r w:rsidR="001B1ECC">
        <w:rPr>
          <w:sz w:val="22"/>
          <w:szCs w:val="22"/>
        </w:rPr>
        <w:t xml:space="preserve">, the need for </w:t>
      </w:r>
      <w:r w:rsidR="009374C7">
        <w:rPr>
          <w:sz w:val="22"/>
          <w:szCs w:val="22"/>
        </w:rPr>
        <w:t>wireless capabilities</w:t>
      </w:r>
      <w:r w:rsidR="001B1ECC">
        <w:rPr>
          <w:sz w:val="22"/>
          <w:szCs w:val="22"/>
        </w:rPr>
        <w:t xml:space="preserve"> comes with its own problems, off which can be mitigated by following the correct standards and guidelines such as those present in NIST SP 800-97</w:t>
      </w:r>
      <w:r w:rsidR="005421F6">
        <w:rPr>
          <w:sz w:val="22"/>
          <w:szCs w:val="22"/>
        </w:rPr>
        <w:fldChar w:fldCharType="begin" w:fldLock="1"/>
      </w:r>
      <w:r w:rsidR="006A46C5">
        <w:rPr>
          <w:sz w:val="22"/>
          <w:szCs w:val="22"/>
        </w:rPr>
        <w:instrText>ADDIN CSL_CITATION {"citationItems":[{"id":"ITEM-1","itemData":{"abstract":"This publication seeks to assist organizations in u nderstanding, selecting, and implementing technologies based on Institute of Electrical and Electronics Engineers (IEEE) 802.11i, part of the IEEE 802.11 family of wireless networking standards. 2 The document explains at length the security features and capabilities associated with IEEE 802.11i through its framework for Robust Security Networks (RSN), and provides extensive guidance on the planning and deployment of RSNs. The document also discusses previous IEEE 802.11 security measures and their shortcomings.","author":[{"dropping-particle":"","family":"Frankel","given":"Sheila","non-dropping-particle":"","parse-names":false,"suffix":""},{"dropping-particle":"","family":"Eydt","given":"Bernard","non-dropping-particle":"","parse-names":false,"suffix":""},{"dropping-particle":"","family":"Owens","given":"Les","non-dropping-particle":"","parse-names":false,"suffix":""},{"dropping-particle":"","family":"Scarfone","given":"Karen","non-dropping-particle":"","parse-names":false,"suffix":""}],"container-title":"Nist Special Publication","id":"ITEM-1","issued":{"date-parts":[["2007"]]},"page":"162","title":"800-97 Establishing Wireless Robust Security Networks :","type":"article-journal"},"uris":["http://www.mendeley.com/documents/?uuid=3cce8e2b-35a1-4baf-a0bc-646c63433b8e"]}],"mendeley":{"formattedCitation":"[18]","plainTextFormattedCitation":"[18]","previouslyFormattedCitation":"[18]"},"properties":{"noteIndex":0},"schema":"https://github.com/citation-style-language/schema/raw/master/csl-citation.json"}</w:instrText>
      </w:r>
      <w:r w:rsidR="005421F6">
        <w:rPr>
          <w:sz w:val="22"/>
          <w:szCs w:val="22"/>
        </w:rPr>
        <w:fldChar w:fldCharType="separate"/>
      </w:r>
      <w:r w:rsidR="006A46C5" w:rsidRPr="006A46C5">
        <w:rPr>
          <w:noProof/>
          <w:sz w:val="22"/>
          <w:szCs w:val="22"/>
        </w:rPr>
        <w:t>[18]</w:t>
      </w:r>
      <w:r w:rsidR="005421F6">
        <w:rPr>
          <w:sz w:val="22"/>
          <w:szCs w:val="22"/>
        </w:rPr>
        <w:fldChar w:fldCharType="end"/>
      </w:r>
      <w:r w:rsidR="001B1ECC">
        <w:rPr>
          <w:sz w:val="22"/>
          <w:szCs w:val="22"/>
        </w:rPr>
        <w:t xml:space="preserve"> &amp; 153</w:t>
      </w:r>
      <w:r w:rsidR="005421F6">
        <w:rPr>
          <w:sz w:val="22"/>
          <w:szCs w:val="22"/>
        </w:rPr>
        <w:fldChar w:fldCharType="begin" w:fldLock="1"/>
      </w:r>
      <w:r w:rsidR="006A46C5">
        <w:rPr>
          <w:sz w:val="22"/>
          <w:szCs w:val="22"/>
        </w:rPr>
        <w:instrText>ADDIN CSL_CITATION {"citationItems":[{"id":"ITEM-1","itemData":{"abstract":"A wireless local area network (WLAN) is a group of wireless networking devices within a limited geographic area, such as an office building, that exchange data through radio communications. The security of each WLAN is heavily dependent on how well each WLAN component?including client devices, access points (AP), and wireless switches?is secured throughout the WLAN lifecycle, from initial WLAN design and deployment through ongoing maintenance and monitoring. The purpose of this publication is to help organizations improve their WLAN security by providing recommendations for WLAN security configuration and monitoring. This publication supplements other NIST publications by consolidating and strengthening their key recommendations.","author":[{"dropping-particle":"","family":"Souppaya","given":"M","non-dropping-particle":"","parse-names":false,"suffix":""},{"dropping-particle":"","family":"Kent","given":"KA","non-dropping-particle":"","parse-names":false,"suffix":""}],"id":"ITEM-1","issued":{"date-parts":[["2012"]]},"title":"Guidelines for Securing Wireless Local Area Networks (WLANs)","type":"article-journal"},"uris":["http://www.mendeley.com/documents/?uuid=71449d9f-5dd2-4d67-9eac-eaed7839caaa"]}],"mendeley":{"formattedCitation":"[19]","plainTextFormattedCitation":"[19]","previouslyFormattedCitation":"[19]"},"properties":{"noteIndex":0},"schema":"https://github.com/citation-style-language/schema/raw/master/csl-citation.json"}</w:instrText>
      </w:r>
      <w:r w:rsidR="005421F6">
        <w:rPr>
          <w:sz w:val="22"/>
          <w:szCs w:val="22"/>
        </w:rPr>
        <w:fldChar w:fldCharType="separate"/>
      </w:r>
      <w:r w:rsidR="006A46C5" w:rsidRPr="006A46C5">
        <w:rPr>
          <w:noProof/>
          <w:sz w:val="22"/>
          <w:szCs w:val="22"/>
        </w:rPr>
        <w:t>[19]</w:t>
      </w:r>
      <w:r w:rsidR="005421F6">
        <w:rPr>
          <w:sz w:val="22"/>
          <w:szCs w:val="22"/>
        </w:rPr>
        <w:fldChar w:fldCharType="end"/>
      </w:r>
      <w:r w:rsidR="001B1ECC">
        <w:rPr>
          <w:sz w:val="22"/>
          <w:szCs w:val="22"/>
        </w:rPr>
        <w:t>.</w:t>
      </w:r>
      <w:r w:rsidR="009374C7">
        <w:rPr>
          <w:sz w:val="22"/>
          <w:szCs w:val="22"/>
        </w:rPr>
        <w:t xml:space="preserve"> </w:t>
      </w:r>
      <w:r w:rsidR="00AA5288">
        <w:rPr>
          <w:sz w:val="22"/>
          <w:szCs w:val="22"/>
        </w:rPr>
        <w:t xml:space="preserve">The act that employees may begin their own device (BYOD) means that further security measures will be needed either to secure the network, or more likely secure or restrict the devices that access said network. </w:t>
      </w:r>
      <w:r w:rsidR="009374C7">
        <w:rPr>
          <w:sz w:val="22"/>
          <w:szCs w:val="22"/>
        </w:rPr>
        <w:t>The access controls needed for the systems will depend on how secure they need to be</w:t>
      </w:r>
      <w:r w:rsidR="005421F6">
        <w:rPr>
          <w:sz w:val="22"/>
          <w:szCs w:val="22"/>
        </w:rPr>
        <w:t xml:space="preserve"> and who is allowed to access them</w:t>
      </w:r>
      <w:r w:rsidR="009374C7">
        <w:rPr>
          <w:sz w:val="22"/>
          <w:szCs w:val="22"/>
        </w:rPr>
        <w:t xml:space="preserve">, for example those containing personal information on customers and employees will need to be very secure, and as such the guidelines in NIST SP 800-53 Rev </w:t>
      </w:r>
      <w:r w:rsidR="005421F6">
        <w:rPr>
          <w:sz w:val="22"/>
          <w:szCs w:val="22"/>
        </w:rPr>
        <w:t>5</w:t>
      </w:r>
      <w:r w:rsidR="005421F6">
        <w:rPr>
          <w:sz w:val="22"/>
          <w:szCs w:val="22"/>
        </w:rPr>
        <w:fldChar w:fldCharType="begin" w:fldLock="1"/>
      </w:r>
      <w:r w:rsidR="006A46C5">
        <w:rPr>
          <w:sz w:val="22"/>
          <w:szCs w:val="22"/>
        </w:rPr>
        <w:instrText>ADDIN CSL_CITATION {"citationItems":[{"id":"ITEM-1","itemData":{"abstract":"This publication provides a set of procedures for conducting assessments of security controls and privacy controls employed within federal information systems and organizations. The assessment procedures, executed at various phases of the system development life cycle, are consistent with the security and privacy controls in NIST Special Publication 800-53, Revision 4. The procedures are customizable and can be easily tailored to provide organizations with the needed flexibility to conduct security control assessments and privacy control assessments that support organizational risk management processes and that are aligned with the stated risk tolerance of the organization. Information on building effective security assessment plans and privacy assessment plans is also provided along with guidance on analyzing assessment results.","author":[{"dropping-particle":"","family":"NIST","given":"","non-dropping-particle":"","parse-names":false,"suffix":""},{"dropping-particle":"","family":"Joint Task Force","given":"","non-dropping-particle":"","parse-names":false,"suffix":""}],"container-title":"National Institute of Standards and Technology","id":"ITEM-1","issue":"5","issued":{"date-parts":[["2017"]]},"page":"494","title":"Draft NIST Special Publication 800-53, Revision 5 - Security and Privacy Controls for Information Systems and Organizations","type":"article-journal","volume":"5"},"uris":["http://www.mendeley.com/documents/?uuid=5567ecf8-bfdc-4685-a6b4-60f2e22b030b"]}],"mendeley":{"formattedCitation":"[20]","plainTextFormattedCitation":"[20]","previouslyFormattedCitation":"[20]"},"properties":{"noteIndex":0},"schema":"https://github.com/citation-style-language/schema/raw/master/csl-citation.json"}</w:instrText>
      </w:r>
      <w:r w:rsidR="005421F6">
        <w:rPr>
          <w:sz w:val="22"/>
          <w:szCs w:val="22"/>
        </w:rPr>
        <w:fldChar w:fldCharType="separate"/>
      </w:r>
      <w:r w:rsidR="006A46C5" w:rsidRPr="006A46C5">
        <w:rPr>
          <w:noProof/>
          <w:sz w:val="22"/>
          <w:szCs w:val="22"/>
        </w:rPr>
        <w:t>[20]</w:t>
      </w:r>
      <w:r w:rsidR="005421F6">
        <w:rPr>
          <w:sz w:val="22"/>
          <w:szCs w:val="22"/>
        </w:rPr>
        <w:fldChar w:fldCharType="end"/>
      </w:r>
      <w:r w:rsidR="005421F6">
        <w:rPr>
          <w:sz w:val="22"/>
          <w:szCs w:val="22"/>
        </w:rPr>
        <w:t xml:space="preserve"> (currently draft</w:t>
      </w:r>
      <w:r w:rsidR="005E14D2">
        <w:rPr>
          <w:sz w:val="22"/>
          <w:szCs w:val="22"/>
        </w:rPr>
        <w:t xml:space="preserve">, in publication schedule </w:t>
      </w:r>
      <w:r w:rsidR="005421F6">
        <w:rPr>
          <w:sz w:val="22"/>
          <w:szCs w:val="22"/>
        </w:rPr>
        <w:t>)</w:t>
      </w:r>
      <w:r w:rsidR="009374C7">
        <w:rPr>
          <w:sz w:val="22"/>
          <w:szCs w:val="22"/>
        </w:rPr>
        <w:t xml:space="preserve"> will suffice, as a whole or basis, as it is designed for federal systems as well as assets accessing them</w:t>
      </w:r>
      <w:r w:rsidR="00EA7246">
        <w:rPr>
          <w:sz w:val="22"/>
          <w:szCs w:val="22"/>
        </w:rPr>
        <w:t xml:space="preserve"> meaning it should be more than sufficient</w:t>
      </w:r>
      <w:r w:rsidR="009374C7">
        <w:rPr>
          <w:sz w:val="22"/>
          <w:szCs w:val="22"/>
        </w:rPr>
        <w:t xml:space="preserve">. On the other </w:t>
      </w:r>
      <w:r w:rsidR="00D92886">
        <w:rPr>
          <w:sz w:val="22"/>
          <w:szCs w:val="22"/>
        </w:rPr>
        <w:t>hand,</w:t>
      </w:r>
      <w:r w:rsidR="009374C7">
        <w:rPr>
          <w:sz w:val="22"/>
          <w:szCs w:val="22"/>
        </w:rPr>
        <w:t xml:space="preserve"> for less-secure systems the access-control </w:t>
      </w:r>
      <w:r w:rsidR="004C4562">
        <w:rPr>
          <w:sz w:val="22"/>
          <w:szCs w:val="22"/>
        </w:rPr>
        <w:t>guidelines present in ITIL and access governance present in COBIT</w:t>
      </w:r>
      <w:r w:rsidR="00AA5288">
        <w:rPr>
          <w:sz w:val="22"/>
          <w:szCs w:val="22"/>
        </w:rPr>
        <w:t xml:space="preserve"> will be more than sufficient, although using both</w:t>
      </w:r>
      <w:r w:rsidR="002120D0">
        <w:rPr>
          <w:sz w:val="22"/>
          <w:szCs w:val="22"/>
        </w:rPr>
        <w:t xml:space="preserve"> and the latter</w:t>
      </w:r>
      <w:r w:rsidR="00AA5288">
        <w:rPr>
          <w:sz w:val="22"/>
          <w:szCs w:val="22"/>
        </w:rPr>
        <w:t xml:space="preserve"> as a basis </w:t>
      </w:r>
      <w:r w:rsidR="002B5178">
        <w:rPr>
          <w:sz w:val="22"/>
          <w:szCs w:val="22"/>
        </w:rPr>
        <w:t>for the resulting policy</w:t>
      </w:r>
      <w:r w:rsidR="002120D0">
        <w:rPr>
          <w:sz w:val="22"/>
          <w:szCs w:val="22"/>
        </w:rPr>
        <w:t xml:space="preserve"> would be preferable</w:t>
      </w:r>
      <w:r w:rsidR="002B5178">
        <w:rPr>
          <w:sz w:val="22"/>
          <w:szCs w:val="22"/>
        </w:rPr>
        <w:t>.</w:t>
      </w:r>
      <w:r w:rsidR="0007027F">
        <w:rPr>
          <w:sz w:val="22"/>
          <w:szCs w:val="22"/>
        </w:rPr>
        <w:t xml:space="preserve"> With regard to wireless access to the network, it would have to be restricted to employees and depending on both the employee’s clearance and device used to access the network via the use of an authentication server with guests such as customers using a separate guest </w:t>
      </w:r>
      <w:r w:rsidR="002214CD">
        <w:rPr>
          <w:sz w:val="22"/>
          <w:szCs w:val="22"/>
        </w:rPr>
        <w:t>network and</w:t>
      </w:r>
      <w:r w:rsidR="0007027F">
        <w:rPr>
          <w:sz w:val="22"/>
          <w:szCs w:val="22"/>
        </w:rPr>
        <w:t xml:space="preserve"> depending on both the employee.</w:t>
      </w:r>
      <w:r w:rsidR="002120D0">
        <w:rPr>
          <w:sz w:val="22"/>
          <w:szCs w:val="22"/>
        </w:rPr>
        <w:br/>
      </w:r>
      <w:r w:rsidR="006A43D6">
        <w:rPr>
          <w:sz w:val="22"/>
          <w:szCs w:val="22"/>
        </w:rPr>
        <w:t>A significant section of this policy would be risk management, be it internally or externally. All of the frameworks discussed previously have their own approach to risk management and frameworks, some sharing the same approaches to risk. For a more precise approach NIST SP-800-37 revision 2 would be useful as an additional approach to incorporate into the policy.</w:t>
      </w:r>
      <w:r w:rsidR="007B15A0">
        <w:rPr>
          <w:sz w:val="22"/>
          <w:szCs w:val="22"/>
        </w:rPr>
        <w:t xml:space="preserve"> While not technically risk management, rather risk recovery should also be established here, as a </w:t>
      </w:r>
      <w:r w:rsidR="007B15A0">
        <w:rPr>
          <w:i/>
          <w:sz w:val="22"/>
          <w:szCs w:val="22"/>
        </w:rPr>
        <w:t xml:space="preserve">responsive </w:t>
      </w:r>
      <w:r w:rsidR="007B15A0">
        <w:rPr>
          <w:sz w:val="22"/>
          <w:szCs w:val="22"/>
        </w:rPr>
        <w:t xml:space="preserve">approach to any risks that may happen such as natural disasters, digital disasters, attacks, etc. Luckily COBIT &amp; ITIL both have aspects of their approach which cover or assist in the </w:t>
      </w:r>
      <w:r>
        <w:rPr>
          <w:sz w:val="22"/>
          <w:szCs w:val="22"/>
        </w:rPr>
        <w:t>design</w:t>
      </w:r>
      <w:r w:rsidR="007B15A0">
        <w:rPr>
          <w:sz w:val="22"/>
          <w:szCs w:val="22"/>
        </w:rPr>
        <w:t xml:space="preserve"> of a disaster recovery plan.</w:t>
      </w:r>
      <w:r>
        <w:rPr>
          <w:sz w:val="22"/>
          <w:szCs w:val="22"/>
        </w:rPr>
        <w:t xml:space="preserve"> </w:t>
      </w:r>
      <w:r w:rsidR="006A43D6">
        <w:rPr>
          <w:sz w:val="22"/>
          <w:szCs w:val="22"/>
        </w:rPr>
        <w:br/>
      </w:r>
      <w:r w:rsidR="002120D0">
        <w:rPr>
          <w:sz w:val="22"/>
          <w:szCs w:val="22"/>
        </w:rPr>
        <w:t xml:space="preserve">Now that the policy has been created in its draft form, it must go through the relevant departments such as HR and legal to make sure it is compliant with existing policies, legal and otherwise. </w:t>
      </w:r>
      <w:r w:rsidR="00455F0C">
        <w:rPr>
          <w:sz w:val="22"/>
          <w:szCs w:val="22"/>
        </w:rPr>
        <w:t xml:space="preserve">Should it be successful, then it must be passed to employee’s relevant and </w:t>
      </w:r>
      <w:r>
        <w:rPr>
          <w:sz w:val="22"/>
          <w:szCs w:val="22"/>
        </w:rPr>
        <w:t>the terms and conditions</w:t>
      </w:r>
      <w:r w:rsidR="00455F0C">
        <w:rPr>
          <w:sz w:val="22"/>
          <w:szCs w:val="22"/>
        </w:rPr>
        <w:t xml:space="preserve"> be accepted by said employees so that the company has written or digital proof that said employee is aware of the policy.</w:t>
      </w:r>
      <w:r w:rsidR="00D92886">
        <w:rPr>
          <w:sz w:val="22"/>
          <w:szCs w:val="22"/>
        </w:rPr>
        <w:t xml:space="preserve"> </w:t>
      </w:r>
      <w:r w:rsidR="00EA7246">
        <w:rPr>
          <w:sz w:val="22"/>
          <w:szCs w:val="22"/>
        </w:rPr>
        <w:t>Therefore,</w:t>
      </w:r>
      <w:r w:rsidR="00D92886">
        <w:rPr>
          <w:sz w:val="22"/>
          <w:szCs w:val="22"/>
        </w:rPr>
        <w:t xml:space="preserve"> access to the network should be premeditated by an agreement</w:t>
      </w:r>
      <w:r w:rsidR="00EA7246">
        <w:rPr>
          <w:sz w:val="22"/>
          <w:szCs w:val="22"/>
        </w:rPr>
        <w:t xml:space="preserve"> with the policy</w:t>
      </w:r>
      <w:r w:rsidR="00D92886">
        <w:rPr>
          <w:sz w:val="22"/>
          <w:szCs w:val="22"/>
        </w:rPr>
        <w:t>, either when the employee is employed</w:t>
      </w:r>
      <w:r w:rsidR="00E979E7">
        <w:rPr>
          <w:sz w:val="22"/>
          <w:szCs w:val="22"/>
        </w:rPr>
        <w:t xml:space="preserve"> or after they sign an acceptance of the </w:t>
      </w:r>
      <w:r w:rsidR="00EA7246">
        <w:rPr>
          <w:sz w:val="22"/>
          <w:szCs w:val="22"/>
        </w:rPr>
        <w:t>policy after which access to the network is allowed, otherwise a highly restricted access would be allowed</w:t>
      </w:r>
      <w:r>
        <w:rPr>
          <w:sz w:val="22"/>
          <w:szCs w:val="22"/>
        </w:rPr>
        <w:t>, or action depending on the stance of the company such as renegotiation of contract or termination.</w:t>
      </w:r>
      <w:bookmarkStart w:id="1" w:name="_GoBack"/>
      <w:bookmarkEnd w:id="1"/>
    </w:p>
    <w:p w14:paraId="570960B3" w14:textId="23393A80" w:rsidR="00564A8F" w:rsidRPr="00564A8F" w:rsidRDefault="00564A8F" w:rsidP="006A43D6">
      <w:pPr>
        <w:pStyle w:val="Heading2"/>
        <w:numPr>
          <w:ilvl w:val="0"/>
          <w:numId w:val="4"/>
        </w:numPr>
        <w:jc w:val="center"/>
        <w:rPr>
          <w:rFonts w:ascii="Times New Roman" w:hAnsi="Times New Roman" w:cs="Times New Roman"/>
          <w:color w:val="auto"/>
          <w:sz w:val="28"/>
          <w:szCs w:val="28"/>
        </w:rPr>
      </w:pPr>
      <w:r w:rsidRPr="00564A8F">
        <w:rPr>
          <w:rFonts w:ascii="Times New Roman" w:hAnsi="Times New Roman" w:cs="Times New Roman"/>
          <w:color w:val="auto"/>
          <w:sz w:val="28"/>
          <w:szCs w:val="28"/>
        </w:rPr>
        <w:lastRenderedPageBreak/>
        <w:t>Bibliography</w:t>
      </w:r>
    </w:p>
    <w:p w14:paraId="3D537E38" w14:textId="471DFF3D" w:rsidR="00564A8F" w:rsidRDefault="00564A8F" w:rsidP="0051109C">
      <w:pPr>
        <w:spacing w:after="160" w:line="256" w:lineRule="auto"/>
        <w:jc w:val="both"/>
        <w:rPr>
          <w:sz w:val="22"/>
          <w:szCs w:val="22"/>
        </w:rPr>
      </w:pPr>
    </w:p>
    <w:p w14:paraId="1B169B70" w14:textId="77777777" w:rsidR="006506AB" w:rsidRPr="00FB2456" w:rsidRDefault="006506AB" w:rsidP="006506AB">
      <w:pPr>
        <w:widowControl w:val="0"/>
        <w:autoSpaceDE w:val="0"/>
        <w:autoSpaceDN w:val="0"/>
        <w:adjustRightInd w:val="0"/>
        <w:spacing w:after="160"/>
        <w:ind w:left="640" w:hanging="640"/>
        <w:rPr>
          <w:noProof/>
          <w:szCs w:val="24"/>
        </w:rPr>
      </w:pPr>
      <w:r w:rsidRPr="006A46C5">
        <w:fldChar w:fldCharType="begin" w:fldLock="1"/>
      </w:r>
      <w:r w:rsidRPr="006A46C5">
        <w:instrText xml:space="preserve">ADDIN Mendeley Bibliography CSL_BIBLIOGRAPHY </w:instrText>
      </w:r>
      <w:r w:rsidRPr="006A46C5">
        <w:fldChar w:fldCharType="separate"/>
      </w:r>
      <w:r w:rsidRPr="00FB2456">
        <w:rPr>
          <w:noProof/>
          <w:szCs w:val="24"/>
        </w:rPr>
        <w:t>[1]</w:t>
      </w:r>
      <w:r w:rsidRPr="00FB2456">
        <w:rPr>
          <w:noProof/>
          <w:szCs w:val="24"/>
        </w:rPr>
        <w:tab/>
        <w:t>National Institute of Standards and Technology, “Framework for Improving Critical Infrastructure Cybersecurity,” 2018.</w:t>
      </w:r>
    </w:p>
    <w:p w14:paraId="4D55DEA5" w14:textId="77777777" w:rsidR="006506AB" w:rsidRPr="00FB2456" w:rsidRDefault="006506AB" w:rsidP="006506AB">
      <w:pPr>
        <w:widowControl w:val="0"/>
        <w:autoSpaceDE w:val="0"/>
        <w:autoSpaceDN w:val="0"/>
        <w:adjustRightInd w:val="0"/>
        <w:spacing w:after="160"/>
        <w:ind w:left="640" w:hanging="640"/>
        <w:rPr>
          <w:noProof/>
          <w:szCs w:val="24"/>
        </w:rPr>
      </w:pPr>
      <w:r w:rsidRPr="00FB2456">
        <w:rPr>
          <w:noProof/>
          <w:szCs w:val="24"/>
        </w:rPr>
        <w:t>[2]</w:t>
      </w:r>
      <w:r w:rsidRPr="00FB2456">
        <w:rPr>
          <w:noProof/>
          <w:szCs w:val="24"/>
        </w:rPr>
        <w:tab/>
        <w:t xml:space="preserve">NIST.gov, “NIST Releases Version 1.1 of its Popular Cybersecurity Framework,” </w:t>
      </w:r>
      <w:r w:rsidRPr="00FB2456">
        <w:rPr>
          <w:i/>
          <w:iCs/>
          <w:noProof/>
          <w:szCs w:val="24"/>
        </w:rPr>
        <w:t>NIST</w:t>
      </w:r>
      <w:r w:rsidRPr="00FB2456">
        <w:rPr>
          <w:noProof/>
          <w:szCs w:val="24"/>
        </w:rPr>
        <w:t>, 2018. [Online]. Available: https://www.nist.gov/news-events/news/2018/04/nist-releases-version-11-its-popular-cybersecurity-framework.</w:t>
      </w:r>
    </w:p>
    <w:p w14:paraId="724B3A4D" w14:textId="77777777" w:rsidR="006506AB" w:rsidRPr="00FB2456" w:rsidRDefault="006506AB" w:rsidP="006506AB">
      <w:pPr>
        <w:widowControl w:val="0"/>
        <w:autoSpaceDE w:val="0"/>
        <w:autoSpaceDN w:val="0"/>
        <w:adjustRightInd w:val="0"/>
        <w:spacing w:after="160"/>
        <w:ind w:left="640" w:hanging="640"/>
        <w:rPr>
          <w:noProof/>
          <w:szCs w:val="24"/>
        </w:rPr>
      </w:pPr>
      <w:r w:rsidRPr="00FB2456">
        <w:rPr>
          <w:noProof/>
          <w:szCs w:val="24"/>
        </w:rPr>
        <w:t>[3]</w:t>
      </w:r>
      <w:r w:rsidRPr="00FB2456">
        <w:rPr>
          <w:noProof/>
          <w:szCs w:val="24"/>
        </w:rPr>
        <w:tab/>
        <w:t>NIST.gov, “Financial Services Sector Specific Cybersecurity ‘ Profile ’ NIST Cybersecurity Workshop,” 2017.</w:t>
      </w:r>
    </w:p>
    <w:p w14:paraId="4B089E6C" w14:textId="77777777" w:rsidR="006506AB" w:rsidRPr="00FB2456" w:rsidRDefault="006506AB" w:rsidP="006506AB">
      <w:pPr>
        <w:widowControl w:val="0"/>
        <w:autoSpaceDE w:val="0"/>
        <w:autoSpaceDN w:val="0"/>
        <w:adjustRightInd w:val="0"/>
        <w:spacing w:after="160"/>
        <w:ind w:left="640" w:hanging="640"/>
        <w:rPr>
          <w:noProof/>
          <w:szCs w:val="24"/>
        </w:rPr>
      </w:pPr>
      <w:r w:rsidRPr="00FB2456">
        <w:rPr>
          <w:noProof/>
          <w:szCs w:val="24"/>
        </w:rPr>
        <w:t>[4]</w:t>
      </w:r>
      <w:r w:rsidRPr="00FB2456">
        <w:rPr>
          <w:noProof/>
          <w:szCs w:val="24"/>
        </w:rPr>
        <w:tab/>
        <w:t xml:space="preserve">NIST.gov, “An Introduction to the Components of the Framework,” </w:t>
      </w:r>
      <w:r w:rsidRPr="00FB2456">
        <w:rPr>
          <w:i/>
          <w:iCs/>
          <w:noProof/>
          <w:szCs w:val="24"/>
        </w:rPr>
        <w:t>NIST Cybersecurity Framework</w:t>
      </w:r>
      <w:r w:rsidRPr="00FB2456">
        <w:rPr>
          <w:noProof/>
          <w:szCs w:val="24"/>
        </w:rPr>
        <w:t>, 2019. [Online]. Available: https://www.nist.gov/cyberframework/online-learning/components-framework.</w:t>
      </w:r>
    </w:p>
    <w:p w14:paraId="24B27837" w14:textId="77777777" w:rsidR="006506AB" w:rsidRPr="00FB2456" w:rsidRDefault="006506AB" w:rsidP="006506AB">
      <w:pPr>
        <w:widowControl w:val="0"/>
        <w:autoSpaceDE w:val="0"/>
        <w:autoSpaceDN w:val="0"/>
        <w:adjustRightInd w:val="0"/>
        <w:spacing w:after="160"/>
        <w:ind w:left="640" w:hanging="640"/>
        <w:rPr>
          <w:noProof/>
          <w:szCs w:val="24"/>
        </w:rPr>
      </w:pPr>
      <w:r w:rsidRPr="00FB2456">
        <w:rPr>
          <w:noProof/>
          <w:szCs w:val="24"/>
        </w:rPr>
        <w:t>[5]</w:t>
      </w:r>
      <w:r w:rsidRPr="00FB2456">
        <w:rPr>
          <w:noProof/>
          <w:szCs w:val="24"/>
        </w:rPr>
        <w:tab/>
        <w:t>CA Technolgies, ISACA, and R. Stroud, “Introduction to COBIT 5.” 2012.</w:t>
      </w:r>
    </w:p>
    <w:p w14:paraId="6DBAADCB" w14:textId="77777777" w:rsidR="006506AB" w:rsidRPr="00FB2456" w:rsidRDefault="006506AB" w:rsidP="006506AB">
      <w:pPr>
        <w:widowControl w:val="0"/>
        <w:autoSpaceDE w:val="0"/>
        <w:autoSpaceDN w:val="0"/>
        <w:adjustRightInd w:val="0"/>
        <w:spacing w:after="160"/>
        <w:ind w:left="640" w:hanging="640"/>
        <w:rPr>
          <w:noProof/>
          <w:szCs w:val="24"/>
        </w:rPr>
      </w:pPr>
      <w:r w:rsidRPr="00FB2456">
        <w:rPr>
          <w:noProof/>
          <w:szCs w:val="24"/>
        </w:rPr>
        <w:t>[6]</w:t>
      </w:r>
      <w:r w:rsidRPr="00FB2456">
        <w:rPr>
          <w:noProof/>
          <w:szCs w:val="24"/>
        </w:rPr>
        <w:tab/>
        <w:t>ISACA, “COBIT5-Compare-With-4.”</w:t>
      </w:r>
    </w:p>
    <w:p w14:paraId="2DAA4074" w14:textId="77777777" w:rsidR="006506AB" w:rsidRPr="00FB2456" w:rsidRDefault="006506AB" w:rsidP="006506AB">
      <w:pPr>
        <w:widowControl w:val="0"/>
        <w:autoSpaceDE w:val="0"/>
        <w:autoSpaceDN w:val="0"/>
        <w:adjustRightInd w:val="0"/>
        <w:spacing w:after="160"/>
        <w:ind w:left="640" w:hanging="640"/>
        <w:rPr>
          <w:noProof/>
          <w:szCs w:val="24"/>
        </w:rPr>
      </w:pPr>
      <w:r w:rsidRPr="00FB2456">
        <w:rPr>
          <w:noProof/>
          <w:szCs w:val="24"/>
        </w:rPr>
        <w:t>[7]</w:t>
      </w:r>
      <w:r w:rsidRPr="00FB2456">
        <w:rPr>
          <w:noProof/>
          <w:szCs w:val="24"/>
        </w:rPr>
        <w:tab/>
        <w:t>S. De Haes and D. Ph, “Understanding the Core Concepts in COBIT 5,” vol. 5, 2013.</w:t>
      </w:r>
    </w:p>
    <w:p w14:paraId="777777C8" w14:textId="77777777" w:rsidR="006506AB" w:rsidRPr="00FB2456" w:rsidRDefault="006506AB" w:rsidP="006506AB">
      <w:pPr>
        <w:widowControl w:val="0"/>
        <w:autoSpaceDE w:val="0"/>
        <w:autoSpaceDN w:val="0"/>
        <w:adjustRightInd w:val="0"/>
        <w:spacing w:after="160"/>
        <w:ind w:left="640" w:hanging="640"/>
        <w:rPr>
          <w:noProof/>
          <w:szCs w:val="24"/>
        </w:rPr>
      </w:pPr>
      <w:r w:rsidRPr="00FB2456">
        <w:rPr>
          <w:noProof/>
          <w:szCs w:val="24"/>
        </w:rPr>
        <w:t>[8]</w:t>
      </w:r>
      <w:r w:rsidRPr="00FB2456">
        <w:rPr>
          <w:noProof/>
          <w:szCs w:val="24"/>
        </w:rPr>
        <w:tab/>
        <w:t xml:space="preserve">C. Wright, “Chapter 5 - Information Gathering,” in </w:t>
      </w:r>
      <w:r w:rsidRPr="00FB2456">
        <w:rPr>
          <w:i/>
          <w:iCs/>
          <w:noProof/>
          <w:szCs w:val="24"/>
        </w:rPr>
        <w:t>The IT Regulatory and Standards Compliance Handbook</w:t>
      </w:r>
      <w:r w:rsidRPr="00FB2456">
        <w:rPr>
          <w:noProof/>
          <w:szCs w:val="24"/>
        </w:rPr>
        <w:t>, C. Wright, Ed. Burlington: Syngress, 2008, pp. 73–114.</w:t>
      </w:r>
    </w:p>
    <w:p w14:paraId="3D3B2519" w14:textId="77777777" w:rsidR="006506AB" w:rsidRPr="00FB2456" w:rsidRDefault="006506AB" w:rsidP="006506AB">
      <w:pPr>
        <w:widowControl w:val="0"/>
        <w:autoSpaceDE w:val="0"/>
        <w:autoSpaceDN w:val="0"/>
        <w:adjustRightInd w:val="0"/>
        <w:spacing w:after="160"/>
        <w:ind w:left="640" w:hanging="640"/>
        <w:rPr>
          <w:noProof/>
          <w:szCs w:val="24"/>
        </w:rPr>
      </w:pPr>
      <w:r w:rsidRPr="00FB2456">
        <w:rPr>
          <w:noProof/>
          <w:szCs w:val="24"/>
        </w:rPr>
        <w:t>[9]</w:t>
      </w:r>
      <w:r w:rsidRPr="00FB2456">
        <w:rPr>
          <w:noProof/>
          <w:szCs w:val="24"/>
        </w:rPr>
        <w:tab/>
        <w:t xml:space="preserve">M. Thomas, CGEIT, CRISC, and E. LLC, “COBIT 5 and the NIST Cybersecurity Framework – A Simplified Framework Solution,” </w:t>
      </w:r>
      <w:r w:rsidRPr="00FB2456">
        <w:rPr>
          <w:i/>
          <w:iCs/>
          <w:noProof/>
          <w:szCs w:val="24"/>
        </w:rPr>
        <w:t>ISACA Now Blog</w:t>
      </w:r>
      <w:r w:rsidRPr="00FB2456">
        <w:rPr>
          <w:noProof/>
          <w:szCs w:val="24"/>
        </w:rPr>
        <w:t>, 2018. [Online]. Available: https://www.isaca.org/Knowledge-Center/Blog/Lists/Posts/Post.aspx?ID=808.</w:t>
      </w:r>
    </w:p>
    <w:p w14:paraId="210B0A39" w14:textId="77777777" w:rsidR="006506AB" w:rsidRPr="00FB2456" w:rsidRDefault="006506AB" w:rsidP="006506AB">
      <w:pPr>
        <w:widowControl w:val="0"/>
        <w:autoSpaceDE w:val="0"/>
        <w:autoSpaceDN w:val="0"/>
        <w:adjustRightInd w:val="0"/>
        <w:spacing w:after="160"/>
        <w:ind w:left="640" w:hanging="640"/>
        <w:rPr>
          <w:noProof/>
          <w:szCs w:val="24"/>
        </w:rPr>
      </w:pPr>
      <w:r w:rsidRPr="00FB2456">
        <w:rPr>
          <w:noProof/>
          <w:szCs w:val="24"/>
        </w:rPr>
        <w:t>[10]</w:t>
      </w:r>
      <w:r w:rsidRPr="00FB2456">
        <w:rPr>
          <w:noProof/>
          <w:szCs w:val="24"/>
        </w:rPr>
        <w:tab/>
        <w:t>M. Briefing and F. Itgi, “Aligning CobiT 4 . 1 , ITIL V3 and ISO / IEC 27002 for Business Benefit.”</w:t>
      </w:r>
    </w:p>
    <w:p w14:paraId="3F93F3E4" w14:textId="77777777" w:rsidR="006506AB" w:rsidRPr="00FB2456" w:rsidRDefault="006506AB" w:rsidP="006506AB">
      <w:pPr>
        <w:widowControl w:val="0"/>
        <w:autoSpaceDE w:val="0"/>
        <w:autoSpaceDN w:val="0"/>
        <w:adjustRightInd w:val="0"/>
        <w:spacing w:after="160"/>
        <w:ind w:left="640" w:hanging="640"/>
        <w:rPr>
          <w:noProof/>
          <w:szCs w:val="24"/>
        </w:rPr>
      </w:pPr>
      <w:r w:rsidRPr="00FB2456">
        <w:rPr>
          <w:noProof/>
          <w:szCs w:val="24"/>
        </w:rPr>
        <w:t>[11]</w:t>
      </w:r>
      <w:r w:rsidRPr="00FB2456">
        <w:rPr>
          <w:noProof/>
          <w:szCs w:val="24"/>
        </w:rPr>
        <w:tab/>
        <w:t xml:space="preserve">J. Greene, “The Essential Guide to ITIL Framework and Processes,” </w:t>
      </w:r>
      <w:r w:rsidRPr="00FB2456">
        <w:rPr>
          <w:i/>
          <w:iCs/>
          <w:noProof/>
          <w:szCs w:val="24"/>
        </w:rPr>
        <w:t>Charwell</w:t>
      </w:r>
      <w:r w:rsidRPr="00FB2456">
        <w:rPr>
          <w:noProof/>
          <w:szCs w:val="24"/>
        </w:rPr>
        <w:t>, 2018. [Online]. Available: https://www.cherwell.com/library/essential-guides/essential-guide-to-itil-framework-and-processes/.</w:t>
      </w:r>
    </w:p>
    <w:p w14:paraId="2A003ABC" w14:textId="77777777" w:rsidR="006506AB" w:rsidRPr="00FB2456" w:rsidRDefault="006506AB" w:rsidP="006506AB">
      <w:pPr>
        <w:widowControl w:val="0"/>
        <w:autoSpaceDE w:val="0"/>
        <w:autoSpaceDN w:val="0"/>
        <w:adjustRightInd w:val="0"/>
        <w:spacing w:after="160"/>
        <w:ind w:left="640" w:hanging="640"/>
        <w:rPr>
          <w:noProof/>
          <w:szCs w:val="24"/>
        </w:rPr>
      </w:pPr>
      <w:r w:rsidRPr="00FB2456">
        <w:rPr>
          <w:noProof/>
          <w:szCs w:val="24"/>
        </w:rPr>
        <w:t>[12]</w:t>
      </w:r>
      <w:r w:rsidRPr="00FB2456">
        <w:rPr>
          <w:noProof/>
          <w:szCs w:val="24"/>
        </w:rPr>
        <w:tab/>
        <w:t xml:space="preserve">Axelos, </w:t>
      </w:r>
      <w:r w:rsidRPr="00FB2456">
        <w:rPr>
          <w:i/>
          <w:iCs/>
          <w:noProof/>
          <w:szCs w:val="24"/>
        </w:rPr>
        <w:t>ITIL Foundation 4 edition</w:t>
      </w:r>
      <w:r w:rsidRPr="00FB2456">
        <w:rPr>
          <w:noProof/>
          <w:szCs w:val="24"/>
        </w:rPr>
        <w:t>, 4th ed. 2019.</w:t>
      </w:r>
    </w:p>
    <w:p w14:paraId="65DA0E05" w14:textId="77777777" w:rsidR="006506AB" w:rsidRPr="00FB2456" w:rsidRDefault="006506AB" w:rsidP="006506AB">
      <w:pPr>
        <w:widowControl w:val="0"/>
        <w:autoSpaceDE w:val="0"/>
        <w:autoSpaceDN w:val="0"/>
        <w:adjustRightInd w:val="0"/>
        <w:spacing w:after="160"/>
        <w:ind w:left="640" w:hanging="640"/>
        <w:rPr>
          <w:noProof/>
          <w:szCs w:val="24"/>
        </w:rPr>
      </w:pPr>
      <w:r w:rsidRPr="00FB2456">
        <w:rPr>
          <w:noProof/>
          <w:szCs w:val="24"/>
        </w:rPr>
        <w:t>[13]</w:t>
      </w:r>
      <w:r w:rsidRPr="00FB2456">
        <w:rPr>
          <w:noProof/>
          <w:szCs w:val="24"/>
        </w:rPr>
        <w:tab/>
        <w:t xml:space="preserve">V. Leinov, “COBIT vs ITIL: a real-life example of what these two can do,” </w:t>
      </w:r>
      <w:r w:rsidRPr="00FB2456">
        <w:rPr>
          <w:i/>
          <w:iCs/>
          <w:noProof/>
          <w:szCs w:val="24"/>
        </w:rPr>
        <w:t>Sciencesoft</w:t>
      </w:r>
      <w:r w:rsidRPr="00FB2456">
        <w:rPr>
          <w:noProof/>
          <w:szCs w:val="24"/>
        </w:rPr>
        <w:t>, 2018. [Online]. Available: https://www.scnsoft.com/blog/cobit-vs-itil.</w:t>
      </w:r>
    </w:p>
    <w:p w14:paraId="7958B9D8" w14:textId="77777777" w:rsidR="006506AB" w:rsidRPr="00FB2456" w:rsidRDefault="006506AB" w:rsidP="006506AB">
      <w:pPr>
        <w:widowControl w:val="0"/>
        <w:autoSpaceDE w:val="0"/>
        <w:autoSpaceDN w:val="0"/>
        <w:adjustRightInd w:val="0"/>
        <w:spacing w:after="160"/>
        <w:ind w:left="640" w:hanging="640"/>
        <w:rPr>
          <w:noProof/>
          <w:szCs w:val="24"/>
        </w:rPr>
      </w:pPr>
      <w:r w:rsidRPr="00FB2456">
        <w:rPr>
          <w:noProof/>
          <w:szCs w:val="24"/>
        </w:rPr>
        <w:t>[14]</w:t>
      </w:r>
      <w:r w:rsidRPr="00FB2456">
        <w:rPr>
          <w:noProof/>
          <w:szCs w:val="24"/>
        </w:rPr>
        <w:tab/>
        <w:t xml:space="preserve">A. Chopra and M. Chaudberry, </w:t>
      </w:r>
      <w:r w:rsidRPr="00FB2456">
        <w:rPr>
          <w:i/>
          <w:iCs/>
          <w:noProof/>
          <w:szCs w:val="24"/>
        </w:rPr>
        <w:t>Implementing an Information Security Management System using ISO 27001</w:t>
      </w:r>
      <w:r w:rsidRPr="00FB2456">
        <w:rPr>
          <w:noProof/>
          <w:szCs w:val="24"/>
        </w:rPr>
        <w:t>, 2nd ed. Apress, 2019.</w:t>
      </w:r>
    </w:p>
    <w:p w14:paraId="5BDE801D" w14:textId="77777777" w:rsidR="006506AB" w:rsidRPr="00FB2456" w:rsidRDefault="006506AB" w:rsidP="006506AB">
      <w:pPr>
        <w:widowControl w:val="0"/>
        <w:autoSpaceDE w:val="0"/>
        <w:autoSpaceDN w:val="0"/>
        <w:adjustRightInd w:val="0"/>
        <w:spacing w:after="160"/>
        <w:ind w:left="640" w:hanging="640"/>
        <w:rPr>
          <w:noProof/>
          <w:szCs w:val="24"/>
        </w:rPr>
      </w:pPr>
      <w:r w:rsidRPr="00FB2456">
        <w:rPr>
          <w:noProof/>
          <w:szCs w:val="24"/>
        </w:rPr>
        <w:t>[15]</w:t>
      </w:r>
      <w:r w:rsidRPr="00FB2456">
        <w:rPr>
          <w:noProof/>
          <w:szCs w:val="24"/>
        </w:rPr>
        <w:tab/>
        <w:t xml:space="preserve">P. Bowen, J. Hash, and M. Wilson, “Information Security Handbook: A Guide for Managers NIST Special Publication 800-100,” </w:t>
      </w:r>
      <w:r w:rsidRPr="00FB2456">
        <w:rPr>
          <w:i/>
          <w:iCs/>
          <w:noProof/>
          <w:szCs w:val="24"/>
        </w:rPr>
        <w:t>NIST Spec. Publ. 800-100</w:t>
      </w:r>
      <w:r w:rsidRPr="00FB2456">
        <w:rPr>
          <w:noProof/>
          <w:szCs w:val="24"/>
        </w:rPr>
        <w:t>, no. October, p. 137, 2006, doi: 10.6028/NIST.SP.800-100.</w:t>
      </w:r>
    </w:p>
    <w:p w14:paraId="01E5C110" w14:textId="77777777" w:rsidR="006506AB" w:rsidRPr="00FB2456" w:rsidRDefault="006506AB" w:rsidP="006506AB">
      <w:pPr>
        <w:widowControl w:val="0"/>
        <w:autoSpaceDE w:val="0"/>
        <w:autoSpaceDN w:val="0"/>
        <w:adjustRightInd w:val="0"/>
        <w:spacing w:after="160"/>
        <w:ind w:left="640" w:hanging="640"/>
        <w:rPr>
          <w:noProof/>
          <w:szCs w:val="24"/>
        </w:rPr>
      </w:pPr>
      <w:r w:rsidRPr="00FB2456">
        <w:rPr>
          <w:noProof/>
          <w:szCs w:val="24"/>
        </w:rPr>
        <w:t>[16]</w:t>
      </w:r>
      <w:r w:rsidRPr="00FB2456">
        <w:rPr>
          <w:noProof/>
          <w:szCs w:val="24"/>
        </w:rPr>
        <w:tab/>
        <w:t>J. Whitaker, “Structuring the Information Structuring the Security Information Organization Security Organization,” Dayblink, 2019.</w:t>
      </w:r>
    </w:p>
    <w:p w14:paraId="662C4532" w14:textId="77777777" w:rsidR="006506AB" w:rsidRPr="00FB2456" w:rsidRDefault="006506AB" w:rsidP="006506AB">
      <w:pPr>
        <w:widowControl w:val="0"/>
        <w:autoSpaceDE w:val="0"/>
        <w:autoSpaceDN w:val="0"/>
        <w:adjustRightInd w:val="0"/>
        <w:spacing w:after="160"/>
        <w:ind w:left="640" w:hanging="640"/>
        <w:rPr>
          <w:noProof/>
          <w:szCs w:val="24"/>
        </w:rPr>
      </w:pPr>
      <w:r w:rsidRPr="00FB2456">
        <w:rPr>
          <w:noProof/>
          <w:szCs w:val="24"/>
        </w:rPr>
        <w:t>[17]</w:t>
      </w:r>
      <w:r w:rsidRPr="00FB2456">
        <w:rPr>
          <w:noProof/>
          <w:szCs w:val="24"/>
        </w:rPr>
        <w:tab/>
        <w:t xml:space="preserve">SANS, “Information Security Policy Templates,” </w:t>
      </w:r>
      <w:r w:rsidRPr="00FB2456">
        <w:rPr>
          <w:i/>
          <w:iCs/>
          <w:noProof/>
          <w:szCs w:val="24"/>
        </w:rPr>
        <w:t>SANS.org</w:t>
      </w:r>
      <w:r w:rsidRPr="00FB2456">
        <w:rPr>
          <w:noProof/>
          <w:szCs w:val="24"/>
        </w:rPr>
        <w:t>, 2019. [Online]. Available: https://www.sans.org/security-resources/policies.</w:t>
      </w:r>
    </w:p>
    <w:p w14:paraId="4B678CD2" w14:textId="77777777" w:rsidR="006506AB" w:rsidRPr="00FB2456" w:rsidRDefault="006506AB" w:rsidP="006506AB">
      <w:pPr>
        <w:widowControl w:val="0"/>
        <w:autoSpaceDE w:val="0"/>
        <w:autoSpaceDN w:val="0"/>
        <w:adjustRightInd w:val="0"/>
        <w:spacing w:after="160"/>
        <w:ind w:left="640" w:hanging="640"/>
        <w:rPr>
          <w:noProof/>
          <w:szCs w:val="24"/>
        </w:rPr>
      </w:pPr>
      <w:r w:rsidRPr="00FB2456">
        <w:rPr>
          <w:noProof/>
          <w:szCs w:val="24"/>
        </w:rPr>
        <w:t>[18]</w:t>
      </w:r>
      <w:r w:rsidRPr="00FB2456">
        <w:rPr>
          <w:noProof/>
          <w:szCs w:val="24"/>
        </w:rPr>
        <w:tab/>
        <w:t xml:space="preserve">S. Frankel, B. Eydt, L. Owens, and K. Scarfone, “800-97 Establishing Wireless Robust Security Networks :,” </w:t>
      </w:r>
      <w:r w:rsidRPr="00FB2456">
        <w:rPr>
          <w:i/>
          <w:iCs/>
          <w:noProof/>
          <w:szCs w:val="24"/>
        </w:rPr>
        <w:t>Nist Spec. Publ.</w:t>
      </w:r>
      <w:r w:rsidRPr="00FB2456">
        <w:rPr>
          <w:noProof/>
          <w:szCs w:val="24"/>
        </w:rPr>
        <w:t>, p. 162, 2007.</w:t>
      </w:r>
    </w:p>
    <w:p w14:paraId="5E923638" w14:textId="77777777" w:rsidR="006506AB" w:rsidRPr="00FB2456" w:rsidRDefault="006506AB" w:rsidP="006506AB">
      <w:pPr>
        <w:widowControl w:val="0"/>
        <w:autoSpaceDE w:val="0"/>
        <w:autoSpaceDN w:val="0"/>
        <w:adjustRightInd w:val="0"/>
        <w:spacing w:after="160"/>
        <w:ind w:left="640" w:hanging="640"/>
        <w:rPr>
          <w:noProof/>
          <w:szCs w:val="24"/>
        </w:rPr>
      </w:pPr>
      <w:r w:rsidRPr="00FB2456">
        <w:rPr>
          <w:noProof/>
          <w:szCs w:val="24"/>
        </w:rPr>
        <w:t>[19]</w:t>
      </w:r>
      <w:r w:rsidRPr="00FB2456">
        <w:rPr>
          <w:noProof/>
          <w:szCs w:val="24"/>
        </w:rPr>
        <w:tab/>
        <w:t>M. Souppaya and K. Kent, “Guidelines for Securing Wireless Local Area Networks (WLANs),” 2012.</w:t>
      </w:r>
    </w:p>
    <w:p w14:paraId="2A36EBB2" w14:textId="77777777" w:rsidR="006506AB" w:rsidRPr="00FB2456" w:rsidRDefault="006506AB" w:rsidP="006506AB">
      <w:pPr>
        <w:widowControl w:val="0"/>
        <w:autoSpaceDE w:val="0"/>
        <w:autoSpaceDN w:val="0"/>
        <w:adjustRightInd w:val="0"/>
        <w:spacing w:after="160"/>
        <w:ind w:left="640" w:hanging="640"/>
        <w:rPr>
          <w:noProof/>
        </w:rPr>
      </w:pPr>
      <w:r w:rsidRPr="00FB2456">
        <w:rPr>
          <w:noProof/>
          <w:szCs w:val="24"/>
        </w:rPr>
        <w:t>[20]</w:t>
      </w:r>
      <w:r w:rsidRPr="00FB2456">
        <w:rPr>
          <w:noProof/>
          <w:szCs w:val="24"/>
        </w:rPr>
        <w:tab/>
        <w:t xml:space="preserve">NIST and Joint Task Force, “Draft NIST Special Publication 800-53, Revision 5 - Security and Privacy Controls for Information Systems and Organizations,” </w:t>
      </w:r>
      <w:r w:rsidRPr="00FB2456">
        <w:rPr>
          <w:i/>
          <w:iCs/>
          <w:noProof/>
          <w:szCs w:val="24"/>
        </w:rPr>
        <w:t>Natl. Inst. Stand. Technol.</w:t>
      </w:r>
      <w:r w:rsidRPr="00FB2456">
        <w:rPr>
          <w:noProof/>
          <w:szCs w:val="24"/>
        </w:rPr>
        <w:t>, vol. 5, no. 5, p. 494, 2017.</w:t>
      </w:r>
    </w:p>
    <w:p w14:paraId="64D59948" w14:textId="17FCCDFA" w:rsidR="00564A8F" w:rsidRPr="00FB3985" w:rsidRDefault="006506AB" w:rsidP="006506AB">
      <w:pPr>
        <w:spacing w:after="160" w:line="256" w:lineRule="auto"/>
        <w:jc w:val="both"/>
        <w:rPr>
          <w:sz w:val="22"/>
          <w:szCs w:val="22"/>
        </w:rPr>
      </w:pPr>
      <w:r w:rsidRPr="006A46C5">
        <w:fldChar w:fldCharType="end"/>
      </w:r>
    </w:p>
    <w:sectPr w:rsidR="00564A8F" w:rsidRPr="00FB39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A1E79"/>
    <w:multiLevelType w:val="hybridMultilevel"/>
    <w:tmpl w:val="9E40A8C2"/>
    <w:lvl w:ilvl="0" w:tplc="7652A50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6817CA"/>
    <w:multiLevelType w:val="hybridMultilevel"/>
    <w:tmpl w:val="299A523A"/>
    <w:lvl w:ilvl="0" w:tplc="EA30C38C">
      <w:start w:val="1"/>
      <w:numFmt w:val="upperRoman"/>
      <w:lvlText w:val="%1."/>
      <w:lvlJc w:val="left"/>
      <w:pPr>
        <w:ind w:left="1080" w:hanging="720"/>
      </w:pPr>
      <w:rPr>
        <w:rFonts w:ascii="Times New Roman" w:hAnsi="Times New Roman" w:cs="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4031CC"/>
    <w:multiLevelType w:val="hybridMultilevel"/>
    <w:tmpl w:val="D15A2794"/>
    <w:lvl w:ilvl="0" w:tplc="2244EA4A">
      <w:start w:val="1"/>
      <w:numFmt w:val="upperRoman"/>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5C4A98"/>
    <w:multiLevelType w:val="hybridMultilevel"/>
    <w:tmpl w:val="D45C44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F59"/>
    <w:rsid w:val="00001E61"/>
    <w:rsid w:val="00002F58"/>
    <w:rsid w:val="0000318D"/>
    <w:rsid w:val="00012842"/>
    <w:rsid w:val="0001353C"/>
    <w:rsid w:val="0001605F"/>
    <w:rsid w:val="00016481"/>
    <w:rsid w:val="00021A64"/>
    <w:rsid w:val="0002402B"/>
    <w:rsid w:val="000357DC"/>
    <w:rsid w:val="000436ED"/>
    <w:rsid w:val="000453C0"/>
    <w:rsid w:val="00055A8F"/>
    <w:rsid w:val="0007027F"/>
    <w:rsid w:val="00074327"/>
    <w:rsid w:val="0007770B"/>
    <w:rsid w:val="0008023C"/>
    <w:rsid w:val="0008551A"/>
    <w:rsid w:val="000A4F50"/>
    <w:rsid w:val="000C07DD"/>
    <w:rsid w:val="000D62B2"/>
    <w:rsid w:val="000E2931"/>
    <w:rsid w:val="000E4325"/>
    <w:rsid w:val="000E5061"/>
    <w:rsid w:val="000E790C"/>
    <w:rsid w:val="000F1F24"/>
    <w:rsid w:val="000F3DD9"/>
    <w:rsid w:val="000F3E4C"/>
    <w:rsid w:val="000F4B8F"/>
    <w:rsid w:val="00112187"/>
    <w:rsid w:val="0011398F"/>
    <w:rsid w:val="00136464"/>
    <w:rsid w:val="001430B1"/>
    <w:rsid w:val="001461D2"/>
    <w:rsid w:val="00152C78"/>
    <w:rsid w:val="00152F4F"/>
    <w:rsid w:val="001609A9"/>
    <w:rsid w:val="0016551D"/>
    <w:rsid w:val="001A2672"/>
    <w:rsid w:val="001A4440"/>
    <w:rsid w:val="001B1ECC"/>
    <w:rsid w:val="001D4FCC"/>
    <w:rsid w:val="001F0157"/>
    <w:rsid w:val="00202E38"/>
    <w:rsid w:val="002102F4"/>
    <w:rsid w:val="00210D63"/>
    <w:rsid w:val="002120D0"/>
    <w:rsid w:val="002214CD"/>
    <w:rsid w:val="00233126"/>
    <w:rsid w:val="00250D43"/>
    <w:rsid w:val="00281A2F"/>
    <w:rsid w:val="0028660A"/>
    <w:rsid w:val="00294104"/>
    <w:rsid w:val="00295E9F"/>
    <w:rsid w:val="002B01C8"/>
    <w:rsid w:val="002B5178"/>
    <w:rsid w:val="002E29CC"/>
    <w:rsid w:val="002E37CF"/>
    <w:rsid w:val="002E3F6D"/>
    <w:rsid w:val="00327961"/>
    <w:rsid w:val="00332D5A"/>
    <w:rsid w:val="00336269"/>
    <w:rsid w:val="00337119"/>
    <w:rsid w:val="00343747"/>
    <w:rsid w:val="0034572A"/>
    <w:rsid w:val="00345A5D"/>
    <w:rsid w:val="0035292D"/>
    <w:rsid w:val="00360F73"/>
    <w:rsid w:val="00361030"/>
    <w:rsid w:val="0036379D"/>
    <w:rsid w:val="00365616"/>
    <w:rsid w:val="00380D40"/>
    <w:rsid w:val="00386335"/>
    <w:rsid w:val="003867F9"/>
    <w:rsid w:val="003939A7"/>
    <w:rsid w:val="0039467B"/>
    <w:rsid w:val="003B0DF6"/>
    <w:rsid w:val="003C5E67"/>
    <w:rsid w:val="003C610F"/>
    <w:rsid w:val="00422BFD"/>
    <w:rsid w:val="00432B03"/>
    <w:rsid w:val="0044352A"/>
    <w:rsid w:val="00447155"/>
    <w:rsid w:val="00455F0C"/>
    <w:rsid w:val="004643B0"/>
    <w:rsid w:val="00467125"/>
    <w:rsid w:val="004746AF"/>
    <w:rsid w:val="004761E7"/>
    <w:rsid w:val="00480082"/>
    <w:rsid w:val="00484BE7"/>
    <w:rsid w:val="0048579A"/>
    <w:rsid w:val="00487778"/>
    <w:rsid w:val="004A06AD"/>
    <w:rsid w:val="004B459F"/>
    <w:rsid w:val="004C0D2D"/>
    <w:rsid w:val="004C36D6"/>
    <w:rsid w:val="004C4562"/>
    <w:rsid w:val="005026B6"/>
    <w:rsid w:val="00504082"/>
    <w:rsid w:val="0051109C"/>
    <w:rsid w:val="005421F6"/>
    <w:rsid w:val="00545001"/>
    <w:rsid w:val="0056258B"/>
    <w:rsid w:val="00564A8F"/>
    <w:rsid w:val="00564AEE"/>
    <w:rsid w:val="00566D02"/>
    <w:rsid w:val="005A313A"/>
    <w:rsid w:val="005A7E5B"/>
    <w:rsid w:val="005B56A2"/>
    <w:rsid w:val="005C0541"/>
    <w:rsid w:val="005E07F4"/>
    <w:rsid w:val="005E14D2"/>
    <w:rsid w:val="005E1DAD"/>
    <w:rsid w:val="005E563A"/>
    <w:rsid w:val="005E5AC4"/>
    <w:rsid w:val="005E6C90"/>
    <w:rsid w:val="005E73C4"/>
    <w:rsid w:val="005F142E"/>
    <w:rsid w:val="0060797E"/>
    <w:rsid w:val="006114D9"/>
    <w:rsid w:val="00613CD0"/>
    <w:rsid w:val="00627527"/>
    <w:rsid w:val="00633A16"/>
    <w:rsid w:val="0063579A"/>
    <w:rsid w:val="006505C8"/>
    <w:rsid w:val="006506AB"/>
    <w:rsid w:val="0065719D"/>
    <w:rsid w:val="00676C4C"/>
    <w:rsid w:val="00690AC3"/>
    <w:rsid w:val="006A43D6"/>
    <w:rsid w:val="006A46C5"/>
    <w:rsid w:val="006A6A64"/>
    <w:rsid w:val="006C51CA"/>
    <w:rsid w:val="006D39E9"/>
    <w:rsid w:val="006E19A9"/>
    <w:rsid w:val="006E30F8"/>
    <w:rsid w:val="006F054B"/>
    <w:rsid w:val="006F26DA"/>
    <w:rsid w:val="00701EAE"/>
    <w:rsid w:val="00721C43"/>
    <w:rsid w:val="00723CCB"/>
    <w:rsid w:val="0072400E"/>
    <w:rsid w:val="00730079"/>
    <w:rsid w:val="00732C45"/>
    <w:rsid w:val="007456D6"/>
    <w:rsid w:val="007727CF"/>
    <w:rsid w:val="00783531"/>
    <w:rsid w:val="007B15A0"/>
    <w:rsid w:val="007B49CC"/>
    <w:rsid w:val="007B556B"/>
    <w:rsid w:val="007C0324"/>
    <w:rsid w:val="007C3966"/>
    <w:rsid w:val="007D1029"/>
    <w:rsid w:val="007D7268"/>
    <w:rsid w:val="007D76D6"/>
    <w:rsid w:val="007F321D"/>
    <w:rsid w:val="007F7160"/>
    <w:rsid w:val="0081005B"/>
    <w:rsid w:val="008178CB"/>
    <w:rsid w:val="00833CEF"/>
    <w:rsid w:val="0083677E"/>
    <w:rsid w:val="00837619"/>
    <w:rsid w:val="008412F4"/>
    <w:rsid w:val="00853062"/>
    <w:rsid w:val="0086522C"/>
    <w:rsid w:val="008837D7"/>
    <w:rsid w:val="0089429D"/>
    <w:rsid w:val="0089486B"/>
    <w:rsid w:val="00897723"/>
    <w:rsid w:val="008E780F"/>
    <w:rsid w:val="008F4C01"/>
    <w:rsid w:val="00912B44"/>
    <w:rsid w:val="009374C7"/>
    <w:rsid w:val="009404F8"/>
    <w:rsid w:val="00947220"/>
    <w:rsid w:val="00953ECF"/>
    <w:rsid w:val="00955664"/>
    <w:rsid w:val="009559A1"/>
    <w:rsid w:val="00955B20"/>
    <w:rsid w:val="00980F31"/>
    <w:rsid w:val="0098670F"/>
    <w:rsid w:val="009875D9"/>
    <w:rsid w:val="00993748"/>
    <w:rsid w:val="009B659E"/>
    <w:rsid w:val="009C15A6"/>
    <w:rsid w:val="009D2AC4"/>
    <w:rsid w:val="00A00BED"/>
    <w:rsid w:val="00A010DE"/>
    <w:rsid w:val="00A14040"/>
    <w:rsid w:val="00A3264B"/>
    <w:rsid w:val="00A46D50"/>
    <w:rsid w:val="00A52899"/>
    <w:rsid w:val="00A555A4"/>
    <w:rsid w:val="00A60EB5"/>
    <w:rsid w:val="00A674B3"/>
    <w:rsid w:val="00A71369"/>
    <w:rsid w:val="00A872C8"/>
    <w:rsid w:val="00A91214"/>
    <w:rsid w:val="00A92F33"/>
    <w:rsid w:val="00A9701E"/>
    <w:rsid w:val="00AA4B21"/>
    <w:rsid w:val="00AA5288"/>
    <w:rsid w:val="00AA5C2B"/>
    <w:rsid w:val="00AA6E5D"/>
    <w:rsid w:val="00AA6F30"/>
    <w:rsid w:val="00AB2788"/>
    <w:rsid w:val="00AC2CC0"/>
    <w:rsid w:val="00AC4448"/>
    <w:rsid w:val="00AD0631"/>
    <w:rsid w:val="00AD39A1"/>
    <w:rsid w:val="00AD7BE6"/>
    <w:rsid w:val="00AE0B89"/>
    <w:rsid w:val="00AE413B"/>
    <w:rsid w:val="00AE4CB5"/>
    <w:rsid w:val="00AE4FE9"/>
    <w:rsid w:val="00AE7A70"/>
    <w:rsid w:val="00AF27DF"/>
    <w:rsid w:val="00B15761"/>
    <w:rsid w:val="00B20164"/>
    <w:rsid w:val="00B42676"/>
    <w:rsid w:val="00B4682E"/>
    <w:rsid w:val="00B622D8"/>
    <w:rsid w:val="00B72840"/>
    <w:rsid w:val="00B94B7F"/>
    <w:rsid w:val="00BA19F8"/>
    <w:rsid w:val="00BA3C29"/>
    <w:rsid w:val="00BA7F21"/>
    <w:rsid w:val="00BB2299"/>
    <w:rsid w:val="00BC41AF"/>
    <w:rsid w:val="00BD1409"/>
    <w:rsid w:val="00BE63BF"/>
    <w:rsid w:val="00BF2AFC"/>
    <w:rsid w:val="00C001FF"/>
    <w:rsid w:val="00C017B4"/>
    <w:rsid w:val="00C0236A"/>
    <w:rsid w:val="00C2308C"/>
    <w:rsid w:val="00C30D13"/>
    <w:rsid w:val="00C34260"/>
    <w:rsid w:val="00C36EC0"/>
    <w:rsid w:val="00C41B57"/>
    <w:rsid w:val="00C5510D"/>
    <w:rsid w:val="00C7667A"/>
    <w:rsid w:val="00C8240A"/>
    <w:rsid w:val="00C8664C"/>
    <w:rsid w:val="00CA63A7"/>
    <w:rsid w:val="00CA6C98"/>
    <w:rsid w:val="00CC41BA"/>
    <w:rsid w:val="00CD4AA4"/>
    <w:rsid w:val="00CF20EA"/>
    <w:rsid w:val="00CF2E75"/>
    <w:rsid w:val="00CF356E"/>
    <w:rsid w:val="00D13321"/>
    <w:rsid w:val="00D21F6D"/>
    <w:rsid w:val="00D24F1C"/>
    <w:rsid w:val="00D31F59"/>
    <w:rsid w:val="00D52C3D"/>
    <w:rsid w:val="00D841F0"/>
    <w:rsid w:val="00D92886"/>
    <w:rsid w:val="00DC2C35"/>
    <w:rsid w:val="00DC3F55"/>
    <w:rsid w:val="00DD75E3"/>
    <w:rsid w:val="00DE5A8A"/>
    <w:rsid w:val="00DF5FCF"/>
    <w:rsid w:val="00E076C9"/>
    <w:rsid w:val="00E12497"/>
    <w:rsid w:val="00E20230"/>
    <w:rsid w:val="00E20E6F"/>
    <w:rsid w:val="00E21ACE"/>
    <w:rsid w:val="00E4439A"/>
    <w:rsid w:val="00E631EC"/>
    <w:rsid w:val="00E65E32"/>
    <w:rsid w:val="00E873DB"/>
    <w:rsid w:val="00E938AA"/>
    <w:rsid w:val="00E94A0D"/>
    <w:rsid w:val="00E979E7"/>
    <w:rsid w:val="00E97FAB"/>
    <w:rsid w:val="00EA0D26"/>
    <w:rsid w:val="00EA7246"/>
    <w:rsid w:val="00EB782B"/>
    <w:rsid w:val="00EC081E"/>
    <w:rsid w:val="00ED17B3"/>
    <w:rsid w:val="00ED49D1"/>
    <w:rsid w:val="00EE258F"/>
    <w:rsid w:val="00EE36E7"/>
    <w:rsid w:val="00EF5D6B"/>
    <w:rsid w:val="00F0107A"/>
    <w:rsid w:val="00F017C9"/>
    <w:rsid w:val="00F10C8F"/>
    <w:rsid w:val="00F141AD"/>
    <w:rsid w:val="00F1469A"/>
    <w:rsid w:val="00F2300F"/>
    <w:rsid w:val="00F42256"/>
    <w:rsid w:val="00F46C66"/>
    <w:rsid w:val="00F57B51"/>
    <w:rsid w:val="00F82796"/>
    <w:rsid w:val="00F8332E"/>
    <w:rsid w:val="00F85362"/>
    <w:rsid w:val="00F925B4"/>
    <w:rsid w:val="00FA130D"/>
    <w:rsid w:val="00FA466C"/>
    <w:rsid w:val="00FB1C0D"/>
    <w:rsid w:val="00FB2456"/>
    <w:rsid w:val="00FB3985"/>
    <w:rsid w:val="00FB7672"/>
    <w:rsid w:val="00FC238F"/>
    <w:rsid w:val="00FC3879"/>
    <w:rsid w:val="00FD5148"/>
    <w:rsid w:val="00FE6D3A"/>
    <w:rsid w:val="00FF03A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32060"/>
  <w15:chartTrackingRefBased/>
  <w15:docId w15:val="{22EFAAE0-1E67-4195-A9EE-A62263592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1F59"/>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D31F59"/>
    <w:pPr>
      <w:spacing w:before="100" w:beforeAutospacing="1" w:after="100" w:afterAutospacing="1"/>
      <w:outlineLvl w:val="0"/>
    </w:pPr>
    <w:rPr>
      <w:b/>
      <w:bCs/>
      <w:kern w:val="36"/>
      <w:sz w:val="48"/>
      <w:szCs w:val="48"/>
      <w:lang w:eastAsia="ja-JP"/>
    </w:rPr>
  </w:style>
  <w:style w:type="paragraph" w:styleId="Heading2">
    <w:name w:val="heading 2"/>
    <w:basedOn w:val="Normal"/>
    <w:next w:val="Normal"/>
    <w:link w:val="Heading2Char"/>
    <w:uiPriority w:val="9"/>
    <w:unhideWhenUsed/>
    <w:qFormat/>
    <w:rsid w:val="00564A8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701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1F59"/>
    <w:pPr>
      <w:ind w:left="720"/>
      <w:contextualSpacing/>
    </w:pPr>
  </w:style>
  <w:style w:type="paragraph" w:styleId="NormalWeb">
    <w:name w:val="Normal (Web)"/>
    <w:basedOn w:val="Normal"/>
    <w:uiPriority w:val="99"/>
    <w:semiHidden/>
    <w:unhideWhenUsed/>
    <w:rsid w:val="00D31F59"/>
    <w:pPr>
      <w:spacing w:before="100" w:beforeAutospacing="1" w:after="100" w:afterAutospacing="1"/>
    </w:pPr>
    <w:rPr>
      <w:sz w:val="24"/>
      <w:szCs w:val="24"/>
      <w:lang w:eastAsia="ja-JP"/>
    </w:rPr>
  </w:style>
  <w:style w:type="character" w:styleId="Strong">
    <w:name w:val="Strong"/>
    <w:basedOn w:val="DefaultParagraphFont"/>
    <w:uiPriority w:val="22"/>
    <w:qFormat/>
    <w:rsid w:val="00D31F59"/>
    <w:rPr>
      <w:b/>
      <w:bCs/>
    </w:rPr>
  </w:style>
  <w:style w:type="character" w:customStyle="1" w:styleId="Heading1Char">
    <w:name w:val="Heading 1 Char"/>
    <w:basedOn w:val="DefaultParagraphFont"/>
    <w:link w:val="Heading1"/>
    <w:uiPriority w:val="9"/>
    <w:rsid w:val="00D31F59"/>
    <w:rPr>
      <w:rFonts w:ascii="Times New Roman" w:eastAsia="Times New Roman" w:hAnsi="Times New Roman" w:cs="Times New Roman"/>
      <w:b/>
      <w:bCs/>
      <w:kern w:val="36"/>
      <w:sz w:val="48"/>
      <w:szCs w:val="48"/>
    </w:rPr>
  </w:style>
  <w:style w:type="paragraph" w:styleId="Title">
    <w:name w:val="Title"/>
    <w:basedOn w:val="Normal"/>
    <w:next w:val="Normal"/>
    <w:link w:val="TitleChar"/>
    <w:uiPriority w:val="10"/>
    <w:qFormat/>
    <w:rsid w:val="00D31F5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1F59"/>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D31F5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D31F59"/>
    <w:rPr>
      <w:color w:val="5A5A5A" w:themeColor="text1" w:themeTint="A5"/>
      <w:spacing w:val="15"/>
      <w:lang w:eastAsia="en-GB"/>
    </w:rPr>
  </w:style>
  <w:style w:type="character" w:customStyle="1" w:styleId="Heading3Char">
    <w:name w:val="Heading 3 Char"/>
    <w:basedOn w:val="DefaultParagraphFont"/>
    <w:link w:val="Heading3"/>
    <w:uiPriority w:val="9"/>
    <w:rsid w:val="00A9701E"/>
    <w:rPr>
      <w:rFonts w:asciiTheme="majorHAnsi" w:eastAsiaTheme="majorEastAsia" w:hAnsiTheme="majorHAnsi" w:cstheme="majorBidi"/>
      <w:color w:val="1F3763" w:themeColor="accent1" w:themeShade="7F"/>
      <w:sz w:val="24"/>
      <w:szCs w:val="24"/>
      <w:lang w:eastAsia="en-GB"/>
    </w:rPr>
  </w:style>
  <w:style w:type="character" w:customStyle="1" w:styleId="mw-headline">
    <w:name w:val="mw-headline"/>
    <w:basedOn w:val="DefaultParagraphFont"/>
    <w:rsid w:val="00A9701E"/>
  </w:style>
  <w:style w:type="character" w:customStyle="1" w:styleId="e24kjd">
    <w:name w:val="e24kjd"/>
    <w:basedOn w:val="DefaultParagraphFont"/>
    <w:rsid w:val="00E938AA"/>
  </w:style>
  <w:style w:type="character" w:customStyle="1" w:styleId="Heading2Char">
    <w:name w:val="Heading 2 Char"/>
    <w:basedOn w:val="DefaultParagraphFont"/>
    <w:link w:val="Heading2"/>
    <w:uiPriority w:val="9"/>
    <w:rsid w:val="00564A8F"/>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753001">
      <w:bodyDiv w:val="1"/>
      <w:marLeft w:val="0"/>
      <w:marRight w:val="0"/>
      <w:marTop w:val="0"/>
      <w:marBottom w:val="0"/>
      <w:divBdr>
        <w:top w:val="none" w:sz="0" w:space="0" w:color="auto"/>
        <w:left w:val="none" w:sz="0" w:space="0" w:color="auto"/>
        <w:bottom w:val="none" w:sz="0" w:space="0" w:color="auto"/>
        <w:right w:val="none" w:sz="0" w:space="0" w:color="auto"/>
      </w:divBdr>
    </w:div>
    <w:div w:id="999773563">
      <w:bodyDiv w:val="1"/>
      <w:marLeft w:val="0"/>
      <w:marRight w:val="0"/>
      <w:marTop w:val="0"/>
      <w:marBottom w:val="0"/>
      <w:divBdr>
        <w:top w:val="none" w:sz="0" w:space="0" w:color="auto"/>
        <w:left w:val="none" w:sz="0" w:space="0" w:color="auto"/>
        <w:bottom w:val="none" w:sz="0" w:space="0" w:color="auto"/>
        <w:right w:val="none" w:sz="0" w:space="0" w:color="auto"/>
      </w:divBdr>
    </w:div>
    <w:div w:id="1126505403">
      <w:bodyDiv w:val="1"/>
      <w:marLeft w:val="0"/>
      <w:marRight w:val="0"/>
      <w:marTop w:val="0"/>
      <w:marBottom w:val="0"/>
      <w:divBdr>
        <w:top w:val="none" w:sz="0" w:space="0" w:color="auto"/>
        <w:left w:val="none" w:sz="0" w:space="0" w:color="auto"/>
        <w:bottom w:val="none" w:sz="0" w:space="0" w:color="auto"/>
        <w:right w:val="none" w:sz="0" w:space="0" w:color="auto"/>
      </w:divBdr>
    </w:div>
    <w:div w:id="1224830789">
      <w:bodyDiv w:val="1"/>
      <w:marLeft w:val="0"/>
      <w:marRight w:val="0"/>
      <w:marTop w:val="0"/>
      <w:marBottom w:val="0"/>
      <w:divBdr>
        <w:top w:val="none" w:sz="0" w:space="0" w:color="auto"/>
        <w:left w:val="none" w:sz="0" w:space="0" w:color="auto"/>
        <w:bottom w:val="none" w:sz="0" w:space="0" w:color="auto"/>
        <w:right w:val="none" w:sz="0" w:space="0" w:color="auto"/>
      </w:divBdr>
    </w:div>
    <w:div w:id="1617953665">
      <w:bodyDiv w:val="1"/>
      <w:marLeft w:val="0"/>
      <w:marRight w:val="0"/>
      <w:marTop w:val="0"/>
      <w:marBottom w:val="0"/>
      <w:divBdr>
        <w:top w:val="none" w:sz="0" w:space="0" w:color="auto"/>
        <w:left w:val="none" w:sz="0" w:space="0" w:color="auto"/>
        <w:bottom w:val="none" w:sz="0" w:space="0" w:color="auto"/>
        <w:right w:val="none" w:sz="0" w:space="0" w:color="auto"/>
      </w:divBdr>
    </w:div>
    <w:div w:id="1799301137">
      <w:bodyDiv w:val="1"/>
      <w:marLeft w:val="0"/>
      <w:marRight w:val="0"/>
      <w:marTop w:val="0"/>
      <w:marBottom w:val="0"/>
      <w:divBdr>
        <w:top w:val="none" w:sz="0" w:space="0" w:color="auto"/>
        <w:left w:val="none" w:sz="0" w:space="0" w:color="auto"/>
        <w:bottom w:val="none" w:sz="0" w:space="0" w:color="auto"/>
        <w:right w:val="none" w:sz="0" w:space="0" w:color="auto"/>
      </w:divBdr>
    </w:div>
    <w:div w:id="1806460812">
      <w:bodyDiv w:val="1"/>
      <w:marLeft w:val="0"/>
      <w:marRight w:val="0"/>
      <w:marTop w:val="0"/>
      <w:marBottom w:val="0"/>
      <w:divBdr>
        <w:top w:val="none" w:sz="0" w:space="0" w:color="auto"/>
        <w:left w:val="none" w:sz="0" w:space="0" w:color="auto"/>
        <w:bottom w:val="none" w:sz="0" w:space="0" w:color="auto"/>
        <w:right w:val="none" w:sz="0" w:space="0" w:color="auto"/>
      </w:divBdr>
    </w:div>
    <w:div w:id="1899245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2" ma:contentTypeDescription="Create a new document." ma:contentTypeScope="" ma:versionID="74b8f2a487d3fb07c6cc479b4efa1576">
  <xsd:schema xmlns:xsd="http://www.w3.org/2001/XMLSchema" xmlns:xs="http://www.w3.org/2001/XMLSchema" xmlns:p="http://schemas.microsoft.com/office/2006/metadata/properties" xmlns:ns3="1c03a1d9-70c4-477b-aef0-fd07cc731e16" targetNamespace="http://schemas.microsoft.com/office/2006/metadata/properties" ma:root="true" ma:fieldsID="98d9fb7a79751e32cee5df7f3c5db338" ns3:_="">
    <xsd:import namespace="1c03a1d9-70c4-477b-aef0-fd07cc731e16"/>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D79B9-7CB9-4714-B3A7-643D1989D9B6}">
  <ds:schemaRefs>
    <ds:schemaRef ds:uri="http://schemas.microsoft.com/sharepoint/v3/contenttype/forms"/>
  </ds:schemaRefs>
</ds:datastoreItem>
</file>

<file path=customXml/itemProps2.xml><?xml version="1.0" encoding="utf-8"?>
<ds:datastoreItem xmlns:ds="http://schemas.openxmlformats.org/officeDocument/2006/customXml" ds:itemID="{DAE592F0-D3C9-4832-BB47-0CBDC17C44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B69105-441C-43F1-9F41-1150D8FAB848}">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1c03a1d9-70c4-477b-aef0-fd07cc731e16"/>
    <ds:schemaRef ds:uri="http://purl.org/dc/dcmitype/"/>
    <ds:schemaRef ds:uri="http://www.w3.org/XML/1998/namespace"/>
  </ds:schemaRefs>
</ds:datastoreItem>
</file>

<file path=customXml/itemProps4.xml><?xml version="1.0" encoding="utf-8"?>
<ds:datastoreItem xmlns:ds="http://schemas.openxmlformats.org/officeDocument/2006/customXml" ds:itemID="{CF09B647-68E1-4563-A547-4E8EC8D0D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TotalTime>
  <Pages>5</Pages>
  <Words>6315</Words>
  <Characters>35996</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Blunt</dc:creator>
  <cp:keywords/>
  <dc:description/>
  <cp:lastModifiedBy>Liam Blunt</cp:lastModifiedBy>
  <cp:revision>19</cp:revision>
  <dcterms:created xsi:type="dcterms:W3CDTF">2020-01-27T23:32:00Z</dcterms:created>
  <dcterms:modified xsi:type="dcterms:W3CDTF">2020-01-30T15:53:00Z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7th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e1df5a2b-250f-38d1-a92f-48c00e96734c</vt:lpwstr>
  </property>
  <property fmtid="{D5CDD505-2E9C-101B-9397-08002B2CF9AE}" pid="25" name="Mendeley Citation Style_1">
    <vt:lpwstr>http://www.zotero.org/styles/ieee</vt:lpwstr>
  </property>
</Properties>
</file>