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408E" w:rsidRDefault="00C5734A" w:rsidP="005F6442">
      <w:pPr>
        <w:pStyle w:val="NoSpacing"/>
        <w:jc w:val="center"/>
        <w:rPr>
          <w:rFonts w:ascii="Verdana" w:hAnsi="Verdana"/>
          <w:b/>
          <w:sz w:val="24"/>
          <w:szCs w:val="24"/>
          <w:lang w:eastAsia="en-GB"/>
        </w:rPr>
      </w:pPr>
      <w:r>
        <w:rPr>
          <w:rFonts w:ascii="Verdana" w:hAnsi="Verdana"/>
          <w:b/>
          <w:sz w:val="24"/>
          <w:szCs w:val="24"/>
          <w:lang w:eastAsia="en-GB"/>
        </w:rPr>
        <w:t>Report on accessing an O</w:t>
      </w:r>
      <w:r w:rsidR="000A408E" w:rsidRPr="005F6442">
        <w:rPr>
          <w:rFonts w:ascii="Verdana" w:hAnsi="Verdana"/>
          <w:b/>
          <w:sz w:val="24"/>
          <w:szCs w:val="24"/>
          <w:lang w:eastAsia="en-GB"/>
        </w:rPr>
        <w:t>n-line Concordance and different Biblical translations</w:t>
      </w:r>
    </w:p>
    <w:p w:rsidR="000C08CB" w:rsidRPr="005F6442" w:rsidRDefault="000C08CB" w:rsidP="000C08CB">
      <w:pPr>
        <w:pStyle w:val="NoSpacing"/>
        <w:rPr>
          <w:rFonts w:ascii="Verdana" w:hAnsi="Verdana"/>
          <w:b/>
          <w:sz w:val="24"/>
          <w:szCs w:val="24"/>
          <w:lang w:eastAsia="en-GB"/>
        </w:rPr>
      </w:pPr>
      <w:r>
        <w:rPr>
          <w:rFonts w:ascii="Verdana" w:hAnsi="Verdana"/>
          <w:b/>
          <w:sz w:val="24"/>
          <w:szCs w:val="24"/>
          <w:lang w:eastAsia="en-GB"/>
        </w:rPr>
        <w:t>Word count</w:t>
      </w:r>
      <w:proofErr w:type="gramStart"/>
      <w:r>
        <w:rPr>
          <w:rFonts w:ascii="Verdana" w:hAnsi="Verdana"/>
          <w:b/>
          <w:sz w:val="24"/>
          <w:szCs w:val="24"/>
          <w:lang w:eastAsia="en-GB"/>
        </w:rPr>
        <w:t>:2047</w:t>
      </w:r>
      <w:proofErr w:type="gramEnd"/>
    </w:p>
    <w:p w:rsidR="005F6442" w:rsidRDefault="005F6442" w:rsidP="00C050DA">
      <w:pPr>
        <w:pStyle w:val="NoSpacing"/>
        <w:rPr>
          <w:rFonts w:ascii="Verdana" w:hAnsi="Verdana"/>
          <w:sz w:val="24"/>
          <w:szCs w:val="24"/>
          <w:lang w:eastAsia="en-GB"/>
        </w:rPr>
      </w:pPr>
    </w:p>
    <w:p w:rsidR="002722E4" w:rsidRDefault="00D3716E" w:rsidP="00D3716E">
      <w:pPr>
        <w:pStyle w:val="NoSpacing"/>
        <w:rPr>
          <w:rFonts w:ascii="Verdana" w:hAnsi="Verdana"/>
          <w:sz w:val="24"/>
          <w:szCs w:val="24"/>
        </w:rPr>
      </w:pPr>
      <w:r>
        <w:rPr>
          <w:rFonts w:ascii="Verdana" w:hAnsi="Verdana"/>
          <w:sz w:val="24"/>
          <w:szCs w:val="24"/>
        </w:rPr>
        <w:t>“</w:t>
      </w:r>
      <w:r w:rsidRPr="00D3716E">
        <w:rPr>
          <w:rFonts w:ascii="Verdana" w:hAnsi="Verdana"/>
          <w:sz w:val="24"/>
          <w:szCs w:val="24"/>
        </w:rPr>
        <w:t>Covenant</w:t>
      </w:r>
      <w:r>
        <w:rPr>
          <w:rFonts w:ascii="Verdana" w:hAnsi="Verdana"/>
          <w:sz w:val="24"/>
          <w:szCs w:val="24"/>
        </w:rPr>
        <w:t>”</w:t>
      </w:r>
      <w:r w:rsidRPr="00D3716E">
        <w:rPr>
          <w:rFonts w:ascii="Verdana" w:hAnsi="Verdana"/>
          <w:sz w:val="24"/>
          <w:szCs w:val="24"/>
        </w:rPr>
        <w:t xml:space="preserve"> is the English translation of </w:t>
      </w:r>
      <w:r w:rsidRPr="00D3716E">
        <w:rPr>
          <w:rFonts w:ascii="Arial" w:hAnsi="Arial" w:cs="Arial"/>
          <w:sz w:val="24"/>
          <w:szCs w:val="24"/>
        </w:rPr>
        <w:t>בְּ</w:t>
      </w:r>
      <w:proofErr w:type="spellStart"/>
      <w:r w:rsidRPr="00D3716E">
        <w:rPr>
          <w:rFonts w:ascii="Arial" w:hAnsi="Arial" w:cs="Arial"/>
          <w:sz w:val="24"/>
          <w:szCs w:val="24"/>
        </w:rPr>
        <w:t>רִית</w:t>
      </w:r>
      <w:proofErr w:type="spellEnd"/>
      <w:r w:rsidRPr="00D3716E">
        <w:rPr>
          <w:rFonts w:ascii="Verdana" w:hAnsi="Verdana"/>
          <w:sz w:val="24"/>
          <w:szCs w:val="24"/>
        </w:rPr>
        <w:t xml:space="preserve"> from the Hebrew and </w:t>
      </w:r>
      <w:proofErr w:type="spellStart"/>
      <w:r w:rsidRPr="00D3716E">
        <w:rPr>
          <w:rFonts w:ascii="Verdana" w:hAnsi="Verdana"/>
          <w:sz w:val="24"/>
          <w:szCs w:val="24"/>
        </w:rPr>
        <w:t>δι</w:t>
      </w:r>
      <w:proofErr w:type="spellEnd"/>
      <w:r w:rsidRPr="00D3716E">
        <w:rPr>
          <w:rFonts w:ascii="Verdana" w:hAnsi="Verdana"/>
          <w:sz w:val="24"/>
          <w:szCs w:val="24"/>
        </w:rPr>
        <w:t>αθήκη from the Greek</w:t>
      </w:r>
      <w:r>
        <w:rPr>
          <w:rFonts w:ascii="Verdana" w:hAnsi="Verdana"/>
          <w:sz w:val="24"/>
          <w:szCs w:val="24"/>
        </w:rPr>
        <w:t xml:space="preserve">. It is a process which involves two parties agreeing to enter into a relationship </w:t>
      </w:r>
      <w:proofErr w:type="gramStart"/>
      <w:r>
        <w:rPr>
          <w:rFonts w:ascii="Verdana" w:hAnsi="Verdana"/>
          <w:sz w:val="24"/>
          <w:szCs w:val="24"/>
        </w:rPr>
        <w:t>for the purpose of</w:t>
      </w:r>
      <w:proofErr w:type="gramEnd"/>
      <w:r>
        <w:rPr>
          <w:rFonts w:ascii="Verdana" w:hAnsi="Verdana"/>
          <w:sz w:val="24"/>
          <w:szCs w:val="24"/>
        </w:rPr>
        <w:t xml:space="preserve"> working together to achieve a common goal. </w:t>
      </w:r>
      <w:r w:rsidR="00611680">
        <w:rPr>
          <w:rFonts w:ascii="Verdana" w:hAnsi="Verdana"/>
          <w:sz w:val="24"/>
          <w:szCs w:val="24"/>
        </w:rPr>
        <w:t>Originating in cultures that did not keep written records, a covenant was originally a verbal agreement</w:t>
      </w:r>
      <w:r w:rsidR="00611680">
        <w:rPr>
          <w:rStyle w:val="FootnoteReference"/>
          <w:rFonts w:ascii="Verdana" w:hAnsi="Verdana"/>
          <w:sz w:val="24"/>
          <w:szCs w:val="24"/>
        </w:rPr>
        <w:footnoteReference w:id="1"/>
      </w:r>
      <w:r w:rsidR="00611680">
        <w:rPr>
          <w:rFonts w:ascii="Verdana" w:hAnsi="Verdana"/>
          <w:sz w:val="24"/>
          <w:szCs w:val="24"/>
        </w:rPr>
        <w:t xml:space="preserve">. These agreements </w:t>
      </w:r>
      <w:proofErr w:type="gramStart"/>
      <w:r w:rsidR="00611680">
        <w:rPr>
          <w:rFonts w:ascii="Verdana" w:hAnsi="Verdana"/>
          <w:sz w:val="24"/>
          <w:szCs w:val="24"/>
        </w:rPr>
        <w:t>would have been professed in the presence of witnesses and marked by oaths and sacrifices</w:t>
      </w:r>
      <w:proofErr w:type="gramEnd"/>
      <w:r w:rsidR="00611680">
        <w:rPr>
          <w:rFonts w:ascii="Verdana" w:hAnsi="Verdana"/>
          <w:sz w:val="24"/>
          <w:szCs w:val="24"/>
        </w:rPr>
        <w:t xml:space="preserve">.  That the agreement </w:t>
      </w:r>
      <w:proofErr w:type="gramStart"/>
      <w:r w:rsidR="00611680">
        <w:rPr>
          <w:rFonts w:ascii="Verdana" w:hAnsi="Verdana"/>
          <w:sz w:val="24"/>
          <w:szCs w:val="24"/>
        </w:rPr>
        <w:t>was upheld</w:t>
      </w:r>
      <w:proofErr w:type="gramEnd"/>
      <w:r w:rsidR="00611680">
        <w:rPr>
          <w:rFonts w:ascii="Verdana" w:hAnsi="Verdana"/>
          <w:sz w:val="24"/>
          <w:szCs w:val="24"/>
        </w:rPr>
        <w:t xml:space="preserve"> was less to do with the memory of the witnesses and more to do with fear of the vengeance of the deity invoked and by a belief in the power of the spoken word</w:t>
      </w:r>
      <w:r w:rsidR="00611680">
        <w:rPr>
          <w:rStyle w:val="FootnoteReference"/>
          <w:rFonts w:ascii="Verdana" w:hAnsi="Verdana"/>
          <w:sz w:val="24"/>
          <w:szCs w:val="24"/>
        </w:rPr>
        <w:footnoteReference w:id="2"/>
      </w:r>
      <w:r w:rsidR="00611680">
        <w:rPr>
          <w:rFonts w:ascii="Verdana" w:hAnsi="Verdana"/>
          <w:sz w:val="24"/>
          <w:szCs w:val="24"/>
        </w:rPr>
        <w:t xml:space="preserve">. </w:t>
      </w:r>
      <w:r>
        <w:rPr>
          <w:rFonts w:ascii="Verdana" w:hAnsi="Verdana"/>
          <w:sz w:val="24"/>
          <w:szCs w:val="24"/>
        </w:rPr>
        <w:t>Choosing this as a theme</w:t>
      </w:r>
      <w:r w:rsidR="00AC6108">
        <w:rPr>
          <w:rFonts w:ascii="Verdana" w:hAnsi="Verdana"/>
          <w:sz w:val="24"/>
          <w:szCs w:val="24"/>
        </w:rPr>
        <w:t xml:space="preserve"> arose from a desire to gain a greater understanding of the Old Testament</w:t>
      </w:r>
      <w:r w:rsidR="00787481">
        <w:rPr>
          <w:rFonts w:ascii="Verdana" w:hAnsi="Verdana"/>
          <w:sz w:val="24"/>
          <w:szCs w:val="24"/>
        </w:rPr>
        <w:t>,</w:t>
      </w:r>
      <w:r w:rsidR="00AC6108">
        <w:rPr>
          <w:rFonts w:ascii="Verdana" w:hAnsi="Verdana"/>
          <w:sz w:val="24"/>
          <w:szCs w:val="24"/>
        </w:rPr>
        <w:t xml:space="preserve"> which has seemed to </w:t>
      </w:r>
      <w:proofErr w:type="gramStart"/>
      <w:r w:rsidR="00AC6108">
        <w:rPr>
          <w:rFonts w:ascii="Verdana" w:hAnsi="Verdana"/>
          <w:sz w:val="24"/>
          <w:szCs w:val="24"/>
        </w:rPr>
        <w:t>be written</w:t>
      </w:r>
      <w:proofErr w:type="gramEnd"/>
      <w:r w:rsidR="00AC6108">
        <w:rPr>
          <w:rFonts w:ascii="Verdana" w:hAnsi="Verdana"/>
          <w:sz w:val="24"/>
          <w:szCs w:val="24"/>
        </w:rPr>
        <w:t xml:space="preserve"> as a story of an agreement or series of agreements betwe</w:t>
      </w:r>
      <w:r w:rsidR="00787481">
        <w:rPr>
          <w:rFonts w:ascii="Verdana" w:hAnsi="Verdana"/>
          <w:sz w:val="24"/>
          <w:szCs w:val="24"/>
        </w:rPr>
        <w:t xml:space="preserve">en God and the people of Israel, and a linking element to the New Testament.  Searching on the </w:t>
      </w:r>
      <w:proofErr w:type="spellStart"/>
      <w:r w:rsidR="00787481">
        <w:rPr>
          <w:rFonts w:ascii="Verdana" w:hAnsi="Verdana"/>
          <w:sz w:val="24"/>
          <w:szCs w:val="24"/>
        </w:rPr>
        <w:t>oremus</w:t>
      </w:r>
      <w:proofErr w:type="spellEnd"/>
      <w:r w:rsidR="00787481">
        <w:rPr>
          <w:rFonts w:ascii="Verdana" w:hAnsi="Verdana"/>
          <w:sz w:val="24"/>
          <w:szCs w:val="24"/>
        </w:rPr>
        <w:t xml:space="preserve"> Bible Browser revealed 370 hits in the Old Testament, 54 of which were references to ‘the Ark of the Covenant’ and 37 matches in the New Testament.</w:t>
      </w:r>
      <w:r w:rsidR="000461D9">
        <w:rPr>
          <w:rFonts w:ascii="Verdana" w:hAnsi="Verdana"/>
          <w:sz w:val="24"/>
          <w:szCs w:val="24"/>
        </w:rPr>
        <w:t xml:space="preserve"> </w:t>
      </w:r>
    </w:p>
    <w:p w:rsidR="00D3716E" w:rsidRDefault="000461D9" w:rsidP="00D3716E">
      <w:pPr>
        <w:pStyle w:val="NoSpacing"/>
        <w:rPr>
          <w:rFonts w:ascii="Verdana" w:hAnsi="Verdana"/>
          <w:sz w:val="24"/>
          <w:szCs w:val="24"/>
        </w:rPr>
      </w:pPr>
      <w:r>
        <w:rPr>
          <w:rFonts w:ascii="Verdana" w:hAnsi="Verdana"/>
          <w:sz w:val="24"/>
          <w:szCs w:val="24"/>
        </w:rPr>
        <w:t>The idea of God giving commands is central in Jewish and Christian scriptures. In addition to the notion of God’s command is God’</w:t>
      </w:r>
      <w:r w:rsidR="002722E4">
        <w:rPr>
          <w:rFonts w:ascii="Verdana" w:hAnsi="Verdana"/>
          <w:sz w:val="24"/>
          <w:szCs w:val="24"/>
        </w:rPr>
        <w:t>s love, therefore,</w:t>
      </w:r>
      <w:r>
        <w:rPr>
          <w:rFonts w:ascii="Verdana" w:hAnsi="Verdana"/>
          <w:sz w:val="24"/>
          <w:szCs w:val="24"/>
        </w:rPr>
        <w:t xml:space="preserve"> the covenant in which the commands are subsumed is a covenant by which God blesses us and we are shown a path towards our highest good </w:t>
      </w:r>
      <w:r w:rsidR="002722E4">
        <w:rPr>
          <w:rFonts w:ascii="Verdana" w:hAnsi="Verdana"/>
          <w:sz w:val="24"/>
          <w:szCs w:val="24"/>
        </w:rPr>
        <w:t>i.e.</w:t>
      </w:r>
      <w:r>
        <w:rPr>
          <w:rFonts w:ascii="Verdana" w:hAnsi="Verdana"/>
          <w:sz w:val="24"/>
          <w:szCs w:val="24"/>
        </w:rPr>
        <w:t xml:space="preserve"> union with God</w:t>
      </w:r>
      <w:r>
        <w:rPr>
          <w:rStyle w:val="FootnoteReference"/>
          <w:rFonts w:ascii="Verdana" w:hAnsi="Verdana"/>
          <w:sz w:val="24"/>
          <w:szCs w:val="24"/>
        </w:rPr>
        <w:footnoteReference w:id="3"/>
      </w:r>
      <w:r>
        <w:rPr>
          <w:rFonts w:ascii="Verdana" w:hAnsi="Verdana"/>
          <w:sz w:val="24"/>
          <w:szCs w:val="24"/>
        </w:rPr>
        <w:t xml:space="preserve">. All humans </w:t>
      </w:r>
      <w:proofErr w:type="gramStart"/>
      <w:r>
        <w:rPr>
          <w:rFonts w:ascii="Verdana" w:hAnsi="Verdana"/>
          <w:sz w:val="24"/>
          <w:szCs w:val="24"/>
        </w:rPr>
        <w:t>are blessed</w:t>
      </w:r>
      <w:proofErr w:type="gramEnd"/>
      <w:r>
        <w:rPr>
          <w:rFonts w:ascii="Verdana" w:hAnsi="Verdana"/>
          <w:sz w:val="24"/>
          <w:szCs w:val="24"/>
        </w:rPr>
        <w:t xml:space="preserve"> if we obey the commands God gives us</w:t>
      </w:r>
      <w:r>
        <w:rPr>
          <w:rStyle w:val="FootnoteReference"/>
          <w:rFonts w:ascii="Verdana" w:hAnsi="Verdana"/>
          <w:sz w:val="24"/>
          <w:szCs w:val="24"/>
        </w:rPr>
        <w:footnoteReference w:id="4"/>
      </w:r>
      <w:r>
        <w:rPr>
          <w:rFonts w:ascii="Verdana" w:hAnsi="Verdana"/>
          <w:sz w:val="24"/>
          <w:szCs w:val="24"/>
        </w:rPr>
        <w:t xml:space="preserve">. </w:t>
      </w:r>
      <w:r w:rsidR="006565A0">
        <w:rPr>
          <w:rFonts w:ascii="Verdana" w:hAnsi="Verdana"/>
          <w:sz w:val="24"/>
          <w:szCs w:val="24"/>
        </w:rPr>
        <w:t>Although the first mention of a covenant occurs in Genesis 6:13 – 7:1, the relationship that God initiates with Adam and Eve in the Garden of Eden is very similar to a covenant. Humanity fractures this relationship</w:t>
      </w:r>
      <w:r w:rsidR="0093661B">
        <w:rPr>
          <w:rFonts w:ascii="Verdana" w:hAnsi="Verdana"/>
          <w:sz w:val="24"/>
          <w:szCs w:val="24"/>
        </w:rPr>
        <w:t xml:space="preserve"> (Genesis 3)</w:t>
      </w:r>
      <w:r w:rsidR="006565A0">
        <w:rPr>
          <w:rFonts w:ascii="Verdana" w:hAnsi="Verdana"/>
          <w:sz w:val="24"/>
          <w:szCs w:val="24"/>
        </w:rPr>
        <w:t xml:space="preserve"> and this </w:t>
      </w:r>
      <w:proofErr w:type="gramStart"/>
      <w:r w:rsidR="006565A0">
        <w:rPr>
          <w:rFonts w:ascii="Verdana" w:hAnsi="Verdana"/>
          <w:sz w:val="24"/>
          <w:szCs w:val="24"/>
        </w:rPr>
        <w:t>is described</w:t>
      </w:r>
      <w:proofErr w:type="gramEnd"/>
      <w:r w:rsidR="006565A0">
        <w:rPr>
          <w:rFonts w:ascii="Verdana" w:hAnsi="Verdana"/>
          <w:sz w:val="24"/>
          <w:szCs w:val="24"/>
        </w:rPr>
        <w:t xml:space="preserve"> in Genesis (6:9) as corruption of the heart</w:t>
      </w:r>
      <w:r w:rsidR="006565A0">
        <w:rPr>
          <w:rStyle w:val="FootnoteReference"/>
          <w:rFonts w:ascii="Verdana" w:hAnsi="Verdana"/>
          <w:sz w:val="24"/>
          <w:szCs w:val="24"/>
        </w:rPr>
        <w:footnoteReference w:id="5"/>
      </w:r>
      <w:r w:rsidR="006565A0">
        <w:rPr>
          <w:rFonts w:ascii="Verdana" w:hAnsi="Verdana"/>
          <w:sz w:val="24"/>
          <w:szCs w:val="24"/>
        </w:rPr>
        <w:t>.</w:t>
      </w:r>
      <w:r w:rsidR="0093661B">
        <w:rPr>
          <w:rFonts w:ascii="Verdana" w:hAnsi="Verdana"/>
          <w:sz w:val="24"/>
          <w:szCs w:val="24"/>
        </w:rPr>
        <w:t xml:space="preserve"> </w:t>
      </w:r>
    </w:p>
    <w:p w:rsidR="00C050DA" w:rsidRDefault="0093661B" w:rsidP="00C050DA">
      <w:pPr>
        <w:pStyle w:val="NoSpacing"/>
        <w:rPr>
          <w:rFonts w:ascii="Verdana" w:hAnsi="Verdana"/>
          <w:sz w:val="24"/>
          <w:szCs w:val="24"/>
        </w:rPr>
      </w:pPr>
      <w:r>
        <w:rPr>
          <w:rFonts w:ascii="Verdana" w:hAnsi="Verdana"/>
          <w:sz w:val="24"/>
          <w:szCs w:val="24"/>
        </w:rPr>
        <w:t>The covenant with Noah is the first use of the word</w:t>
      </w:r>
      <w:r w:rsidR="00CA3AAC">
        <w:rPr>
          <w:rFonts w:ascii="Verdana" w:hAnsi="Verdana"/>
          <w:sz w:val="24"/>
          <w:szCs w:val="24"/>
        </w:rPr>
        <w:t xml:space="preserve"> and this is also the covenant where nothing is required in return; God seals the agreement with a rainbow (Genesis 9: 7-29). The following covenants within Genesis are reciprocal with the ‘sign of the covenant’ stated as the necessity to circumcise all males in the family (Genesis 17). The last four books of the Pentateuch</w:t>
      </w:r>
      <w:r w:rsidR="00EC6091">
        <w:rPr>
          <w:rFonts w:ascii="Verdana" w:hAnsi="Verdana"/>
          <w:sz w:val="24"/>
          <w:szCs w:val="24"/>
        </w:rPr>
        <w:t xml:space="preserve"> </w:t>
      </w:r>
      <w:proofErr w:type="gramStart"/>
      <w:r w:rsidR="00EC6091">
        <w:rPr>
          <w:rFonts w:ascii="Verdana" w:hAnsi="Verdana"/>
          <w:sz w:val="24"/>
          <w:szCs w:val="24"/>
        </w:rPr>
        <w:t>are dominated</w:t>
      </w:r>
      <w:proofErr w:type="gramEnd"/>
      <w:r w:rsidR="00EC6091">
        <w:rPr>
          <w:rFonts w:ascii="Verdana" w:hAnsi="Verdana"/>
          <w:sz w:val="24"/>
          <w:szCs w:val="24"/>
        </w:rPr>
        <w:t xml:space="preserve"> by the covenant of YHWH and Israel</w:t>
      </w:r>
      <w:r w:rsidR="00B63441">
        <w:rPr>
          <w:rFonts w:ascii="Verdana" w:hAnsi="Verdana"/>
          <w:sz w:val="24"/>
          <w:szCs w:val="24"/>
        </w:rPr>
        <w:t xml:space="preserve"> and recurs in the historical books</w:t>
      </w:r>
      <w:r w:rsidR="00B63441">
        <w:rPr>
          <w:rStyle w:val="FootnoteReference"/>
          <w:rFonts w:ascii="Verdana" w:hAnsi="Verdana"/>
          <w:sz w:val="24"/>
          <w:szCs w:val="24"/>
        </w:rPr>
        <w:footnoteReference w:id="6"/>
      </w:r>
      <w:r w:rsidR="00C41050">
        <w:rPr>
          <w:rFonts w:ascii="Verdana" w:hAnsi="Verdana"/>
          <w:sz w:val="24"/>
          <w:szCs w:val="24"/>
        </w:rPr>
        <w:t>.</w:t>
      </w:r>
      <w:r w:rsidR="00B85955">
        <w:rPr>
          <w:rFonts w:ascii="Verdana" w:hAnsi="Verdana"/>
          <w:sz w:val="24"/>
          <w:szCs w:val="24"/>
        </w:rPr>
        <w:t xml:space="preserve"> </w:t>
      </w:r>
      <w:proofErr w:type="gramStart"/>
      <w:r w:rsidR="00B85955">
        <w:rPr>
          <w:rFonts w:ascii="Verdana" w:hAnsi="Verdana"/>
          <w:sz w:val="24"/>
          <w:szCs w:val="24"/>
        </w:rPr>
        <w:t xml:space="preserve">The Decalogue, which </w:t>
      </w:r>
      <w:r w:rsidR="002722E4">
        <w:rPr>
          <w:rFonts w:ascii="Verdana" w:hAnsi="Verdana"/>
          <w:sz w:val="24"/>
          <w:szCs w:val="24"/>
        </w:rPr>
        <w:t>comprises</w:t>
      </w:r>
      <w:r w:rsidR="00B85955">
        <w:rPr>
          <w:rFonts w:ascii="Verdana" w:hAnsi="Verdana"/>
          <w:sz w:val="24"/>
          <w:szCs w:val="24"/>
        </w:rPr>
        <w:t xml:space="preserve"> a series of commands from God embedded in the context of a covenant with the people of Israel</w:t>
      </w:r>
      <w:proofErr w:type="gramEnd"/>
      <w:r w:rsidR="00B85955">
        <w:rPr>
          <w:rFonts w:ascii="Verdana" w:hAnsi="Verdana"/>
          <w:sz w:val="24"/>
          <w:szCs w:val="24"/>
        </w:rPr>
        <w:t xml:space="preserve">, </w:t>
      </w:r>
      <w:proofErr w:type="gramStart"/>
      <w:r w:rsidR="00B85955">
        <w:rPr>
          <w:rFonts w:ascii="Verdana" w:hAnsi="Verdana"/>
          <w:sz w:val="24"/>
          <w:szCs w:val="24"/>
        </w:rPr>
        <w:t>establish the law</w:t>
      </w:r>
      <w:proofErr w:type="gramEnd"/>
      <w:r w:rsidR="00B85955">
        <w:rPr>
          <w:rStyle w:val="FootnoteReference"/>
          <w:rFonts w:ascii="Verdana" w:hAnsi="Verdana"/>
          <w:sz w:val="24"/>
          <w:szCs w:val="24"/>
        </w:rPr>
        <w:footnoteReference w:id="7"/>
      </w:r>
      <w:r w:rsidR="00B85955">
        <w:rPr>
          <w:rFonts w:ascii="Verdana" w:hAnsi="Verdana"/>
          <w:sz w:val="24"/>
          <w:szCs w:val="24"/>
        </w:rPr>
        <w:t xml:space="preserve">. </w:t>
      </w:r>
    </w:p>
    <w:p w:rsidR="00B85955" w:rsidRDefault="00B85955" w:rsidP="00B03AFA">
      <w:pPr>
        <w:pStyle w:val="NoSpacing"/>
        <w:rPr>
          <w:rFonts w:ascii="Verdana" w:hAnsi="Verdana"/>
          <w:sz w:val="24"/>
          <w:szCs w:val="24"/>
        </w:rPr>
      </w:pPr>
      <w:r>
        <w:rPr>
          <w:rFonts w:ascii="Verdana" w:hAnsi="Verdana"/>
          <w:sz w:val="24"/>
          <w:szCs w:val="24"/>
        </w:rPr>
        <w:t>The word ‘covenant’ becomes less prevalent in the writings of the 8</w:t>
      </w:r>
      <w:r w:rsidRPr="00B85955">
        <w:rPr>
          <w:rFonts w:ascii="Verdana" w:hAnsi="Verdana"/>
          <w:sz w:val="24"/>
          <w:szCs w:val="24"/>
          <w:vertAlign w:val="superscript"/>
        </w:rPr>
        <w:t>th</w:t>
      </w:r>
      <w:r>
        <w:rPr>
          <w:rFonts w:ascii="Verdana" w:hAnsi="Verdana"/>
          <w:sz w:val="24"/>
          <w:szCs w:val="24"/>
        </w:rPr>
        <w:t xml:space="preserve"> century prophets (Amos, Hosea, Isaiah, Micah) which is surprising given </w:t>
      </w:r>
      <w:r>
        <w:rPr>
          <w:rFonts w:ascii="Verdana" w:hAnsi="Verdana"/>
          <w:sz w:val="24"/>
          <w:szCs w:val="24"/>
        </w:rPr>
        <w:lastRenderedPageBreak/>
        <w:t>its importance in early Israelite history and belief</w:t>
      </w:r>
      <w:r>
        <w:rPr>
          <w:rStyle w:val="FootnoteReference"/>
          <w:rFonts w:ascii="Verdana" w:hAnsi="Verdana"/>
          <w:sz w:val="24"/>
          <w:szCs w:val="24"/>
        </w:rPr>
        <w:footnoteReference w:id="8"/>
      </w:r>
      <w:r>
        <w:rPr>
          <w:rFonts w:ascii="Verdana" w:hAnsi="Verdana"/>
          <w:sz w:val="24"/>
          <w:szCs w:val="24"/>
        </w:rPr>
        <w:t>. This could result from the idea of a covenant with a loving and forgiving God giving rise to a false sense of privilege and security; alternatively</w:t>
      </w:r>
      <w:r w:rsidR="002722E4">
        <w:rPr>
          <w:rFonts w:ascii="Verdana" w:hAnsi="Verdana"/>
          <w:sz w:val="24"/>
          <w:szCs w:val="24"/>
        </w:rPr>
        <w:t>,</w:t>
      </w:r>
      <w:r>
        <w:rPr>
          <w:rFonts w:ascii="Verdana" w:hAnsi="Verdana"/>
          <w:sz w:val="24"/>
          <w:szCs w:val="24"/>
        </w:rPr>
        <w:t xml:space="preserve"> </w:t>
      </w:r>
      <w:r w:rsidR="00B03AFA">
        <w:rPr>
          <w:rFonts w:ascii="Verdana" w:hAnsi="Verdana"/>
          <w:sz w:val="24"/>
          <w:szCs w:val="24"/>
        </w:rPr>
        <w:t xml:space="preserve">it could stem from the fear that the covenant with Israel </w:t>
      </w:r>
      <w:proofErr w:type="gramStart"/>
      <w:r w:rsidR="00B03AFA">
        <w:rPr>
          <w:rFonts w:ascii="Verdana" w:hAnsi="Verdana"/>
          <w:sz w:val="24"/>
          <w:szCs w:val="24"/>
        </w:rPr>
        <w:t>had been superseded</w:t>
      </w:r>
      <w:proofErr w:type="gramEnd"/>
      <w:r w:rsidR="00B03AFA">
        <w:rPr>
          <w:rFonts w:ascii="Verdana" w:hAnsi="Verdana"/>
          <w:sz w:val="24"/>
          <w:szCs w:val="24"/>
        </w:rPr>
        <w:t xml:space="preserve"> by that made with David. If David’s line were to die out, there could be no descendant</w:t>
      </w:r>
      <w:r w:rsidR="00B03AFA">
        <w:rPr>
          <w:rStyle w:val="FootnoteReference"/>
          <w:rFonts w:ascii="Verdana" w:hAnsi="Verdana"/>
          <w:sz w:val="24"/>
          <w:szCs w:val="24"/>
        </w:rPr>
        <w:footnoteReference w:id="9"/>
      </w:r>
      <w:r w:rsidR="00B03AFA">
        <w:rPr>
          <w:rFonts w:ascii="Verdana" w:hAnsi="Verdana"/>
          <w:sz w:val="24"/>
          <w:szCs w:val="24"/>
        </w:rPr>
        <w:t xml:space="preserve"> </w:t>
      </w:r>
      <w:r w:rsidR="00BC7DCD">
        <w:rPr>
          <w:rFonts w:ascii="Verdana" w:hAnsi="Verdana"/>
          <w:sz w:val="24"/>
          <w:szCs w:val="24"/>
        </w:rPr>
        <w:t>to become the agent who</w:t>
      </w:r>
      <w:r w:rsidR="00B03AFA">
        <w:rPr>
          <w:rFonts w:ascii="Verdana" w:hAnsi="Verdana"/>
          <w:sz w:val="24"/>
          <w:szCs w:val="24"/>
        </w:rPr>
        <w:t xml:space="preserve"> </w:t>
      </w:r>
      <w:r w:rsidR="00BC7DCD">
        <w:rPr>
          <w:rFonts w:ascii="Verdana" w:hAnsi="Verdana"/>
          <w:sz w:val="24"/>
          <w:szCs w:val="24"/>
        </w:rPr>
        <w:t xml:space="preserve">could </w:t>
      </w:r>
      <w:r w:rsidR="00B03AFA">
        <w:rPr>
          <w:rFonts w:ascii="Verdana" w:hAnsi="Verdana"/>
          <w:sz w:val="24"/>
          <w:szCs w:val="24"/>
        </w:rPr>
        <w:t xml:space="preserve">bring the kingdom of God of justice and peace over all nations, so that the blessing of Abraham </w:t>
      </w:r>
      <w:r w:rsidR="00B03AFA" w:rsidRPr="00B03AFA">
        <w:rPr>
          <w:rFonts w:ascii="Verdana" w:hAnsi="Verdana"/>
          <w:sz w:val="24"/>
          <w:szCs w:val="24"/>
        </w:rPr>
        <w:t>may come to all people</w:t>
      </w:r>
      <w:r w:rsidR="00B03AFA">
        <w:rPr>
          <w:rFonts w:ascii="Verdana" w:hAnsi="Verdana"/>
          <w:sz w:val="24"/>
          <w:szCs w:val="24"/>
        </w:rPr>
        <w:t xml:space="preserve"> (Psalm 72: 1-17)</w:t>
      </w:r>
      <w:r w:rsidR="00B03AFA" w:rsidRPr="00B03AFA">
        <w:rPr>
          <w:rFonts w:ascii="Verdana" w:hAnsi="Verdana"/>
          <w:sz w:val="24"/>
          <w:szCs w:val="24"/>
        </w:rPr>
        <w:t>.</w:t>
      </w:r>
      <w:r w:rsidR="00B1342A">
        <w:rPr>
          <w:rFonts w:ascii="Verdana" w:hAnsi="Verdana"/>
          <w:sz w:val="24"/>
          <w:szCs w:val="24"/>
        </w:rPr>
        <w:t xml:space="preserve"> </w:t>
      </w:r>
    </w:p>
    <w:p w:rsidR="00B1342A" w:rsidRDefault="00162599" w:rsidP="00176B1E">
      <w:pPr>
        <w:pStyle w:val="NoSpacing"/>
        <w:rPr>
          <w:rFonts w:ascii="Verdana" w:hAnsi="Verdana"/>
          <w:sz w:val="24"/>
          <w:szCs w:val="24"/>
        </w:rPr>
      </w:pPr>
      <w:r>
        <w:rPr>
          <w:rFonts w:ascii="Verdana" w:hAnsi="Verdana"/>
          <w:sz w:val="24"/>
          <w:szCs w:val="24"/>
        </w:rPr>
        <w:t>Jeremiah heralds the recurrent use of the word covenant and he predicts the future of Israel in terms of a new covenant (Jeremiah 31:27-37)</w:t>
      </w:r>
      <w:r>
        <w:rPr>
          <w:rStyle w:val="FootnoteReference"/>
          <w:rFonts w:ascii="Verdana" w:hAnsi="Verdana"/>
          <w:sz w:val="24"/>
          <w:szCs w:val="24"/>
        </w:rPr>
        <w:footnoteReference w:id="10"/>
      </w:r>
      <w:r>
        <w:rPr>
          <w:rFonts w:ascii="Verdana" w:hAnsi="Verdana"/>
          <w:sz w:val="24"/>
          <w:szCs w:val="24"/>
        </w:rPr>
        <w:t>. He foresees a form intertwined with the inward nature of individual Israelites thus rendering it unbreakable</w:t>
      </w:r>
      <w:r>
        <w:rPr>
          <w:rStyle w:val="FootnoteReference"/>
          <w:rFonts w:ascii="Verdana" w:hAnsi="Verdana"/>
          <w:sz w:val="24"/>
          <w:szCs w:val="24"/>
        </w:rPr>
        <w:footnoteReference w:id="11"/>
      </w:r>
      <w:r>
        <w:rPr>
          <w:rFonts w:ascii="Verdana" w:hAnsi="Verdana"/>
          <w:sz w:val="24"/>
          <w:szCs w:val="24"/>
        </w:rPr>
        <w:t>.</w:t>
      </w:r>
      <w:r w:rsidR="00176B1E">
        <w:rPr>
          <w:rFonts w:ascii="Verdana" w:hAnsi="Verdana"/>
          <w:sz w:val="24"/>
          <w:szCs w:val="24"/>
        </w:rPr>
        <w:t xml:space="preserve"> Ezekiel too looked for a day when God would place his own Spirit in the hearts of his people and empower them to love and obey the terms of </w:t>
      </w:r>
      <w:r w:rsidR="00176B1E" w:rsidRPr="00176B1E">
        <w:rPr>
          <w:rFonts w:ascii="Verdana" w:hAnsi="Verdana"/>
          <w:sz w:val="24"/>
          <w:szCs w:val="24"/>
        </w:rPr>
        <w:t>the new covenant</w:t>
      </w:r>
      <w:r w:rsidR="00176B1E">
        <w:rPr>
          <w:rFonts w:ascii="Verdana" w:hAnsi="Verdana"/>
          <w:sz w:val="24"/>
          <w:szCs w:val="24"/>
        </w:rPr>
        <w:t xml:space="preserve"> (Ezekiel 36:22-32)</w:t>
      </w:r>
      <w:r w:rsidR="00176B1E" w:rsidRPr="00176B1E">
        <w:rPr>
          <w:rFonts w:ascii="Verdana" w:hAnsi="Verdana"/>
          <w:sz w:val="24"/>
          <w:szCs w:val="24"/>
        </w:rPr>
        <w:t>.</w:t>
      </w:r>
      <w:r w:rsidR="00176B1E">
        <w:rPr>
          <w:rFonts w:ascii="Verdana" w:hAnsi="Verdana"/>
          <w:sz w:val="24"/>
          <w:szCs w:val="24"/>
        </w:rPr>
        <w:t xml:space="preserve"> </w:t>
      </w:r>
    </w:p>
    <w:p w:rsidR="00176B1E" w:rsidRPr="00366E17" w:rsidRDefault="00176B1E" w:rsidP="00176B1E">
      <w:pPr>
        <w:pStyle w:val="NoSpacing"/>
        <w:rPr>
          <w:rFonts w:ascii="Verdana" w:hAnsi="Verdana"/>
          <w:sz w:val="24"/>
          <w:szCs w:val="24"/>
        </w:rPr>
      </w:pPr>
      <w:r>
        <w:rPr>
          <w:rFonts w:ascii="Verdana" w:hAnsi="Verdana"/>
          <w:sz w:val="24"/>
          <w:szCs w:val="24"/>
        </w:rPr>
        <w:t>Though less prevalent in the New Testament, the theme of God’s commands, seen for the first time in Genesis, is replicated in Jesus’ two commandments (Deuteronomy 6:5, Leviticus 19:18)</w:t>
      </w:r>
      <w:r>
        <w:rPr>
          <w:rStyle w:val="FootnoteReference"/>
          <w:rFonts w:ascii="Verdana" w:hAnsi="Verdana"/>
          <w:sz w:val="24"/>
          <w:szCs w:val="24"/>
        </w:rPr>
        <w:footnoteReference w:id="12"/>
      </w:r>
      <w:r>
        <w:rPr>
          <w:rFonts w:ascii="Verdana" w:hAnsi="Verdana"/>
          <w:sz w:val="24"/>
          <w:szCs w:val="24"/>
        </w:rPr>
        <w:t xml:space="preserve">. </w:t>
      </w:r>
      <w:r w:rsidR="00BC3ABB">
        <w:rPr>
          <w:rFonts w:ascii="Verdana" w:hAnsi="Verdana"/>
          <w:sz w:val="24"/>
          <w:szCs w:val="24"/>
        </w:rPr>
        <w:t xml:space="preserve">So too, the new covenant is established by Jesus (Mark 14:24; </w:t>
      </w:r>
      <w:proofErr w:type="gramStart"/>
      <w:r w:rsidR="00BC3ABB">
        <w:rPr>
          <w:rFonts w:ascii="Verdana" w:hAnsi="Verdana"/>
          <w:sz w:val="24"/>
          <w:szCs w:val="24"/>
        </w:rPr>
        <w:t>1</w:t>
      </w:r>
      <w:proofErr w:type="gramEnd"/>
      <w:r w:rsidR="00BC3ABB">
        <w:rPr>
          <w:rFonts w:ascii="Verdana" w:hAnsi="Verdana"/>
          <w:sz w:val="24"/>
          <w:szCs w:val="24"/>
        </w:rPr>
        <w:t xml:space="preserve"> C</w:t>
      </w:r>
      <w:r w:rsidR="002722E4">
        <w:rPr>
          <w:rFonts w:ascii="Verdana" w:hAnsi="Verdana"/>
          <w:sz w:val="24"/>
          <w:szCs w:val="24"/>
        </w:rPr>
        <w:t>orinthians 11:25) Christians being</w:t>
      </w:r>
      <w:r w:rsidR="00BC3ABB">
        <w:rPr>
          <w:rFonts w:ascii="Verdana" w:hAnsi="Verdana"/>
          <w:sz w:val="24"/>
          <w:szCs w:val="24"/>
        </w:rPr>
        <w:t xml:space="preserve"> those entering into the relationship (2 Corinthians 3:6)</w:t>
      </w:r>
      <w:r w:rsidR="00BC3ABB">
        <w:rPr>
          <w:rStyle w:val="FootnoteReference"/>
          <w:rFonts w:ascii="Verdana" w:hAnsi="Verdana"/>
          <w:sz w:val="24"/>
          <w:szCs w:val="24"/>
        </w:rPr>
        <w:footnoteReference w:id="13"/>
      </w:r>
      <w:r w:rsidR="002722E4">
        <w:rPr>
          <w:rFonts w:ascii="Verdana" w:hAnsi="Verdana"/>
          <w:sz w:val="24"/>
          <w:szCs w:val="24"/>
        </w:rPr>
        <w:t xml:space="preserve">. </w:t>
      </w:r>
      <w:r w:rsidR="00E866C0">
        <w:rPr>
          <w:rFonts w:ascii="Verdana" w:hAnsi="Verdana"/>
          <w:sz w:val="24"/>
          <w:szCs w:val="24"/>
        </w:rPr>
        <w:t xml:space="preserve">In Galatians (3:6-18), Paul describes the fulfilment of the covenant promise to Abraham by way of God’s grace in sending Jesus Christ to be among us. Further, the promise to David </w:t>
      </w:r>
      <w:proofErr w:type="gramStart"/>
      <w:r w:rsidR="00E866C0">
        <w:rPr>
          <w:rFonts w:ascii="Verdana" w:hAnsi="Verdana"/>
          <w:sz w:val="24"/>
          <w:szCs w:val="24"/>
        </w:rPr>
        <w:t>could be seen</w:t>
      </w:r>
      <w:proofErr w:type="gramEnd"/>
      <w:r w:rsidR="00E866C0">
        <w:rPr>
          <w:rFonts w:ascii="Verdana" w:hAnsi="Verdana"/>
          <w:sz w:val="24"/>
          <w:szCs w:val="24"/>
        </w:rPr>
        <w:t xml:space="preserve"> as being upheld in the person of Jesus as the Messiah (Isiah 9:7)</w:t>
      </w:r>
      <w:r w:rsidR="00E866C0">
        <w:rPr>
          <w:rStyle w:val="FootnoteReference"/>
          <w:rFonts w:ascii="Verdana" w:hAnsi="Verdana"/>
          <w:sz w:val="24"/>
          <w:szCs w:val="24"/>
        </w:rPr>
        <w:footnoteReference w:id="14"/>
      </w:r>
      <w:r w:rsidR="00E866C0">
        <w:rPr>
          <w:rFonts w:ascii="Verdana" w:hAnsi="Verdana"/>
          <w:sz w:val="24"/>
          <w:szCs w:val="24"/>
        </w:rPr>
        <w:t xml:space="preserve">. </w:t>
      </w:r>
      <w:r w:rsidR="00030758">
        <w:rPr>
          <w:rFonts w:ascii="Verdana" w:hAnsi="Verdana"/>
          <w:sz w:val="24"/>
          <w:szCs w:val="24"/>
        </w:rPr>
        <w:t>The terms Old Testament and New Testament relate to the old and new covenants, the New Testament bearing witness to the fulfilment of the covenants of old.  The fact that the word covenant itself is less prevalent in the New Testament lies in the fact that Jesus himself is the embodiment of the new covenant.</w:t>
      </w:r>
    </w:p>
    <w:p w:rsidR="005F6442" w:rsidRDefault="005F6442" w:rsidP="000A408E">
      <w:pPr>
        <w:pStyle w:val="NoSpacing"/>
        <w:rPr>
          <w:rFonts w:ascii="Verdana" w:hAnsi="Verdana"/>
          <w:sz w:val="24"/>
          <w:szCs w:val="24"/>
          <w:lang w:eastAsia="en-GB"/>
        </w:rPr>
      </w:pPr>
    </w:p>
    <w:p w:rsidR="005F6442" w:rsidRDefault="00B62EAF" w:rsidP="000A408E">
      <w:pPr>
        <w:pStyle w:val="NoSpacing"/>
        <w:rPr>
          <w:rFonts w:ascii="Verdana" w:hAnsi="Verdana"/>
          <w:sz w:val="24"/>
          <w:szCs w:val="24"/>
          <w:lang w:eastAsia="en-GB"/>
        </w:rPr>
      </w:pPr>
      <w:r>
        <w:rPr>
          <w:rFonts w:ascii="Verdana" w:hAnsi="Verdana"/>
          <w:sz w:val="24"/>
          <w:szCs w:val="24"/>
          <w:lang w:eastAsia="en-GB"/>
        </w:rPr>
        <w:t xml:space="preserve">There can be nothing more varied and convoluted than an academic study of the Bible. Focusing on just two Biblical translations in this short report has produced many more questions than answers. Translation is an important means of biblical interpretation and the Septuagint, the translation of the Hebrew Scriptures into Greek, </w:t>
      </w:r>
      <w:r w:rsidR="00B715DC">
        <w:rPr>
          <w:rFonts w:ascii="Verdana" w:hAnsi="Verdana"/>
          <w:sz w:val="24"/>
          <w:szCs w:val="24"/>
          <w:lang w:eastAsia="en-GB"/>
        </w:rPr>
        <w:t>played a vital role in the interpretation of texts crucial to both Christianity and Judaism</w:t>
      </w:r>
      <w:r w:rsidR="00B715DC">
        <w:rPr>
          <w:rStyle w:val="FootnoteReference"/>
          <w:rFonts w:ascii="Verdana" w:hAnsi="Verdana"/>
          <w:sz w:val="24"/>
          <w:szCs w:val="24"/>
          <w:lang w:eastAsia="en-GB"/>
        </w:rPr>
        <w:footnoteReference w:id="15"/>
      </w:r>
      <w:r w:rsidR="00B715DC">
        <w:rPr>
          <w:rFonts w:ascii="Verdana" w:hAnsi="Verdana"/>
          <w:sz w:val="24"/>
          <w:szCs w:val="24"/>
          <w:lang w:eastAsia="en-GB"/>
        </w:rPr>
        <w:t>. Similarly influential on later Christian interpretations of the Bible were the many Latin versions</w:t>
      </w:r>
      <w:r w:rsidR="00B715DC">
        <w:rPr>
          <w:rStyle w:val="FootnoteReference"/>
          <w:rFonts w:ascii="Verdana" w:hAnsi="Verdana"/>
          <w:sz w:val="24"/>
          <w:szCs w:val="24"/>
          <w:lang w:eastAsia="en-GB"/>
        </w:rPr>
        <w:footnoteReference w:id="16"/>
      </w:r>
      <w:r w:rsidR="00B715DC">
        <w:rPr>
          <w:rFonts w:ascii="Verdana" w:hAnsi="Verdana"/>
          <w:sz w:val="24"/>
          <w:szCs w:val="24"/>
          <w:lang w:eastAsia="en-GB"/>
        </w:rPr>
        <w:t xml:space="preserve">, particularly the Vulgate, that </w:t>
      </w:r>
      <w:r w:rsidR="009013EB">
        <w:rPr>
          <w:rFonts w:ascii="Verdana" w:hAnsi="Verdana"/>
          <w:sz w:val="24"/>
          <w:szCs w:val="24"/>
          <w:lang w:eastAsia="en-GB"/>
        </w:rPr>
        <w:t xml:space="preserve">which </w:t>
      </w:r>
      <w:proofErr w:type="gramStart"/>
      <w:r w:rsidR="009013EB">
        <w:rPr>
          <w:rFonts w:ascii="Verdana" w:hAnsi="Verdana"/>
          <w:sz w:val="24"/>
          <w:szCs w:val="24"/>
          <w:lang w:eastAsia="en-GB"/>
        </w:rPr>
        <w:t xml:space="preserve">is </w:t>
      </w:r>
      <w:r w:rsidR="00B715DC">
        <w:rPr>
          <w:rFonts w:ascii="Verdana" w:hAnsi="Verdana"/>
          <w:sz w:val="24"/>
          <w:szCs w:val="24"/>
          <w:lang w:eastAsia="en-GB"/>
        </w:rPr>
        <w:t>attributed</w:t>
      </w:r>
      <w:proofErr w:type="gramEnd"/>
      <w:r w:rsidR="00B715DC">
        <w:rPr>
          <w:rFonts w:ascii="Verdana" w:hAnsi="Verdana"/>
          <w:sz w:val="24"/>
          <w:szCs w:val="24"/>
          <w:lang w:eastAsia="en-GB"/>
        </w:rPr>
        <w:t xml:space="preserve"> to St Jerome.</w:t>
      </w:r>
      <w:r w:rsidR="00231A94">
        <w:rPr>
          <w:rFonts w:ascii="Verdana" w:hAnsi="Verdana"/>
          <w:sz w:val="24"/>
          <w:szCs w:val="24"/>
          <w:lang w:eastAsia="en-GB"/>
        </w:rPr>
        <w:t xml:space="preserve"> Both of these Biblical translations have a special critical value as </w:t>
      </w:r>
      <w:r w:rsidR="00231A94">
        <w:rPr>
          <w:rFonts w:ascii="Verdana" w:hAnsi="Verdana"/>
          <w:sz w:val="24"/>
          <w:szCs w:val="24"/>
          <w:lang w:eastAsia="en-GB"/>
        </w:rPr>
        <w:lastRenderedPageBreak/>
        <w:t xml:space="preserve">they </w:t>
      </w:r>
      <w:proofErr w:type="gramStart"/>
      <w:r w:rsidR="00231A94">
        <w:rPr>
          <w:rFonts w:ascii="Verdana" w:hAnsi="Verdana"/>
          <w:sz w:val="24"/>
          <w:szCs w:val="24"/>
          <w:lang w:eastAsia="en-GB"/>
        </w:rPr>
        <w:t>were produced</w:t>
      </w:r>
      <w:proofErr w:type="gramEnd"/>
      <w:r w:rsidR="00231A94">
        <w:rPr>
          <w:rFonts w:ascii="Verdana" w:hAnsi="Verdana"/>
          <w:sz w:val="24"/>
          <w:szCs w:val="24"/>
          <w:lang w:eastAsia="en-GB"/>
        </w:rPr>
        <w:t xml:space="preserve"> before the establishment of the Hebrew text of the </w:t>
      </w:r>
      <w:proofErr w:type="spellStart"/>
      <w:r w:rsidR="00231A94">
        <w:rPr>
          <w:rFonts w:ascii="Verdana" w:hAnsi="Verdana"/>
          <w:sz w:val="24"/>
          <w:szCs w:val="24"/>
          <w:lang w:eastAsia="en-GB"/>
        </w:rPr>
        <w:t>Masoretes</w:t>
      </w:r>
      <w:proofErr w:type="spellEnd"/>
      <w:r w:rsidR="00231A94">
        <w:rPr>
          <w:rStyle w:val="FootnoteReference"/>
          <w:rFonts w:ascii="Verdana" w:hAnsi="Verdana"/>
          <w:sz w:val="24"/>
          <w:szCs w:val="24"/>
          <w:lang w:eastAsia="en-GB"/>
        </w:rPr>
        <w:footnoteReference w:id="17"/>
      </w:r>
      <w:r w:rsidR="00231A94">
        <w:rPr>
          <w:rFonts w:ascii="Verdana" w:hAnsi="Verdana"/>
          <w:sz w:val="24"/>
          <w:szCs w:val="24"/>
          <w:lang w:eastAsia="en-GB"/>
        </w:rPr>
        <w:t xml:space="preserve">. </w:t>
      </w:r>
    </w:p>
    <w:p w:rsidR="009013EB" w:rsidRDefault="009013EB" w:rsidP="000A408E">
      <w:pPr>
        <w:pStyle w:val="NoSpacing"/>
        <w:rPr>
          <w:rFonts w:ascii="Verdana" w:hAnsi="Verdana"/>
          <w:sz w:val="24"/>
          <w:szCs w:val="24"/>
          <w:lang w:eastAsia="en-GB"/>
        </w:rPr>
      </w:pPr>
      <w:r>
        <w:rPr>
          <w:rFonts w:ascii="Verdana" w:hAnsi="Verdana"/>
          <w:sz w:val="24"/>
          <w:szCs w:val="24"/>
          <w:lang w:eastAsia="en-GB"/>
        </w:rPr>
        <w:t>The Septuagint (LXX) is the oldest version of the Bible in Greek</w:t>
      </w:r>
      <w:r>
        <w:rPr>
          <w:rStyle w:val="FootnoteReference"/>
          <w:rFonts w:ascii="Verdana" w:hAnsi="Verdana"/>
          <w:sz w:val="24"/>
          <w:szCs w:val="24"/>
          <w:lang w:eastAsia="en-GB"/>
        </w:rPr>
        <w:footnoteReference w:id="18"/>
      </w:r>
      <w:r>
        <w:rPr>
          <w:rFonts w:ascii="Verdana" w:hAnsi="Verdana"/>
          <w:sz w:val="24"/>
          <w:szCs w:val="24"/>
          <w:lang w:eastAsia="en-GB"/>
        </w:rPr>
        <w:t xml:space="preserve">, whose origins were Alexandrian </w:t>
      </w:r>
      <w:r w:rsidR="00030758">
        <w:rPr>
          <w:rFonts w:ascii="Verdana" w:hAnsi="Verdana"/>
          <w:sz w:val="24"/>
          <w:szCs w:val="24"/>
          <w:lang w:eastAsia="en-GB"/>
        </w:rPr>
        <w:t>dating</w:t>
      </w:r>
      <w:r>
        <w:rPr>
          <w:rFonts w:ascii="Verdana" w:hAnsi="Verdana"/>
          <w:sz w:val="24"/>
          <w:szCs w:val="24"/>
          <w:lang w:eastAsia="en-GB"/>
        </w:rPr>
        <w:t xml:space="preserve"> from before 200</w:t>
      </w:r>
      <w:r w:rsidR="00E8686E">
        <w:rPr>
          <w:rFonts w:ascii="Verdana" w:hAnsi="Verdana"/>
          <w:sz w:val="24"/>
          <w:szCs w:val="24"/>
          <w:lang w:eastAsia="en-GB"/>
        </w:rPr>
        <w:t xml:space="preserve"> </w:t>
      </w:r>
      <w:r>
        <w:rPr>
          <w:rFonts w:ascii="Verdana" w:hAnsi="Verdana"/>
          <w:sz w:val="24"/>
          <w:szCs w:val="24"/>
          <w:lang w:eastAsia="en-GB"/>
        </w:rPr>
        <w:t>BCE</w:t>
      </w:r>
      <w:r>
        <w:rPr>
          <w:rStyle w:val="FootnoteReference"/>
          <w:rFonts w:ascii="Verdana" w:hAnsi="Verdana"/>
          <w:sz w:val="24"/>
          <w:szCs w:val="24"/>
          <w:lang w:eastAsia="en-GB"/>
        </w:rPr>
        <w:footnoteReference w:id="19"/>
      </w:r>
      <w:r>
        <w:rPr>
          <w:rFonts w:ascii="Verdana" w:hAnsi="Verdana"/>
          <w:sz w:val="24"/>
          <w:szCs w:val="24"/>
          <w:lang w:eastAsia="en-GB"/>
        </w:rPr>
        <w:t xml:space="preserve">. The evidence for this is taken from the ‘Letter of </w:t>
      </w:r>
      <w:proofErr w:type="spellStart"/>
      <w:r>
        <w:rPr>
          <w:rFonts w:ascii="Verdana" w:hAnsi="Verdana"/>
          <w:sz w:val="24"/>
          <w:szCs w:val="24"/>
          <w:lang w:eastAsia="en-GB"/>
        </w:rPr>
        <w:t>Aristeas</w:t>
      </w:r>
      <w:proofErr w:type="spellEnd"/>
      <w:r>
        <w:rPr>
          <w:rFonts w:ascii="Verdana" w:hAnsi="Verdana"/>
          <w:sz w:val="24"/>
          <w:szCs w:val="24"/>
          <w:lang w:eastAsia="en-GB"/>
        </w:rPr>
        <w:t>’, a contemporary a</w:t>
      </w:r>
      <w:r w:rsidR="00B53B6B">
        <w:rPr>
          <w:rFonts w:ascii="Verdana" w:hAnsi="Verdana"/>
          <w:sz w:val="24"/>
          <w:szCs w:val="24"/>
          <w:lang w:eastAsia="en-GB"/>
        </w:rPr>
        <w:t>ccount from the reign of Ptolem</w:t>
      </w:r>
      <w:r>
        <w:rPr>
          <w:rFonts w:ascii="Verdana" w:hAnsi="Verdana"/>
          <w:sz w:val="24"/>
          <w:szCs w:val="24"/>
          <w:lang w:eastAsia="en-GB"/>
        </w:rPr>
        <w:t>y II (285-247</w:t>
      </w:r>
      <w:r w:rsidR="00E8686E">
        <w:rPr>
          <w:rFonts w:ascii="Verdana" w:hAnsi="Verdana"/>
          <w:sz w:val="24"/>
          <w:szCs w:val="24"/>
          <w:lang w:eastAsia="en-GB"/>
        </w:rPr>
        <w:t xml:space="preserve"> </w:t>
      </w:r>
      <w:r>
        <w:rPr>
          <w:rFonts w:ascii="Verdana" w:hAnsi="Verdana"/>
          <w:sz w:val="24"/>
          <w:szCs w:val="24"/>
          <w:lang w:eastAsia="en-GB"/>
        </w:rPr>
        <w:t xml:space="preserve">BCE). Although the reliability of this source </w:t>
      </w:r>
      <w:proofErr w:type="gramStart"/>
      <w:r>
        <w:rPr>
          <w:rFonts w:ascii="Verdana" w:hAnsi="Verdana"/>
          <w:sz w:val="24"/>
          <w:szCs w:val="24"/>
          <w:lang w:eastAsia="en-GB"/>
        </w:rPr>
        <w:t>is disputed</w:t>
      </w:r>
      <w:proofErr w:type="gramEnd"/>
      <w:r>
        <w:rPr>
          <w:rStyle w:val="FootnoteReference"/>
          <w:rFonts w:ascii="Verdana" w:hAnsi="Verdana"/>
          <w:sz w:val="24"/>
          <w:szCs w:val="24"/>
          <w:lang w:eastAsia="en-GB"/>
        </w:rPr>
        <w:footnoteReference w:id="20"/>
      </w:r>
      <w:r>
        <w:rPr>
          <w:rFonts w:ascii="Verdana" w:hAnsi="Verdana"/>
          <w:sz w:val="24"/>
          <w:szCs w:val="24"/>
          <w:lang w:eastAsia="en-GB"/>
        </w:rPr>
        <w:t>, the linguistic evidence from the Septuagint of the Pentateuch itself would intimate that these books date from the first half of the third century</w:t>
      </w:r>
      <w:r w:rsidR="00E8686E">
        <w:rPr>
          <w:rFonts w:ascii="Verdana" w:hAnsi="Verdana"/>
          <w:sz w:val="24"/>
          <w:szCs w:val="24"/>
          <w:lang w:eastAsia="en-GB"/>
        </w:rPr>
        <w:t xml:space="preserve"> </w:t>
      </w:r>
      <w:r>
        <w:rPr>
          <w:rFonts w:ascii="Verdana" w:hAnsi="Verdana"/>
          <w:sz w:val="24"/>
          <w:szCs w:val="24"/>
          <w:lang w:eastAsia="en-GB"/>
        </w:rPr>
        <w:t>BCE</w:t>
      </w:r>
      <w:r>
        <w:rPr>
          <w:rStyle w:val="FootnoteReference"/>
          <w:rFonts w:ascii="Verdana" w:hAnsi="Verdana"/>
          <w:sz w:val="24"/>
          <w:szCs w:val="24"/>
          <w:lang w:eastAsia="en-GB"/>
        </w:rPr>
        <w:footnoteReference w:id="21"/>
      </w:r>
      <w:r>
        <w:rPr>
          <w:rFonts w:ascii="Verdana" w:hAnsi="Verdana"/>
          <w:sz w:val="24"/>
          <w:szCs w:val="24"/>
          <w:lang w:eastAsia="en-GB"/>
        </w:rPr>
        <w:t xml:space="preserve">. </w:t>
      </w:r>
      <w:r w:rsidR="00A261E8">
        <w:rPr>
          <w:rFonts w:ascii="Verdana" w:hAnsi="Verdana"/>
          <w:sz w:val="24"/>
          <w:szCs w:val="24"/>
          <w:lang w:eastAsia="en-GB"/>
        </w:rPr>
        <w:t>LXX comprises translations from Hebrew (or Aramaic) Scriptures but also include</w:t>
      </w:r>
      <w:r w:rsidR="003B0648">
        <w:rPr>
          <w:rFonts w:ascii="Verdana" w:hAnsi="Verdana"/>
          <w:sz w:val="24"/>
          <w:szCs w:val="24"/>
          <w:lang w:eastAsia="en-GB"/>
        </w:rPr>
        <w:t>s</w:t>
      </w:r>
      <w:r w:rsidR="00A261E8">
        <w:rPr>
          <w:rFonts w:ascii="Verdana" w:hAnsi="Verdana"/>
          <w:sz w:val="24"/>
          <w:szCs w:val="24"/>
          <w:lang w:eastAsia="en-GB"/>
        </w:rPr>
        <w:t xml:space="preserve"> other pieces written by Jews in the Hellenistic period, some of which were in Greek and some from lost Semitic languages. </w:t>
      </w:r>
      <w:r w:rsidR="003B0648">
        <w:rPr>
          <w:rFonts w:ascii="Verdana" w:hAnsi="Verdana"/>
          <w:sz w:val="24"/>
          <w:szCs w:val="24"/>
          <w:lang w:eastAsia="en-GB"/>
        </w:rPr>
        <w:t>These books became the Apocrypha accepted into the canon by some Christian Churches but not part of the Bible for Jews and Protestants</w:t>
      </w:r>
      <w:r w:rsidR="003B0648">
        <w:rPr>
          <w:rStyle w:val="FootnoteReference"/>
          <w:rFonts w:ascii="Verdana" w:hAnsi="Verdana"/>
          <w:sz w:val="24"/>
          <w:szCs w:val="24"/>
          <w:lang w:eastAsia="en-GB"/>
        </w:rPr>
        <w:footnoteReference w:id="22"/>
      </w:r>
      <w:r w:rsidR="003B0648">
        <w:rPr>
          <w:rFonts w:ascii="Verdana" w:hAnsi="Verdana"/>
          <w:sz w:val="24"/>
          <w:szCs w:val="24"/>
          <w:lang w:eastAsia="en-GB"/>
        </w:rPr>
        <w:t xml:space="preserve">. </w:t>
      </w:r>
      <w:r>
        <w:rPr>
          <w:rFonts w:ascii="Verdana" w:hAnsi="Verdana"/>
          <w:sz w:val="24"/>
          <w:szCs w:val="24"/>
          <w:lang w:eastAsia="en-GB"/>
        </w:rPr>
        <w:t>There are complex factors responsible for the LXX</w:t>
      </w:r>
      <w:r w:rsidR="00E8686E">
        <w:rPr>
          <w:rFonts w:ascii="Verdana" w:hAnsi="Verdana"/>
          <w:sz w:val="24"/>
          <w:szCs w:val="24"/>
          <w:lang w:eastAsia="en-GB"/>
        </w:rPr>
        <w:t>; the first translations could have been oral accompanying the reading of the Hebrew text</w:t>
      </w:r>
      <w:r w:rsidR="00E8686E">
        <w:rPr>
          <w:rStyle w:val="FootnoteReference"/>
          <w:rFonts w:ascii="Verdana" w:hAnsi="Verdana"/>
          <w:sz w:val="24"/>
          <w:szCs w:val="24"/>
          <w:lang w:eastAsia="en-GB"/>
        </w:rPr>
        <w:footnoteReference w:id="23"/>
      </w:r>
      <w:r w:rsidR="00E8686E">
        <w:rPr>
          <w:rFonts w:ascii="Verdana" w:hAnsi="Verdana"/>
          <w:sz w:val="24"/>
          <w:szCs w:val="24"/>
          <w:lang w:eastAsia="en-GB"/>
        </w:rPr>
        <w:t xml:space="preserve"> for the Alexandrian Jewish community whose knowledge of the Hebrew language was disappearing</w:t>
      </w:r>
      <w:r w:rsidR="00E8686E">
        <w:rPr>
          <w:rStyle w:val="FootnoteReference"/>
          <w:rFonts w:ascii="Verdana" w:hAnsi="Verdana"/>
          <w:sz w:val="24"/>
          <w:szCs w:val="24"/>
          <w:lang w:eastAsia="en-GB"/>
        </w:rPr>
        <w:footnoteReference w:id="24"/>
      </w:r>
      <w:r w:rsidR="00E8686E">
        <w:rPr>
          <w:rFonts w:ascii="Verdana" w:hAnsi="Verdana"/>
          <w:sz w:val="24"/>
          <w:szCs w:val="24"/>
          <w:lang w:eastAsia="en-GB"/>
        </w:rPr>
        <w:t>. The translation of sacred text from Hebrew into Greek was innovative and the emerging written translation took place of the original</w:t>
      </w:r>
      <w:r w:rsidR="00E8686E">
        <w:rPr>
          <w:rStyle w:val="FootnoteReference"/>
          <w:rFonts w:ascii="Verdana" w:hAnsi="Verdana"/>
          <w:sz w:val="24"/>
          <w:szCs w:val="24"/>
          <w:lang w:eastAsia="en-GB"/>
        </w:rPr>
        <w:footnoteReference w:id="25"/>
      </w:r>
      <w:r w:rsidR="00E8686E">
        <w:rPr>
          <w:rFonts w:ascii="Verdana" w:hAnsi="Verdana"/>
          <w:sz w:val="24"/>
          <w:szCs w:val="24"/>
          <w:lang w:eastAsia="en-GB"/>
        </w:rPr>
        <w:t>. In order to commit to a written version, a ‘correct’ text had to be determined</w:t>
      </w:r>
      <w:r w:rsidR="00E8686E">
        <w:rPr>
          <w:rStyle w:val="FootnoteReference"/>
          <w:rFonts w:ascii="Verdana" w:hAnsi="Verdana"/>
          <w:sz w:val="24"/>
          <w:szCs w:val="24"/>
          <w:lang w:eastAsia="en-GB"/>
        </w:rPr>
        <w:footnoteReference w:id="26"/>
      </w:r>
      <w:r w:rsidR="00E8686E">
        <w:rPr>
          <w:rFonts w:ascii="Verdana" w:hAnsi="Verdana"/>
          <w:sz w:val="24"/>
          <w:szCs w:val="24"/>
          <w:lang w:eastAsia="en-GB"/>
        </w:rPr>
        <w:t xml:space="preserve"> </w:t>
      </w:r>
      <w:r w:rsidR="00194E02">
        <w:rPr>
          <w:rFonts w:ascii="Verdana" w:hAnsi="Verdana"/>
          <w:sz w:val="24"/>
          <w:szCs w:val="24"/>
          <w:lang w:eastAsia="en-GB"/>
        </w:rPr>
        <w:t>thus capturing</w:t>
      </w:r>
      <w:r w:rsidR="00E8686E">
        <w:rPr>
          <w:rFonts w:ascii="Verdana" w:hAnsi="Verdana"/>
          <w:sz w:val="24"/>
          <w:szCs w:val="24"/>
          <w:lang w:eastAsia="en-GB"/>
        </w:rPr>
        <w:t xml:space="preserve"> </w:t>
      </w:r>
      <w:r w:rsidR="00194E02">
        <w:rPr>
          <w:rFonts w:ascii="Verdana" w:hAnsi="Verdana"/>
          <w:sz w:val="24"/>
          <w:szCs w:val="24"/>
          <w:lang w:eastAsia="en-GB"/>
        </w:rPr>
        <w:t>contemporary Hebrew Scripture. The Greek was dependent on the Hebrew in</w:t>
      </w:r>
      <w:r w:rsidR="003B0648">
        <w:rPr>
          <w:rFonts w:ascii="Verdana" w:hAnsi="Verdana"/>
          <w:sz w:val="24"/>
          <w:szCs w:val="24"/>
          <w:lang w:eastAsia="en-GB"/>
        </w:rPr>
        <w:t xml:space="preserve"> order to ascertain the full for</w:t>
      </w:r>
      <w:r w:rsidR="00194E02">
        <w:rPr>
          <w:rFonts w:ascii="Verdana" w:hAnsi="Verdana"/>
          <w:sz w:val="24"/>
          <w:szCs w:val="24"/>
          <w:lang w:eastAsia="en-GB"/>
        </w:rPr>
        <w:t>m and meaning of the text</w:t>
      </w:r>
      <w:r w:rsidR="00194E02">
        <w:rPr>
          <w:rStyle w:val="FootnoteReference"/>
          <w:rFonts w:ascii="Verdana" w:hAnsi="Verdana"/>
          <w:sz w:val="24"/>
          <w:szCs w:val="24"/>
          <w:lang w:eastAsia="en-GB"/>
        </w:rPr>
        <w:footnoteReference w:id="27"/>
      </w:r>
      <w:r w:rsidR="00194E02">
        <w:rPr>
          <w:rFonts w:ascii="Verdana" w:hAnsi="Verdana"/>
          <w:sz w:val="24"/>
          <w:szCs w:val="24"/>
          <w:lang w:eastAsia="en-GB"/>
        </w:rPr>
        <w:t xml:space="preserve">. </w:t>
      </w:r>
      <w:r w:rsidR="00B53B6B">
        <w:rPr>
          <w:rFonts w:ascii="Verdana" w:hAnsi="Verdana"/>
          <w:sz w:val="24"/>
          <w:szCs w:val="24"/>
          <w:lang w:eastAsia="en-GB"/>
        </w:rPr>
        <w:t>A further reason for the translation of the Hebrew Scriptures, as well as for liturgical purposes,</w:t>
      </w:r>
      <w:r w:rsidR="00194E02">
        <w:rPr>
          <w:rFonts w:ascii="Verdana" w:hAnsi="Verdana"/>
          <w:sz w:val="24"/>
          <w:szCs w:val="24"/>
          <w:lang w:eastAsia="en-GB"/>
        </w:rPr>
        <w:t xml:space="preserve"> was </w:t>
      </w:r>
      <w:r w:rsidR="00B53B6B">
        <w:rPr>
          <w:rFonts w:ascii="Verdana" w:hAnsi="Verdana"/>
          <w:sz w:val="24"/>
          <w:szCs w:val="24"/>
          <w:lang w:eastAsia="en-GB"/>
        </w:rPr>
        <w:t>for the integration of</w:t>
      </w:r>
      <w:r w:rsidR="00194E02">
        <w:rPr>
          <w:rFonts w:ascii="Verdana" w:hAnsi="Verdana"/>
          <w:sz w:val="24"/>
          <w:szCs w:val="24"/>
          <w:lang w:eastAsia="en-GB"/>
        </w:rPr>
        <w:t xml:space="preserve"> the Jewish community into </w:t>
      </w:r>
      <w:r w:rsidR="00B53B6B">
        <w:rPr>
          <w:rFonts w:ascii="Verdana" w:hAnsi="Verdana"/>
          <w:sz w:val="24"/>
          <w:szCs w:val="24"/>
          <w:lang w:eastAsia="en-GB"/>
        </w:rPr>
        <w:t>the</w:t>
      </w:r>
      <w:r w:rsidR="00194E02">
        <w:rPr>
          <w:rFonts w:ascii="Verdana" w:hAnsi="Verdana"/>
          <w:sz w:val="24"/>
          <w:szCs w:val="24"/>
          <w:lang w:eastAsia="en-GB"/>
        </w:rPr>
        <w:t xml:space="preserve"> kingdom</w:t>
      </w:r>
      <w:r w:rsidR="00B53B6B">
        <w:rPr>
          <w:rFonts w:ascii="Verdana" w:hAnsi="Verdana"/>
          <w:sz w:val="24"/>
          <w:szCs w:val="24"/>
          <w:lang w:eastAsia="en-GB"/>
        </w:rPr>
        <w:t xml:space="preserve"> of Ptolemy II. A</w:t>
      </w:r>
      <w:r w:rsidR="00194E02">
        <w:rPr>
          <w:rFonts w:ascii="Verdana" w:hAnsi="Verdana"/>
          <w:sz w:val="24"/>
          <w:szCs w:val="24"/>
          <w:lang w:eastAsia="en-GB"/>
        </w:rPr>
        <w:t xml:space="preserve"> translation of the Law would mean that it could be included in the judicial system of the time</w:t>
      </w:r>
      <w:r w:rsidR="00194E02">
        <w:rPr>
          <w:rStyle w:val="FootnoteReference"/>
          <w:rFonts w:ascii="Verdana" w:hAnsi="Verdana"/>
          <w:sz w:val="24"/>
          <w:szCs w:val="24"/>
          <w:lang w:eastAsia="en-GB"/>
        </w:rPr>
        <w:footnoteReference w:id="28"/>
      </w:r>
      <w:r w:rsidR="003B0648">
        <w:rPr>
          <w:rFonts w:ascii="Verdana" w:hAnsi="Verdana"/>
          <w:sz w:val="24"/>
          <w:szCs w:val="24"/>
          <w:lang w:eastAsia="en-GB"/>
        </w:rPr>
        <w:t xml:space="preserve">. </w:t>
      </w:r>
      <w:r w:rsidR="006C5FD2">
        <w:rPr>
          <w:rFonts w:ascii="Verdana" w:hAnsi="Verdana"/>
          <w:sz w:val="24"/>
          <w:szCs w:val="24"/>
          <w:lang w:eastAsia="en-GB"/>
        </w:rPr>
        <w:t>Although some Jews were using LXX as late as 533 CE</w:t>
      </w:r>
      <w:r w:rsidR="006C5FD2">
        <w:rPr>
          <w:rStyle w:val="FootnoteReference"/>
          <w:rFonts w:ascii="Verdana" w:hAnsi="Verdana"/>
          <w:sz w:val="24"/>
          <w:szCs w:val="24"/>
          <w:lang w:eastAsia="en-GB"/>
        </w:rPr>
        <w:footnoteReference w:id="29"/>
      </w:r>
      <w:r w:rsidR="006C5FD2">
        <w:rPr>
          <w:rFonts w:ascii="Verdana" w:hAnsi="Verdana"/>
          <w:sz w:val="24"/>
          <w:szCs w:val="24"/>
          <w:lang w:eastAsia="en-GB"/>
        </w:rPr>
        <w:t>,</w:t>
      </w:r>
      <w:r w:rsidR="00AC5C5E">
        <w:rPr>
          <w:rFonts w:ascii="Verdana" w:hAnsi="Verdana"/>
          <w:sz w:val="24"/>
          <w:szCs w:val="24"/>
          <w:lang w:eastAsia="en-GB"/>
        </w:rPr>
        <w:t xml:space="preserve"> the early reverence for LXX waned with the growing realisation of the divergences between the text of the Hebrew Scriptures and the Greek translation</w:t>
      </w:r>
      <w:r w:rsidR="00AC5C5E">
        <w:rPr>
          <w:rStyle w:val="FootnoteReference"/>
          <w:rFonts w:ascii="Verdana" w:hAnsi="Verdana"/>
          <w:sz w:val="24"/>
          <w:szCs w:val="24"/>
          <w:lang w:eastAsia="en-GB"/>
        </w:rPr>
        <w:footnoteReference w:id="30"/>
      </w:r>
      <w:r w:rsidR="00AC5C5E">
        <w:rPr>
          <w:rFonts w:ascii="Verdana" w:hAnsi="Verdana"/>
          <w:sz w:val="24"/>
          <w:szCs w:val="24"/>
          <w:lang w:eastAsia="en-GB"/>
        </w:rPr>
        <w:t>. Further, when Christianity emerged and accepted LXX as the</w:t>
      </w:r>
      <w:r w:rsidR="00F24603">
        <w:rPr>
          <w:rFonts w:ascii="Verdana" w:hAnsi="Verdana"/>
          <w:sz w:val="24"/>
          <w:szCs w:val="24"/>
          <w:lang w:eastAsia="en-GB"/>
        </w:rPr>
        <w:t>ir official Scripture (</w:t>
      </w:r>
      <w:r w:rsidR="00152332">
        <w:rPr>
          <w:rFonts w:ascii="Verdana" w:hAnsi="Verdana"/>
          <w:sz w:val="24"/>
          <w:szCs w:val="24"/>
          <w:lang w:eastAsia="en-GB"/>
        </w:rPr>
        <w:t>quoting it</w:t>
      </w:r>
      <w:r w:rsidR="00F24603">
        <w:rPr>
          <w:rFonts w:ascii="Verdana" w:hAnsi="Verdana"/>
          <w:sz w:val="24"/>
          <w:szCs w:val="24"/>
          <w:lang w:eastAsia="en-GB"/>
        </w:rPr>
        <w:t xml:space="preserve"> in the New Testament</w:t>
      </w:r>
      <w:r w:rsidR="00F24603">
        <w:rPr>
          <w:rStyle w:val="FootnoteReference"/>
          <w:rFonts w:ascii="Verdana" w:hAnsi="Verdana"/>
          <w:sz w:val="24"/>
          <w:szCs w:val="24"/>
          <w:lang w:eastAsia="en-GB"/>
        </w:rPr>
        <w:footnoteReference w:id="31"/>
      </w:r>
      <w:r w:rsidR="00F24603">
        <w:rPr>
          <w:rFonts w:ascii="Verdana" w:hAnsi="Verdana"/>
          <w:sz w:val="24"/>
          <w:szCs w:val="24"/>
          <w:lang w:eastAsia="en-GB"/>
        </w:rPr>
        <w:t>)</w:t>
      </w:r>
      <w:r w:rsidR="00AC5C5E">
        <w:rPr>
          <w:rFonts w:ascii="Verdana" w:hAnsi="Verdana"/>
          <w:sz w:val="24"/>
          <w:szCs w:val="24"/>
          <w:lang w:eastAsia="en-GB"/>
        </w:rPr>
        <w:t>, the originally Jewish translation was abandoned by Judaism</w:t>
      </w:r>
      <w:r w:rsidR="00AC5C5E">
        <w:rPr>
          <w:rStyle w:val="FootnoteReference"/>
          <w:rFonts w:ascii="Verdana" w:hAnsi="Verdana"/>
          <w:sz w:val="24"/>
          <w:szCs w:val="24"/>
          <w:lang w:eastAsia="en-GB"/>
        </w:rPr>
        <w:footnoteReference w:id="32"/>
      </w:r>
      <w:r w:rsidR="00AC5C5E">
        <w:rPr>
          <w:rFonts w:ascii="Verdana" w:hAnsi="Verdana"/>
          <w:sz w:val="24"/>
          <w:szCs w:val="24"/>
          <w:lang w:eastAsia="en-GB"/>
        </w:rPr>
        <w:t>.</w:t>
      </w:r>
      <w:r w:rsidR="00FC1AC8">
        <w:rPr>
          <w:rFonts w:ascii="Verdana" w:hAnsi="Verdana"/>
          <w:sz w:val="24"/>
          <w:szCs w:val="24"/>
          <w:lang w:eastAsia="en-GB"/>
        </w:rPr>
        <w:t xml:space="preserve"> </w:t>
      </w:r>
      <w:proofErr w:type="gramStart"/>
      <w:r w:rsidR="00FC1AC8">
        <w:rPr>
          <w:rFonts w:ascii="Verdana" w:hAnsi="Verdana"/>
          <w:sz w:val="24"/>
          <w:szCs w:val="24"/>
          <w:lang w:eastAsia="en-GB"/>
        </w:rPr>
        <w:t xml:space="preserve">New Greek translations were produced </w:t>
      </w:r>
      <w:r w:rsidR="00152332">
        <w:rPr>
          <w:rFonts w:ascii="Verdana" w:hAnsi="Verdana"/>
          <w:sz w:val="24"/>
          <w:szCs w:val="24"/>
          <w:lang w:eastAsia="en-GB"/>
        </w:rPr>
        <w:t>by the Jews</w:t>
      </w:r>
      <w:r w:rsidR="00030758">
        <w:rPr>
          <w:rFonts w:ascii="Verdana" w:hAnsi="Verdana"/>
          <w:sz w:val="24"/>
          <w:szCs w:val="24"/>
          <w:lang w:eastAsia="en-GB"/>
        </w:rPr>
        <w:t>,</w:t>
      </w:r>
      <w:r w:rsidR="00152332">
        <w:rPr>
          <w:rFonts w:ascii="Verdana" w:hAnsi="Verdana"/>
          <w:sz w:val="24"/>
          <w:szCs w:val="24"/>
          <w:lang w:eastAsia="en-GB"/>
        </w:rPr>
        <w:t xml:space="preserve"> </w:t>
      </w:r>
      <w:r w:rsidR="00FC1AC8">
        <w:rPr>
          <w:rFonts w:ascii="Verdana" w:hAnsi="Verdana"/>
          <w:sz w:val="24"/>
          <w:szCs w:val="24"/>
          <w:lang w:eastAsia="en-GB"/>
        </w:rPr>
        <w:t>which revised LXX</w:t>
      </w:r>
      <w:proofErr w:type="gramEnd"/>
      <w:r w:rsidR="00FC1AC8">
        <w:rPr>
          <w:rFonts w:ascii="Verdana" w:hAnsi="Verdana"/>
          <w:sz w:val="24"/>
          <w:szCs w:val="24"/>
          <w:lang w:eastAsia="en-GB"/>
        </w:rPr>
        <w:t xml:space="preserve"> and these were based on the Hebrew texts current in </w:t>
      </w:r>
      <w:r w:rsidR="00FC1AC8">
        <w:rPr>
          <w:rFonts w:ascii="Verdana" w:hAnsi="Verdana"/>
          <w:sz w:val="24"/>
          <w:szCs w:val="24"/>
          <w:lang w:eastAsia="en-GB"/>
        </w:rPr>
        <w:lastRenderedPageBreak/>
        <w:t xml:space="preserve">Palestine most notably by Aquila, </w:t>
      </w:r>
      <w:proofErr w:type="spellStart"/>
      <w:r w:rsidR="00FC1AC8">
        <w:rPr>
          <w:rFonts w:ascii="Verdana" w:hAnsi="Verdana"/>
          <w:sz w:val="24"/>
          <w:szCs w:val="24"/>
          <w:lang w:eastAsia="en-GB"/>
        </w:rPr>
        <w:t>Symmachus</w:t>
      </w:r>
      <w:proofErr w:type="spellEnd"/>
      <w:r w:rsidR="00FC1AC8">
        <w:rPr>
          <w:rFonts w:ascii="Verdana" w:hAnsi="Verdana"/>
          <w:sz w:val="24"/>
          <w:szCs w:val="24"/>
          <w:lang w:eastAsia="en-GB"/>
        </w:rPr>
        <w:t xml:space="preserve"> and </w:t>
      </w:r>
      <w:proofErr w:type="spellStart"/>
      <w:r w:rsidR="00FC1AC8">
        <w:rPr>
          <w:rFonts w:ascii="Verdana" w:hAnsi="Verdana"/>
          <w:sz w:val="24"/>
          <w:szCs w:val="24"/>
          <w:lang w:eastAsia="en-GB"/>
        </w:rPr>
        <w:t>Theodotion</w:t>
      </w:r>
      <w:proofErr w:type="spellEnd"/>
      <w:r w:rsidR="00FC1AC8">
        <w:rPr>
          <w:rStyle w:val="FootnoteReference"/>
          <w:rFonts w:ascii="Verdana" w:hAnsi="Verdana"/>
          <w:sz w:val="24"/>
          <w:szCs w:val="24"/>
          <w:lang w:eastAsia="en-GB"/>
        </w:rPr>
        <w:footnoteReference w:id="33"/>
      </w:r>
      <w:r w:rsidR="00D8219A">
        <w:rPr>
          <w:rFonts w:ascii="Verdana" w:hAnsi="Verdana"/>
          <w:sz w:val="24"/>
          <w:szCs w:val="24"/>
          <w:lang w:eastAsia="en-GB"/>
        </w:rPr>
        <w:t>; these no longer being complete</w:t>
      </w:r>
      <w:r w:rsidR="00D8219A">
        <w:rPr>
          <w:rStyle w:val="FootnoteReference"/>
          <w:rFonts w:ascii="Verdana" w:hAnsi="Verdana"/>
          <w:sz w:val="24"/>
          <w:szCs w:val="24"/>
          <w:lang w:eastAsia="en-GB"/>
        </w:rPr>
        <w:footnoteReference w:id="34"/>
      </w:r>
      <w:r w:rsidR="00CD78B5">
        <w:rPr>
          <w:rFonts w:ascii="Verdana" w:hAnsi="Verdana"/>
          <w:sz w:val="24"/>
          <w:szCs w:val="24"/>
          <w:lang w:eastAsia="en-GB"/>
        </w:rPr>
        <w:t xml:space="preserve">. </w:t>
      </w:r>
      <w:r w:rsidR="00D8219A">
        <w:rPr>
          <w:rFonts w:ascii="Verdana" w:hAnsi="Verdana"/>
          <w:sz w:val="24"/>
          <w:szCs w:val="24"/>
          <w:lang w:eastAsia="en-GB"/>
        </w:rPr>
        <w:t xml:space="preserve">The significance of the Septuagint for biblical criticism lies in the fact that the Hebrew text on which it </w:t>
      </w:r>
      <w:proofErr w:type="gramStart"/>
      <w:r w:rsidR="00D8219A">
        <w:rPr>
          <w:rFonts w:ascii="Verdana" w:hAnsi="Verdana"/>
          <w:sz w:val="24"/>
          <w:szCs w:val="24"/>
          <w:lang w:eastAsia="en-GB"/>
        </w:rPr>
        <w:t>is based</w:t>
      </w:r>
      <w:proofErr w:type="gramEnd"/>
      <w:r w:rsidR="00D8219A">
        <w:rPr>
          <w:rFonts w:ascii="Verdana" w:hAnsi="Verdana"/>
          <w:sz w:val="24"/>
          <w:szCs w:val="24"/>
          <w:lang w:eastAsia="en-GB"/>
        </w:rPr>
        <w:t xml:space="preserve"> is at variance to the Masoretic tradition</w:t>
      </w:r>
      <w:r w:rsidR="00D8219A">
        <w:rPr>
          <w:rStyle w:val="FootnoteReference"/>
          <w:rFonts w:ascii="Verdana" w:hAnsi="Verdana"/>
          <w:sz w:val="24"/>
          <w:szCs w:val="24"/>
          <w:lang w:eastAsia="en-GB"/>
        </w:rPr>
        <w:footnoteReference w:id="35"/>
      </w:r>
      <w:r w:rsidR="00D8219A">
        <w:rPr>
          <w:rFonts w:ascii="Verdana" w:hAnsi="Verdana"/>
          <w:sz w:val="24"/>
          <w:szCs w:val="24"/>
          <w:lang w:eastAsia="en-GB"/>
        </w:rPr>
        <w:t xml:space="preserve"> and other Hebrew texts found at Qumran</w:t>
      </w:r>
      <w:r w:rsidR="00D8219A">
        <w:rPr>
          <w:rStyle w:val="FootnoteReference"/>
          <w:rFonts w:ascii="Verdana" w:hAnsi="Verdana"/>
          <w:sz w:val="24"/>
          <w:szCs w:val="24"/>
          <w:lang w:eastAsia="en-GB"/>
        </w:rPr>
        <w:footnoteReference w:id="36"/>
      </w:r>
      <w:r w:rsidR="00D8219A">
        <w:rPr>
          <w:rFonts w:ascii="Verdana" w:hAnsi="Verdana"/>
          <w:sz w:val="24"/>
          <w:szCs w:val="24"/>
          <w:lang w:eastAsia="en-GB"/>
        </w:rPr>
        <w:t>.</w:t>
      </w:r>
      <w:r w:rsidR="00324E84">
        <w:rPr>
          <w:rFonts w:ascii="Verdana" w:hAnsi="Verdana"/>
          <w:sz w:val="24"/>
          <w:szCs w:val="24"/>
          <w:lang w:eastAsia="en-GB"/>
        </w:rPr>
        <w:t xml:space="preserve"> Only in modern times did Jewish scholars appreciate Septuagint studies as contributing to the understanding of the Bible</w:t>
      </w:r>
      <w:r w:rsidR="00324E84">
        <w:rPr>
          <w:rStyle w:val="FootnoteReference"/>
          <w:rFonts w:ascii="Verdana" w:hAnsi="Verdana"/>
          <w:sz w:val="24"/>
          <w:szCs w:val="24"/>
          <w:lang w:eastAsia="en-GB"/>
        </w:rPr>
        <w:footnoteReference w:id="37"/>
      </w:r>
      <w:r w:rsidR="00EB6931">
        <w:rPr>
          <w:rFonts w:ascii="Verdana" w:hAnsi="Verdana"/>
          <w:sz w:val="24"/>
          <w:szCs w:val="24"/>
          <w:lang w:eastAsia="en-GB"/>
        </w:rPr>
        <w:t>. In the Eastern Church, the Septuagint has remained the liturgical Old Testament text across the centuries</w:t>
      </w:r>
      <w:r w:rsidR="00EB6931">
        <w:rPr>
          <w:rStyle w:val="FootnoteReference"/>
          <w:rFonts w:ascii="Verdana" w:hAnsi="Verdana"/>
          <w:sz w:val="24"/>
          <w:szCs w:val="24"/>
          <w:lang w:eastAsia="en-GB"/>
        </w:rPr>
        <w:footnoteReference w:id="38"/>
      </w:r>
      <w:r w:rsidR="00EB6931">
        <w:rPr>
          <w:rFonts w:ascii="Verdana" w:hAnsi="Verdana"/>
          <w:sz w:val="24"/>
          <w:szCs w:val="24"/>
          <w:lang w:eastAsia="en-GB"/>
        </w:rPr>
        <w:t>.</w:t>
      </w:r>
      <w:r w:rsidR="00152332">
        <w:rPr>
          <w:rFonts w:ascii="Verdana" w:hAnsi="Verdana"/>
          <w:sz w:val="24"/>
          <w:szCs w:val="24"/>
          <w:lang w:eastAsia="en-GB"/>
        </w:rPr>
        <w:t xml:space="preserve"> </w:t>
      </w:r>
    </w:p>
    <w:p w:rsidR="00EF1CF4" w:rsidRDefault="00EF1CF4" w:rsidP="000A408E">
      <w:pPr>
        <w:pStyle w:val="NoSpacing"/>
        <w:rPr>
          <w:rFonts w:ascii="Verdana" w:hAnsi="Verdana"/>
          <w:sz w:val="24"/>
          <w:szCs w:val="24"/>
          <w:lang w:eastAsia="en-GB"/>
        </w:rPr>
      </w:pPr>
      <w:r>
        <w:rPr>
          <w:rFonts w:ascii="Verdana" w:hAnsi="Verdana"/>
          <w:sz w:val="24"/>
          <w:szCs w:val="24"/>
          <w:lang w:eastAsia="en-GB"/>
        </w:rPr>
        <w:t xml:space="preserve">The rapid growth of Christianity in Europe and North Africa where Latin </w:t>
      </w:r>
      <w:proofErr w:type="gramStart"/>
      <w:r>
        <w:rPr>
          <w:rFonts w:ascii="Verdana" w:hAnsi="Verdana"/>
          <w:sz w:val="24"/>
          <w:szCs w:val="24"/>
          <w:lang w:eastAsia="en-GB"/>
        </w:rPr>
        <w:t>was most commonly spoken</w:t>
      </w:r>
      <w:proofErr w:type="gramEnd"/>
      <w:r>
        <w:rPr>
          <w:rFonts w:ascii="Verdana" w:hAnsi="Verdana"/>
          <w:sz w:val="24"/>
          <w:szCs w:val="24"/>
          <w:lang w:eastAsia="en-GB"/>
        </w:rPr>
        <w:t>, gave rise to translations of the Bible into Latin</w:t>
      </w:r>
      <w:r>
        <w:rPr>
          <w:rStyle w:val="FootnoteReference"/>
          <w:rFonts w:ascii="Verdana" w:hAnsi="Verdana"/>
          <w:sz w:val="24"/>
          <w:szCs w:val="24"/>
          <w:lang w:eastAsia="en-GB"/>
        </w:rPr>
        <w:footnoteReference w:id="39"/>
      </w:r>
      <w:r>
        <w:rPr>
          <w:rFonts w:ascii="Verdana" w:hAnsi="Verdana"/>
          <w:sz w:val="24"/>
          <w:szCs w:val="24"/>
          <w:lang w:eastAsia="en-GB"/>
        </w:rPr>
        <w:t>. This led to many versions and textual disagreements that</w:t>
      </w:r>
      <w:r w:rsidR="00935664">
        <w:rPr>
          <w:rFonts w:ascii="Verdana" w:hAnsi="Verdana"/>
          <w:sz w:val="24"/>
          <w:szCs w:val="24"/>
          <w:lang w:eastAsia="en-GB"/>
        </w:rPr>
        <w:t>,</w:t>
      </w:r>
      <w:r>
        <w:rPr>
          <w:rFonts w:ascii="Verdana" w:hAnsi="Verdana"/>
          <w:sz w:val="24"/>
          <w:szCs w:val="24"/>
          <w:lang w:eastAsia="en-GB"/>
        </w:rPr>
        <w:t xml:space="preserve"> in order to diffuse exegetical and liturgical difficulties and to remedy the </w:t>
      </w:r>
      <w:proofErr w:type="gramStart"/>
      <w:r>
        <w:rPr>
          <w:rFonts w:ascii="Verdana" w:hAnsi="Verdana"/>
          <w:sz w:val="24"/>
          <w:szCs w:val="24"/>
          <w:lang w:eastAsia="en-GB"/>
        </w:rPr>
        <w:t>situation which</w:t>
      </w:r>
      <w:proofErr w:type="gramEnd"/>
      <w:r>
        <w:rPr>
          <w:rFonts w:ascii="Verdana" w:hAnsi="Verdana"/>
          <w:sz w:val="24"/>
          <w:szCs w:val="24"/>
          <w:lang w:eastAsia="en-GB"/>
        </w:rPr>
        <w:t xml:space="preserve"> had become so chaotic, Pope </w:t>
      </w:r>
      <w:proofErr w:type="spellStart"/>
      <w:r>
        <w:rPr>
          <w:rFonts w:ascii="Verdana" w:hAnsi="Verdana"/>
          <w:sz w:val="24"/>
          <w:szCs w:val="24"/>
          <w:lang w:eastAsia="en-GB"/>
        </w:rPr>
        <w:t>Damasus</w:t>
      </w:r>
      <w:proofErr w:type="spellEnd"/>
      <w:r>
        <w:rPr>
          <w:rFonts w:ascii="Verdana" w:hAnsi="Verdana"/>
          <w:sz w:val="24"/>
          <w:szCs w:val="24"/>
          <w:lang w:eastAsia="en-GB"/>
        </w:rPr>
        <w:t xml:space="preserve"> in the fourth century CE commissioned Eusebius Hieronymus (Jerome) to revise the Old Latin of the Gospels</w:t>
      </w:r>
      <w:r>
        <w:rPr>
          <w:rStyle w:val="FootnoteReference"/>
          <w:rFonts w:ascii="Verdana" w:hAnsi="Verdana"/>
          <w:sz w:val="24"/>
          <w:szCs w:val="24"/>
          <w:lang w:eastAsia="en-GB"/>
        </w:rPr>
        <w:footnoteReference w:id="40"/>
      </w:r>
      <w:r>
        <w:rPr>
          <w:rFonts w:ascii="Verdana" w:hAnsi="Verdana"/>
          <w:sz w:val="24"/>
          <w:szCs w:val="24"/>
          <w:lang w:eastAsia="en-GB"/>
        </w:rPr>
        <w:t xml:space="preserve">. </w:t>
      </w:r>
      <w:r w:rsidR="00677B83">
        <w:rPr>
          <w:rFonts w:ascii="Verdana" w:hAnsi="Verdana"/>
          <w:sz w:val="24"/>
          <w:szCs w:val="24"/>
          <w:lang w:eastAsia="en-GB"/>
        </w:rPr>
        <w:t xml:space="preserve">After </w:t>
      </w:r>
      <w:proofErr w:type="gramStart"/>
      <w:r w:rsidR="00677B83">
        <w:rPr>
          <w:rFonts w:ascii="Verdana" w:hAnsi="Verdana"/>
          <w:sz w:val="24"/>
          <w:szCs w:val="24"/>
          <w:lang w:eastAsia="en-GB"/>
        </w:rPr>
        <w:t>completing</w:t>
      </w:r>
      <w:proofErr w:type="gramEnd"/>
      <w:r w:rsidR="00677B83">
        <w:rPr>
          <w:rFonts w:ascii="Verdana" w:hAnsi="Verdana"/>
          <w:sz w:val="24"/>
          <w:szCs w:val="24"/>
          <w:lang w:eastAsia="en-GB"/>
        </w:rPr>
        <w:t xml:space="preserve"> the Gospels and the Psalter Jerome set to preparing a Latin version of the Old Testament.</w:t>
      </w:r>
      <w:r w:rsidR="00F62956">
        <w:rPr>
          <w:rFonts w:ascii="Verdana" w:hAnsi="Verdana"/>
          <w:sz w:val="24"/>
          <w:szCs w:val="24"/>
          <w:lang w:eastAsia="en-GB"/>
        </w:rPr>
        <w:t xml:space="preserve"> In his work revising the Psalter (</w:t>
      </w:r>
      <w:proofErr w:type="spellStart"/>
      <w:r w:rsidR="00F62956">
        <w:rPr>
          <w:rFonts w:ascii="Verdana" w:hAnsi="Verdana"/>
          <w:sz w:val="24"/>
          <w:szCs w:val="24"/>
          <w:lang w:eastAsia="en-GB"/>
        </w:rPr>
        <w:t>Psalterium</w:t>
      </w:r>
      <w:proofErr w:type="spellEnd"/>
      <w:r w:rsidR="00F62956">
        <w:rPr>
          <w:rFonts w:ascii="Verdana" w:hAnsi="Verdana"/>
          <w:sz w:val="24"/>
          <w:szCs w:val="24"/>
          <w:lang w:eastAsia="en-GB"/>
        </w:rPr>
        <w:t xml:space="preserve"> </w:t>
      </w:r>
      <w:proofErr w:type="spellStart"/>
      <w:r w:rsidR="00F62956">
        <w:rPr>
          <w:rFonts w:ascii="Verdana" w:hAnsi="Verdana"/>
          <w:sz w:val="24"/>
          <w:szCs w:val="24"/>
          <w:lang w:eastAsia="en-GB"/>
        </w:rPr>
        <w:t>Gallicanum</w:t>
      </w:r>
      <w:proofErr w:type="spellEnd"/>
      <w:r w:rsidR="00F62956">
        <w:rPr>
          <w:rFonts w:ascii="Verdana" w:hAnsi="Verdana"/>
          <w:sz w:val="24"/>
          <w:szCs w:val="24"/>
          <w:lang w:eastAsia="en-GB"/>
        </w:rPr>
        <w:t>)</w:t>
      </w:r>
      <w:r w:rsidR="0063630F">
        <w:rPr>
          <w:rStyle w:val="FootnoteReference"/>
          <w:rFonts w:ascii="Verdana" w:hAnsi="Verdana"/>
          <w:sz w:val="24"/>
          <w:szCs w:val="24"/>
          <w:lang w:eastAsia="en-GB"/>
        </w:rPr>
        <w:footnoteReference w:id="41"/>
      </w:r>
      <w:r w:rsidR="00F62956">
        <w:rPr>
          <w:rFonts w:ascii="Verdana" w:hAnsi="Verdana"/>
          <w:sz w:val="24"/>
          <w:szCs w:val="24"/>
          <w:lang w:eastAsia="en-GB"/>
        </w:rPr>
        <w:t>, Jerome’</w:t>
      </w:r>
      <w:r w:rsidR="00677B83">
        <w:rPr>
          <w:rFonts w:ascii="Verdana" w:hAnsi="Verdana"/>
          <w:sz w:val="24"/>
          <w:szCs w:val="24"/>
          <w:lang w:eastAsia="en-GB"/>
        </w:rPr>
        <w:t>s advanced linguistic knowledge led him to realise that the Latin manuscripts based on the Septuagint were at variance to the original Hebrew</w:t>
      </w:r>
      <w:r w:rsidR="00677B83">
        <w:rPr>
          <w:rStyle w:val="FootnoteReference"/>
          <w:rFonts w:ascii="Verdana" w:hAnsi="Verdana"/>
          <w:sz w:val="24"/>
          <w:szCs w:val="24"/>
          <w:lang w:eastAsia="en-GB"/>
        </w:rPr>
        <w:footnoteReference w:id="42"/>
      </w:r>
      <w:r>
        <w:rPr>
          <w:rFonts w:ascii="Verdana" w:hAnsi="Verdana"/>
          <w:sz w:val="24"/>
          <w:szCs w:val="24"/>
          <w:lang w:eastAsia="en-GB"/>
        </w:rPr>
        <w:t xml:space="preserve"> </w:t>
      </w:r>
      <w:r w:rsidR="00677B83">
        <w:rPr>
          <w:rFonts w:ascii="Verdana" w:hAnsi="Verdana"/>
          <w:sz w:val="24"/>
          <w:szCs w:val="24"/>
          <w:lang w:eastAsia="en-GB"/>
        </w:rPr>
        <w:t>. Rather than revising the Old Latin, he commenced on a new Latin translation directly from the Hebrew</w:t>
      </w:r>
      <w:r w:rsidR="00677B83">
        <w:rPr>
          <w:rStyle w:val="FootnoteReference"/>
          <w:rFonts w:ascii="Verdana" w:hAnsi="Verdana"/>
          <w:sz w:val="24"/>
          <w:szCs w:val="24"/>
          <w:lang w:eastAsia="en-GB"/>
        </w:rPr>
        <w:footnoteReference w:id="43"/>
      </w:r>
      <w:r w:rsidR="00677B83">
        <w:rPr>
          <w:rFonts w:ascii="Verdana" w:hAnsi="Verdana"/>
          <w:sz w:val="24"/>
          <w:szCs w:val="24"/>
          <w:lang w:eastAsia="en-GB"/>
        </w:rPr>
        <w:t>. Jerome’s decision to work from the Hebrew was revolutionary</w:t>
      </w:r>
      <w:r w:rsidR="00F62956">
        <w:rPr>
          <w:rStyle w:val="FootnoteReference"/>
          <w:rFonts w:ascii="Verdana" w:hAnsi="Verdana"/>
          <w:sz w:val="24"/>
          <w:szCs w:val="24"/>
          <w:lang w:eastAsia="en-GB"/>
        </w:rPr>
        <w:footnoteReference w:id="44"/>
      </w:r>
      <w:r w:rsidR="00677B83">
        <w:rPr>
          <w:rFonts w:ascii="Verdana" w:hAnsi="Verdana"/>
          <w:sz w:val="24"/>
          <w:szCs w:val="24"/>
          <w:lang w:eastAsia="en-GB"/>
        </w:rPr>
        <w:t xml:space="preserve"> and did not receive general </w:t>
      </w:r>
      <w:proofErr w:type="gramStart"/>
      <w:r w:rsidR="00677B83">
        <w:rPr>
          <w:rFonts w:ascii="Verdana" w:hAnsi="Verdana"/>
          <w:sz w:val="24"/>
          <w:szCs w:val="24"/>
          <w:lang w:eastAsia="en-GB"/>
        </w:rPr>
        <w:t>acclaim</w:t>
      </w:r>
      <w:proofErr w:type="gramEnd"/>
      <w:r w:rsidR="0063630F">
        <w:rPr>
          <w:rFonts w:ascii="Verdana" w:hAnsi="Verdana"/>
          <w:sz w:val="24"/>
          <w:szCs w:val="24"/>
          <w:lang w:eastAsia="en-GB"/>
        </w:rPr>
        <w:t xml:space="preserve"> as it appeared that he was demoting the Septuagint</w:t>
      </w:r>
      <w:r w:rsidR="00677B83">
        <w:rPr>
          <w:rFonts w:ascii="Verdana" w:hAnsi="Verdana"/>
          <w:sz w:val="24"/>
          <w:szCs w:val="24"/>
          <w:lang w:eastAsia="en-GB"/>
        </w:rPr>
        <w:t>.</w:t>
      </w:r>
      <w:r w:rsidR="0063630F">
        <w:rPr>
          <w:rFonts w:ascii="Verdana" w:hAnsi="Verdana"/>
          <w:sz w:val="24"/>
          <w:szCs w:val="24"/>
          <w:lang w:eastAsia="en-GB"/>
        </w:rPr>
        <w:t xml:space="preserve"> Further, his choosing the Hebrew Scriptures as the basis for the revision questioned the divine inspiration</w:t>
      </w:r>
      <w:r w:rsidR="00D84D1A">
        <w:rPr>
          <w:rFonts w:ascii="Verdana" w:hAnsi="Verdana"/>
          <w:sz w:val="24"/>
          <w:szCs w:val="24"/>
          <w:lang w:eastAsia="en-GB"/>
        </w:rPr>
        <w:t xml:space="preserve"> of</w:t>
      </w:r>
      <w:r w:rsidR="0063630F">
        <w:rPr>
          <w:rFonts w:ascii="Verdana" w:hAnsi="Verdana"/>
          <w:sz w:val="24"/>
          <w:szCs w:val="24"/>
          <w:lang w:eastAsia="en-GB"/>
        </w:rPr>
        <w:t xml:space="preserve"> the LXX</w:t>
      </w:r>
      <w:r w:rsidR="00D84D1A">
        <w:rPr>
          <w:rFonts w:ascii="Verdana" w:hAnsi="Verdana"/>
          <w:sz w:val="24"/>
          <w:szCs w:val="24"/>
          <w:lang w:eastAsia="en-GB"/>
        </w:rPr>
        <w:t xml:space="preserve">. </w:t>
      </w:r>
      <w:r w:rsidR="0063630F">
        <w:rPr>
          <w:rFonts w:ascii="Verdana" w:hAnsi="Verdana"/>
          <w:sz w:val="24"/>
          <w:szCs w:val="24"/>
          <w:lang w:eastAsia="en-GB"/>
        </w:rPr>
        <w:t xml:space="preserve">Jerome’s translation is not homogeneous and he did refer to LXX as well as the writings of Aquila, </w:t>
      </w:r>
      <w:proofErr w:type="spellStart"/>
      <w:r w:rsidR="0063630F">
        <w:rPr>
          <w:rFonts w:ascii="Verdana" w:hAnsi="Verdana"/>
          <w:sz w:val="24"/>
          <w:szCs w:val="24"/>
          <w:lang w:eastAsia="en-GB"/>
        </w:rPr>
        <w:t>Symmachus</w:t>
      </w:r>
      <w:proofErr w:type="spellEnd"/>
      <w:r w:rsidR="0063630F">
        <w:rPr>
          <w:rFonts w:ascii="Verdana" w:hAnsi="Verdana"/>
          <w:sz w:val="24"/>
          <w:szCs w:val="24"/>
          <w:lang w:eastAsia="en-GB"/>
        </w:rPr>
        <w:t xml:space="preserve"> and </w:t>
      </w:r>
      <w:proofErr w:type="spellStart"/>
      <w:r w:rsidR="0063630F">
        <w:rPr>
          <w:rFonts w:ascii="Verdana" w:hAnsi="Verdana"/>
          <w:sz w:val="24"/>
          <w:szCs w:val="24"/>
          <w:lang w:eastAsia="en-GB"/>
        </w:rPr>
        <w:t>Theodotion</w:t>
      </w:r>
      <w:proofErr w:type="spellEnd"/>
      <w:r w:rsidR="0063630F">
        <w:rPr>
          <w:rStyle w:val="FootnoteReference"/>
          <w:rFonts w:ascii="Verdana" w:hAnsi="Verdana"/>
          <w:sz w:val="24"/>
          <w:szCs w:val="24"/>
          <w:lang w:eastAsia="en-GB"/>
        </w:rPr>
        <w:footnoteReference w:id="45"/>
      </w:r>
      <w:r w:rsidR="0063630F">
        <w:rPr>
          <w:rFonts w:ascii="Verdana" w:hAnsi="Verdana"/>
          <w:sz w:val="24"/>
          <w:szCs w:val="24"/>
          <w:lang w:eastAsia="en-GB"/>
        </w:rPr>
        <w:t xml:space="preserve">. Where he came across doctrinal </w:t>
      </w:r>
      <w:proofErr w:type="gramStart"/>
      <w:r w:rsidR="0063630F">
        <w:rPr>
          <w:rFonts w:ascii="Verdana" w:hAnsi="Verdana"/>
          <w:sz w:val="24"/>
          <w:szCs w:val="24"/>
          <w:lang w:eastAsia="en-GB"/>
        </w:rPr>
        <w:t>difficulties</w:t>
      </w:r>
      <w:proofErr w:type="gramEnd"/>
      <w:r w:rsidR="0063630F">
        <w:rPr>
          <w:rFonts w:ascii="Verdana" w:hAnsi="Verdana"/>
          <w:sz w:val="24"/>
          <w:szCs w:val="24"/>
          <w:lang w:eastAsia="en-GB"/>
        </w:rPr>
        <w:t xml:space="preserve"> he accepted the LXX version and also consulted the rabbis</w:t>
      </w:r>
      <w:r w:rsidR="0063630F">
        <w:rPr>
          <w:rStyle w:val="FootnoteReference"/>
          <w:rFonts w:ascii="Verdana" w:hAnsi="Verdana"/>
          <w:sz w:val="24"/>
          <w:szCs w:val="24"/>
          <w:lang w:eastAsia="en-GB"/>
        </w:rPr>
        <w:footnoteReference w:id="46"/>
      </w:r>
      <w:r w:rsidR="00D84D1A">
        <w:rPr>
          <w:rFonts w:ascii="Verdana" w:hAnsi="Verdana"/>
          <w:sz w:val="24"/>
          <w:szCs w:val="24"/>
          <w:lang w:eastAsia="en-GB"/>
        </w:rPr>
        <w:t>.</w:t>
      </w:r>
      <w:r w:rsidR="001F19A9">
        <w:rPr>
          <w:rFonts w:ascii="Verdana" w:hAnsi="Verdana"/>
          <w:sz w:val="24"/>
          <w:szCs w:val="24"/>
          <w:lang w:eastAsia="en-GB"/>
        </w:rPr>
        <w:t xml:space="preserve"> </w:t>
      </w:r>
      <w:r w:rsidR="00EF4B2A">
        <w:rPr>
          <w:rFonts w:ascii="Verdana" w:hAnsi="Verdana"/>
          <w:sz w:val="24"/>
          <w:szCs w:val="24"/>
          <w:lang w:eastAsia="en-GB"/>
        </w:rPr>
        <w:t>Jerome’s purpose was not to elevate or classicise the Latin of the scriptures preferring to maintain the simple popular style that was already established</w:t>
      </w:r>
      <w:r w:rsidR="00EF4B2A">
        <w:rPr>
          <w:rStyle w:val="FootnoteReference"/>
          <w:rFonts w:ascii="Verdana" w:hAnsi="Verdana"/>
          <w:sz w:val="24"/>
          <w:szCs w:val="24"/>
          <w:lang w:eastAsia="en-GB"/>
        </w:rPr>
        <w:footnoteReference w:id="47"/>
      </w:r>
      <w:r w:rsidR="00EF4B2A">
        <w:rPr>
          <w:rFonts w:ascii="Verdana" w:hAnsi="Verdana"/>
          <w:sz w:val="24"/>
          <w:szCs w:val="24"/>
          <w:lang w:eastAsia="en-GB"/>
        </w:rPr>
        <w:t>.</w:t>
      </w:r>
      <w:r w:rsidR="008D6BD5">
        <w:rPr>
          <w:rFonts w:ascii="Verdana" w:hAnsi="Verdana"/>
          <w:sz w:val="24"/>
          <w:szCs w:val="24"/>
          <w:lang w:eastAsia="en-GB"/>
        </w:rPr>
        <w:t xml:space="preserve"> </w:t>
      </w:r>
      <w:r w:rsidR="00EC4417">
        <w:rPr>
          <w:rFonts w:ascii="Verdana" w:hAnsi="Verdana"/>
          <w:sz w:val="24"/>
          <w:szCs w:val="24"/>
          <w:lang w:eastAsia="en-GB"/>
        </w:rPr>
        <w:t xml:space="preserve">Jerome’s prefaces to the various groups of books make it possible to trace the progress of the work. His knowledge of Hebrew was good thus enlightening the translations. His competency in Aramaic </w:t>
      </w:r>
      <w:proofErr w:type="gramStart"/>
      <w:r w:rsidR="00EC4417">
        <w:rPr>
          <w:rFonts w:ascii="Verdana" w:hAnsi="Verdana"/>
          <w:sz w:val="24"/>
          <w:szCs w:val="24"/>
          <w:lang w:eastAsia="en-GB"/>
        </w:rPr>
        <w:t>was less advanced</w:t>
      </w:r>
      <w:proofErr w:type="gramEnd"/>
      <w:r w:rsidR="00EC4417">
        <w:rPr>
          <w:rFonts w:ascii="Verdana" w:hAnsi="Verdana"/>
          <w:sz w:val="24"/>
          <w:szCs w:val="24"/>
          <w:lang w:eastAsia="en-GB"/>
        </w:rPr>
        <w:t xml:space="preserve"> and so he relied on Jewish oral assistance to </w:t>
      </w:r>
      <w:r w:rsidR="00EC4417">
        <w:rPr>
          <w:rFonts w:ascii="Verdana" w:hAnsi="Verdana"/>
          <w:sz w:val="24"/>
          <w:szCs w:val="24"/>
          <w:lang w:eastAsia="en-GB"/>
        </w:rPr>
        <w:lastRenderedPageBreak/>
        <w:t xml:space="preserve">render certain passages. Jerome shows an awareness of the </w:t>
      </w:r>
      <w:r w:rsidR="00030758">
        <w:rPr>
          <w:rFonts w:ascii="Verdana" w:hAnsi="Verdana"/>
          <w:sz w:val="24"/>
          <w:szCs w:val="24"/>
          <w:lang w:eastAsia="en-GB"/>
        </w:rPr>
        <w:t>exegesis</w:t>
      </w:r>
      <w:r w:rsidR="00E81B57">
        <w:rPr>
          <w:rStyle w:val="FootnoteReference"/>
          <w:rFonts w:ascii="Verdana" w:hAnsi="Verdana"/>
          <w:sz w:val="24"/>
          <w:szCs w:val="24"/>
          <w:lang w:eastAsia="en-GB"/>
        </w:rPr>
        <w:footnoteReference w:id="48"/>
      </w:r>
      <w:r w:rsidR="00EC4417">
        <w:rPr>
          <w:rFonts w:ascii="Verdana" w:hAnsi="Verdana"/>
          <w:sz w:val="24"/>
          <w:szCs w:val="24"/>
          <w:lang w:eastAsia="en-GB"/>
        </w:rPr>
        <w:t xml:space="preserve"> contained within the </w:t>
      </w:r>
      <w:proofErr w:type="spellStart"/>
      <w:r w:rsidR="00EC4417">
        <w:rPr>
          <w:rFonts w:ascii="Verdana" w:hAnsi="Verdana"/>
          <w:sz w:val="24"/>
          <w:szCs w:val="24"/>
          <w:lang w:eastAsia="en-GB"/>
        </w:rPr>
        <w:t>targums</w:t>
      </w:r>
      <w:proofErr w:type="spellEnd"/>
      <w:r w:rsidR="00EC4417">
        <w:rPr>
          <w:rStyle w:val="FootnoteReference"/>
          <w:rFonts w:ascii="Verdana" w:hAnsi="Verdana"/>
          <w:sz w:val="24"/>
          <w:szCs w:val="24"/>
          <w:lang w:eastAsia="en-GB"/>
        </w:rPr>
        <w:footnoteReference w:id="49"/>
      </w:r>
      <w:r w:rsidR="00EC4417">
        <w:rPr>
          <w:rFonts w:ascii="Verdana" w:hAnsi="Verdana"/>
          <w:sz w:val="24"/>
          <w:szCs w:val="24"/>
          <w:lang w:eastAsia="en-GB"/>
        </w:rPr>
        <w:t xml:space="preserve">. Although there are messianic references which go beyond the </w:t>
      </w:r>
      <w:r w:rsidR="00F72B41">
        <w:rPr>
          <w:rFonts w:ascii="Verdana" w:hAnsi="Verdana"/>
          <w:sz w:val="24"/>
          <w:szCs w:val="24"/>
          <w:lang w:eastAsia="en-GB"/>
        </w:rPr>
        <w:t xml:space="preserve">detail of the Hebrew text (Isiah 45:8; 6:1-2; </w:t>
      </w:r>
      <w:proofErr w:type="spellStart"/>
      <w:r w:rsidR="00F72B41">
        <w:rPr>
          <w:rFonts w:ascii="Verdana" w:hAnsi="Verdana"/>
          <w:sz w:val="24"/>
          <w:szCs w:val="24"/>
          <w:lang w:eastAsia="en-GB"/>
        </w:rPr>
        <w:t>Hab</w:t>
      </w:r>
      <w:proofErr w:type="spellEnd"/>
      <w:r w:rsidR="00F72B41">
        <w:rPr>
          <w:rFonts w:ascii="Verdana" w:hAnsi="Verdana"/>
          <w:sz w:val="24"/>
          <w:szCs w:val="24"/>
          <w:lang w:eastAsia="en-GB"/>
        </w:rPr>
        <w:t xml:space="preserve"> 3:18), a strong leaning towards a Christian reading, Jerome’s Old Testament can be seen to bear lasting witness to the inspired word</w:t>
      </w:r>
      <w:r w:rsidR="00F72B41">
        <w:rPr>
          <w:rStyle w:val="FootnoteReference"/>
          <w:rFonts w:ascii="Verdana" w:hAnsi="Verdana"/>
          <w:sz w:val="24"/>
          <w:szCs w:val="24"/>
          <w:lang w:eastAsia="en-GB"/>
        </w:rPr>
        <w:footnoteReference w:id="50"/>
      </w:r>
      <w:r w:rsidR="00F72B41">
        <w:rPr>
          <w:rFonts w:ascii="Verdana" w:hAnsi="Verdana"/>
          <w:sz w:val="24"/>
          <w:szCs w:val="24"/>
          <w:lang w:eastAsia="en-GB"/>
        </w:rPr>
        <w:t xml:space="preserve">. </w:t>
      </w:r>
      <w:r w:rsidR="008D6BD5">
        <w:rPr>
          <w:rFonts w:ascii="Verdana" w:hAnsi="Verdana"/>
          <w:sz w:val="24"/>
          <w:szCs w:val="24"/>
          <w:lang w:eastAsia="en-GB"/>
        </w:rPr>
        <w:t xml:space="preserve">Despite the consternation with which Jerome’s translation </w:t>
      </w:r>
      <w:proofErr w:type="gramStart"/>
      <w:r w:rsidR="008D6BD5">
        <w:rPr>
          <w:rFonts w:ascii="Verdana" w:hAnsi="Verdana"/>
          <w:sz w:val="24"/>
          <w:szCs w:val="24"/>
          <w:lang w:eastAsia="en-GB"/>
        </w:rPr>
        <w:t>was received</w:t>
      </w:r>
      <w:proofErr w:type="gramEnd"/>
      <w:r w:rsidR="008D6BD5">
        <w:rPr>
          <w:rFonts w:ascii="Verdana" w:hAnsi="Verdana"/>
          <w:sz w:val="24"/>
          <w:szCs w:val="24"/>
          <w:lang w:eastAsia="en-GB"/>
        </w:rPr>
        <w:t xml:space="preserve">, in the coming centuries it became the accepted version comprising the translation of the Hebrew Old Testament and his revision of the Gospels. The Vulgate, as it came to </w:t>
      </w:r>
      <w:proofErr w:type="gramStart"/>
      <w:r w:rsidR="008D6BD5">
        <w:rPr>
          <w:rFonts w:ascii="Verdana" w:hAnsi="Verdana"/>
          <w:sz w:val="24"/>
          <w:szCs w:val="24"/>
          <w:lang w:eastAsia="en-GB"/>
        </w:rPr>
        <w:t>be known</w:t>
      </w:r>
      <w:proofErr w:type="gramEnd"/>
      <w:r w:rsidR="008D6BD5">
        <w:rPr>
          <w:rFonts w:ascii="Verdana" w:hAnsi="Verdana"/>
          <w:sz w:val="24"/>
          <w:szCs w:val="24"/>
          <w:lang w:eastAsia="en-GB"/>
        </w:rPr>
        <w:t xml:space="preserve"> in arou</w:t>
      </w:r>
      <w:r w:rsidR="000D6772">
        <w:rPr>
          <w:rFonts w:ascii="Verdana" w:hAnsi="Verdana"/>
          <w:sz w:val="24"/>
          <w:szCs w:val="24"/>
          <w:lang w:eastAsia="en-GB"/>
        </w:rPr>
        <w:t xml:space="preserve">nd the eighth </w:t>
      </w:r>
      <w:r w:rsidR="008D6BD5">
        <w:rPr>
          <w:rFonts w:ascii="Verdana" w:hAnsi="Verdana"/>
          <w:sz w:val="24"/>
          <w:szCs w:val="24"/>
          <w:lang w:eastAsia="en-GB"/>
        </w:rPr>
        <w:t>century, became the standard Latin text of the Bible. The Vulgate also included the Gallacian Psalter (not from the Hebrew but translated with the help of Origen’s Hexapla), Tobit, Judith and the remaining books of the Apocrypha and New Testament not translated by Jerome</w:t>
      </w:r>
      <w:r w:rsidR="008D6BD5">
        <w:rPr>
          <w:rStyle w:val="FootnoteReference"/>
          <w:rFonts w:ascii="Verdana" w:hAnsi="Verdana"/>
          <w:sz w:val="24"/>
          <w:szCs w:val="24"/>
          <w:lang w:eastAsia="en-GB"/>
        </w:rPr>
        <w:footnoteReference w:id="51"/>
      </w:r>
      <w:r w:rsidR="008D6BD5">
        <w:rPr>
          <w:rFonts w:ascii="Verdana" w:hAnsi="Verdana"/>
          <w:sz w:val="24"/>
          <w:szCs w:val="24"/>
          <w:lang w:eastAsia="en-GB"/>
        </w:rPr>
        <w:t>. The Vulgate was acknowledged as the standard text at the Council of Trent (1546) with an authentic version issued in 1590 during the pontificate of Sixtus V</w:t>
      </w:r>
      <w:r w:rsidR="00EC4417">
        <w:rPr>
          <w:rStyle w:val="FootnoteReference"/>
          <w:rFonts w:ascii="Verdana" w:hAnsi="Verdana"/>
          <w:sz w:val="24"/>
          <w:szCs w:val="24"/>
          <w:lang w:eastAsia="en-GB"/>
        </w:rPr>
        <w:footnoteReference w:id="52"/>
      </w:r>
      <w:r w:rsidR="008D6BD5">
        <w:rPr>
          <w:rFonts w:ascii="Verdana" w:hAnsi="Verdana"/>
          <w:sz w:val="24"/>
          <w:szCs w:val="24"/>
          <w:lang w:eastAsia="en-GB"/>
        </w:rPr>
        <w:t>.</w:t>
      </w:r>
      <w:r w:rsidR="00935664">
        <w:rPr>
          <w:rFonts w:ascii="Verdana" w:hAnsi="Verdana"/>
          <w:sz w:val="24"/>
          <w:szCs w:val="24"/>
          <w:lang w:eastAsia="en-GB"/>
        </w:rPr>
        <w:t xml:space="preserve"> </w:t>
      </w:r>
    </w:p>
    <w:p w:rsidR="00935664" w:rsidRDefault="00F72B41" w:rsidP="000A408E">
      <w:pPr>
        <w:pStyle w:val="NoSpacing"/>
        <w:rPr>
          <w:rFonts w:ascii="Verdana" w:hAnsi="Verdana"/>
          <w:sz w:val="24"/>
          <w:szCs w:val="24"/>
          <w:lang w:eastAsia="en-GB"/>
        </w:rPr>
      </w:pPr>
      <w:r>
        <w:rPr>
          <w:rFonts w:ascii="Verdana" w:hAnsi="Verdana"/>
          <w:sz w:val="24"/>
          <w:szCs w:val="24"/>
          <w:lang w:eastAsia="en-GB"/>
        </w:rPr>
        <w:t xml:space="preserve">Having considered just two versions of the Hebrew Scriptures it is apparent that an understanding of translation practices and source material are of utmost importance in the academic study of the Bible as well as the historical context in which the texts were produced. All of </w:t>
      </w:r>
      <w:r w:rsidR="00E81B57">
        <w:rPr>
          <w:rFonts w:ascii="Verdana" w:hAnsi="Verdana"/>
          <w:sz w:val="24"/>
          <w:szCs w:val="24"/>
          <w:lang w:eastAsia="en-GB"/>
        </w:rPr>
        <w:t>the versions were born out of the necessity to satisfy a particular need thus evincing renderings which serve a specific purpose. Scholars continue to study the sources</w:t>
      </w:r>
      <w:r w:rsidR="00A063A0">
        <w:rPr>
          <w:rFonts w:ascii="Verdana" w:hAnsi="Verdana"/>
          <w:sz w:val="24"/>
          <w:szCs w:val="24"/>
          <w:lang w:eastAsia="en-GB"/>
        </w:rPr>
        <w:t xml:space="preserve"> and both the Septuagint and the Vulgate appear to be workings of Hebrew Scriptures which are no longer in existence. The existence of Origen’s Hexapla highlights the recognition among scholars from the earliest times of the importance of searching for meaning behind the text and translation as a means of interpreting the Bible.</w:t>
      </w:r>
      <w:r w:rsidR="00E81B57">
        <w:rPr>
          <w:rFonts w:ascii="Verdana" w:hAnsi="Verdana"/>
          <w:sz w:val="24"/>
          <w:szCs w:val="24"/>
          <w:lang w:eastAsia="en-GB"/>
        </w:rPr>
        <w:t xml:space="preserve"> </w:t>
      </w:r>
    </w:p>
    <w:p w:rsidR="00042F1E" w:rsidRPr="00366E17" w:rsidRDefault="00042F1E" w:rsidP="000A408E">
      <w:pPr>
        <w:pStyle w:val="NoSpacing"/>
        <w:rPr>
          <w:rFonts w:ascii="Verdana" w:hAnsi="Verdana"/>
          <w:sz w:val="24"/>
          <w:szCs w:val="24"/>
          <w:lang w:eastAsia="en-GB"/>
        </w:rPr>
      </w:pPr>
    </w:p>
    <w:p w:rsidR="00366E17" w:rsidRDefault="00366E17" w:rsidP="000A408E">
      <w:pPr>
        <w:pStyle w:val="NoSpacing"/>
        <w:rPr>
          <w:rFonts w:ascii="Verdana" w:hAnsi="Verdana"/>
          <w:sz w:val="24"/>
          <w:szCs w:val="24"/>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0C08CB" w:rsidRDefault="000C08CB" w:rsidP="000A408E">
      <w:pPr>
        <w:pStyle w:val="NoSpacing"/>
        <w:rPr>
          <w:rFonts w:ascii="Verdana" w:hAnsi="Verdana"/>
          <w:sz w:val="24"/>
          <w:szCs w:val="24"/>
          <w:u w:val="single"/>
          <w:lang w:eastAsia="en-GB"/>
        </w:rPr>
      </w:pPr>
    </w:p>
    <w:p w:rsidR="00366E17" w:rsidRDefault="00366E17" w:rsidP="000A408E">
      <w:pPr>
        <w:pStyle w:val="NoSpacing"/>
        <w:rPr>
          <w:rFonts w:ascii="Verdana" w:hAnsi="Verdana"/>
          <w:sz w:val="24"/>
          <w:szCs w:val="24"/>
          <w:u w:val="single"/>
          <w:lang w:eastAsia="en-GB"/>
        </w:rPr>
      </w:pPr>
      <w:r w:rsidRPr="00366E17">
        <w:rPr>
          <w:rFonts w:ascii="Verdana" w:hAnsi="Verdana"/>
          <w:sz w:val="24"/>
          <w:szCs w:val="24"/>
          <w:u w:val="single"/>
          <w:lang w:eastAsia="en-GB"/>
        </w:rPr>
        <w:lastRenderedPageBreak/>
        <w:t>Bibliography</w:t>
      </w:r>
    </w:p>
    <w:p w:rsidR="00366E17" w:rsidRDefault="00146C8C" w:rsidP="000A408E">
      <w:pPr>
        <w:pStyle w:val="NoSpacing"/>
        <w:rPr>
          <w:rFonts w:ascii="Verdana" w:hAnsi="Verdana"/>
          <w:sz w:val="24"/>
          <w:szCs w:val="24"/>
          <w:lang w:eastAsia="en-GB"/>
        </w:rPr>
      </w:pPr>
      <w:r>
        <w:rPr>
          <w:rFonts w:ascii="Verdana" w:hAnsi="Verdana"/>
          <w:sz w:val="24"/>
          <w:szCs w:val="24"/>
          <w:lang w:eastAsia="en-GB"/>
        </w:rPr>
        <w:t>McKenzie, Steven,</w:t>
      </w:r>
      <w:r w:rsidR="00366E17">
        <w:rPr>
          <w:rFonts w:ascii="Verdana" w:hAnsi="Verdana"/>
          <w:sz w:val="24"/>
          <w:szCs w:val="24"/>
          <w:lang w:eastAsia="en-GB"/>
        </w:rPr>
        <w:t xml:space="preserve"> L</w:t>
      </w:r>
      <w:r>
        <w:rPr>
          <w:rFonts w:ascii="Verdana" w:hAnsi="Verdana"/>
          <w:sz w:val="24"/>
          <w:szCs w:val="24"/>
          <w:lang w:eastAsia="en-GB"/>
        </w:rPr>
        <w:t>.</w:t>
      </w:r>
      <w:r w:rsidR="00366E17">
        <w:rPr>
          <w:rFonts w:ascii="Verdana" w:hAnsi="Verdana"/>
          <w:sz w:val="24"/>
          <w:szCs w:val="24"/>
          <w:lang w:eastAsia="en-GB"/>
        </w:rPr>
        <w:t xml:space="preserve"> (</w:t>
      </w:r>
      <w:proofErr w:type="spellStart"/>
      <w:proofErr w:type="gramStart"/>
      <w:r w:rsidR="00366E17">
        <w:rPr>
          <w:rFonts w:ascii="Verdana" w:hAnsi="Verdana"/>
          <w:sz w:val="24"/>
          <w:szCs w:val="24"/>
          <w:lang w:eastAsia="en-GB"/>
        </w:rPr>
        <w:t>ed</w:t>
      </w:r>
      <w:proofErr w:type="spellEnd"/>
      <w:proofErr w:type="gramEnd"/>
      <w:r w:rsidR="00366E17">
        <w:rPr>
          <w:rFonts w:ascii="Verdana" w:hAnsi="Verdana"/>
          <w:sz w:val="24"/>
          <w:szCs w:val="24"/>
          <w:lang w:eastAsia="en-GB"/>
        </w:rPr>
        <w:t xml:space="preserve">), </w:t>
      </w:r>
      <w:r w:rsidR="00366E17" w:rsidRPr="00366E17">
        <w:rPr>
          <w:rFonts w:ascii="Verdana" w:hAnsi="Verdana"/>
          <w:i/>
          <w:sz w:val="24"/>
          <w:szCs w:val="24"/>
          <w:lang w:eastAsia="en-GB"/>
        </w:rPr>
        <w:t xml:space="preserve">The Oxford </w:t>
      </w:r>
      <w:proofErr w:type="spellStart"/>
      <w:r w:rsidR="00366E17" w:rsidRPr="00366E17">
        <w:rPr>
          <w:rFonts w:ascii="Verdana" w:hAnsi="Verdana"/>
          <w:i/>
          <w:sz w:val="24"/>
          <w:szCs w:val="24"/>
          <w:lang w:eastAsia="en-GB"/>
        </w:rPr>
        <w:t>Encyclopedia</w:t>
      </w:r>
      <w:proofErr w:type="spellEnd"/>
      <w:r w:rsidR="00366E17" w:rsidRPr="00366E17">
        <w:rPr>
          <w:rFonts w:ascii="Verdana" w:hAnsi="Verdana"/>
          <w:i/>
          <w:sz w:val="24"/>
          <w:szCs w:val="24"/>
          <w:lang w:eastAsia="en-GB"/>
        </w:rPr>
        <w:t xml:space="preserve"> of Biblical Interpretation</w:t>
      </w:r>
      <w:r w:rsidR="00366E17">
        <w:rPr>
          <w:rFonts w:ascii="Verdana" w:hAnsi="Verdana"/>
          <w:sz w:val="24"/>
          <w:szCs w:val="24"/>
          <w:lang w:eastAsia="en-GB"/>
        </w:rPr>
        <w:t>, Oxford University Press</w:t>
      </w:r>
      <w:r>
        <w:rPr>
          <w:rFonts w:ascii="Verdana" w:hAnsi="Verdana"/>
          <w:sz w:val="24"/>
          <w:szCs w:val="24"/>
          <w:lang w:eastAsia="en-GB"/>
        </w:rPr>
        <w:t>, New York 2013</w:t>
      </w:r>
      <w:bookmarkStart w:id="0" w:name="_GoBack"/>
      <w:bookmarkEnd w:id="0"/>
    </w:p>
    <w:p w:rsidR="00146C8C" w:rsidRDefault="00146C8C" w:rsidP="000A408E">
      <w:pPr>
        <w:pStyle w:val="NoSpacing"/>
        <w:rPr>
          <w:rFonts w:ascii="Verdana" w:hAnsi="Verdana"/>
          <w:sz w:val="24"/>
          <w:szCs w:val="24"/>
          <w:lang w:eastAsia="en-GB"/>
        </w:rPr>
      </w:pPr>
      <w:r>
        <w:rPr>
          <w:rFonts w:ascii="Verdana" w:hAnsi="Verdana"/>
          <w:sz w:val="24"/>
          <w:szCs w:val="24"/>
          <w:lang w:eastAsia="en-GB"/>
        </w:rPr>
        <w:t>Porter, Stanley, E. (</w:t>
      </w:r>
      <w:proofErr w:type="spellStart"/>
      <w:proofErr w:type="gramStart"/>
      <w:r>
        <w:rPr>
          <w:rFonts w:ascii="Verdana" w:hAnsi="Verdana"/>
          <w:sz w:val="24"/>
          <w:szCs w:val="24"/>
          <w:lang w:eastAsia="en-GB"/>
        </w:rPr>
        <w:t>ed</w:t>
      </w:r>
      <w:proofErr w:type="spellEnd"/>
      <w:proofErr w:type="gramEnd"/>
      <w:r>
        <w:rPr>
          <w:rFonts w:ascii="Verdana" w:hAnsi="Verdana"/>
          <w:sz w:val="24"/>
          <w:szCs w:val="24"/>
          <w:lang w:eastAsia="en-GB"/>
        </w:rPr>
        <w:t xml:space="preserve">), </w:t>
      </w:r>
      <w:r w:rsidRPr="00146C8C">
        <w:rPr>
          <w:rFonts w:ascii="Verdana" w:hAnsi="Verdana"/>
          <w:i/>
          <w:sz w:val="24"/>
          <w:szCs w:val="24"/>
          <w:lang w:eastAsia="en-GB"/>
        </w:rPr>
        <w:t>Dictionary of Biblical Criticism and Interpretation,</w:t>
      </w:r>
      <w:r>
        <w:rPr>
          <w:rFonts w:ascii="Verdana" w:hAnsi="Verdana"/>
          <w:i/>
          <w:sz w:val="24"/>
          <w:szCs w:val="24"/>
          <w:lang w:eastAsia="en-GB"/>
        </w:rPr>
        <w:t xml:space="preserve"> </w:t>
      </w:r>
      <w:r>
        <w:rPr>
          <w:rFonts w:ascii="Verdana" w:hAnsi="Verdana"/>
          <w:sz w:val="24"/>
          <w:szCs w:val="24"/>
          <w:lang w:eastAsia="en-GB"/>
        </w:rPr>
        <w:t>Routledge, New York, 2009</w:t>
      </w:r>
    </w:p>
    <w:p w:rsidR="00146C8C" w:rsidRDefault="00146C8C" w:rsidP="000A408E">
      <w:pPr>
        <w:pStyle w:val="NoSpacing"/>
        <w:rPr>
          <w:rFonts w:ascii="Verdana" w:hAnsi="Verdana"/>
          <w:sz w:val="24"/>
          <w:szCs w:val="24"/>
          <w:lang w:eastAsia="en-GB"/>
        </w:rPr>
      </w:pPr>
      <w:r>
        <w:rPr>
          <w:rFonts w:ascii="Verdana" w:hAnsi="Verdana"/>
          <w:sz w:val="24"/>
          <w:szCs w:val="24"/>
          <w:lang w:eastAsia="en-GB"/>
        </w:rPr>
        <w:t xml:space="preserve">Davis, John D., </w:t>
      </w:r>
      <w:proofErr w:type="spellStart"/>
      <w:r w:rsidR="006C6FFE">
        <w:rPr>
          <w:rFonts w:ascii="Verdana" w:hAnsi="Verdana"/>
          <w:sz w:val="24"/>
          <w:szCs w:val="24"/>
          <w:lang w:eastAsia="en-GB"/>
        </w:rPr>
        <w:t>Gehman</w:t>
      </w:r>
      <w:proofErr w:type="spellEnd"/>
      <w:r w:rsidR="006C6FFE">
        <w:rPr>
          <w:rFonts w:ascii="Verdana" w:hAnsi="Verdana"/>
          <w:sz w:val="24"/>
          <w:szCs w:val="24"/>
          <w:lang w:eastAsia="en-GB"/>
        </w:rPr>
        <w:t xml:space="preserve">, H., S., </w:t>
      </w:r>
      <w:proofErr w:type="gramStart"/>
      <w:r w:rsidRPr="006C6FFE">
        <w:rPr>
          <w:rFonts w:ascii="Verdana" w:hAnsi="Verdana"/>
          <w:i/>
          <w:sz w:val="24"/>
          <w:szCs w:val="24"/>
          <w:lang w:eastAsia="en-GB"/>
        </w:rPr>
        <w:t>The</w:t>
      </w:r>
      <w:proofErr w:type="gramEnd"/>
      <w:r w:rsidRPr="006C6FFE">
        <w:rPr>
          <w:rFonts w:ascii="Verdana" w:hAnsi="Verdana"/>
          <w:i/>
          <w:sz w:val="24"/>
          <w:szCs w:val="24"/>
          <w:lang w:eastAsia="en-GB"/>
        </w:rPr>
        <w:t xml:space="preserve"> Westminster Dictionary of the Bible</w:t>
      </w:r>
      <w:r w:rsidR="006C6FFE">
        <w:rPr>
          <w:rFonts w:ascii="Verdana" w:hAnsi="Verdana"/>
          <w:sz w:val="24"/>
          <w:szCs w:val="24"/>
          <w:lang w:eastAsia="en-GB"/>
        </w:rPr>
        <w:t>, The Westminster Press</w:t>
      </w:r>
      <w:r w:rsidR="006D44CB">
        <w:rPr>
          <w:rFonts w:ascii="Verdana" w:hAnsi="Verdana"/>
          <w:sz w:val="24"/>
          <w:szCs w:val="24"/>
          <w:lang w:eastAsia="en-GB"/>
        </w:rPr>
        <w:t>, London</w:t>
      </w:r>
      <w:r w:rsidR="006C6FFE">
        <w:rPr>
          <w:rFonts w:ascii="Verdana" w:hAnsi="Verdana"/>
          <w:sz w:val="24"/>
          <w:szCs w:val="24"/>
          <w:lang w:eastAsia="en-GB"/>
        </w:rPr>
        <w:t xml:space="preserve"> 1940</w:t>
      </w:r>
    </w:p>
    <w:p w:rsidR="006C6FFE" w:rsidRDefault="00AF2454" w:rsidP="000A408E">
      <w:pPr>
        <w:pStyle w:val="NoSpacing"/>
        <w:rPr>
          <w:rFonts w:ascii="Verdana" w:hAnsi="Verdana"/>
          <w:sz w:val="24"/>
          <w:szCs w:val="24"/>
          <w:lang w:eastAsia="en-GB"/>
        </w:rPr>
      </w:pPr>
      <w:r>
        <w:rPr>
          <w:rFonts w:ascii="Verdana" w:hAnsi="Verdana"/>
          <w:sz w:val="24"/>
          <w:szCs w:val="24"/>
          <w:lang w:eastAsia="en-GB"/>
        </w:rPr>
        <w:t xml:space="preserve">Barton, J., </w:t>
      </w:r>
      <w:proofErr w:type="spellStart"/>
      <w:r>
        <w:rPr>
          <w:rFonts w:ascii="Verdana" w:hAnsi="Verdana"/>
          <w:sz w:val="24"/>
          <w:szCs w:val="24"/>
          <w:lang w:eastAsia="en-GB"/>
        </w:rPr>
        <w:t>Muddiman</w:t>
      </w:r>
      <w:proofErr w:type="spellEnd"/>
      <w:r>
        <w:rPr>
          <w:rFonts w:ascii="Verdana" w:hAnsi="Verdana"/>
          <w:sz w:val="24"/>
          <w:szCs w:val="24"/>
          <w:lang w:eastAsia="en-GB"/>
        </w:rPr>
        <w:t>, J., (</w:t>
      </w:r>
      <w:proofErr w:type="spellStart"/>
      <w:proofErr w:type="gramStart"/>
      <w:r>
        <w:rPr>
          <w:rFonts w:ascii="Verdana" w:hAnsi="Verdana"/>
          <w:sz w:val="24"/>
          <w:szCs w:val="24"/>
          <w:lang w:eastAsia="en-GB"/>
        </w:rPr>
        <w:t>eds</w:t>
      </w:r>
      <w:proofErr w:type="spellEnd"/>
      <w:proofErr w:type="gramEnd"/>
      <w:r>
        <w:rPr>
          <w:rFonts w:ascii="Verdana" w:hAnsi="Verdana"/>
          <w:sz w:val="24"/>
          <w:szCs w:val="24"/>
          <w:lang w:eastAsia="en-GB"/>
        </w:rPr>
        <w:t xml:space="preserve">), </w:t>
      </w:r>
      <w:r w:rsidRPr="00AF2454">
        <w:rPr>
          <w:rFonts w:ascii="Verdana" w:hAnsi="Verdana"/>
          <w:i/>
          <w:sz w:val="24"/>
          <w:szCs w:val="24"/>
          <w:lang w:eastAsia="en-GB"/>
        </w:rPr>
        <w:t>The Oxford Bible Commentary</w:t>
      </w:r>
      <w:r>
        <w:rPr>
          <w:rFonts w:ascii="Verdana" w:hAnsi="Verdana"/>
          <w:sz w:val="24"/>
          <w:szCs w:val="24"/>
          <w:lang w:eastAsia="en-GB"/>
        </w:rPr>
        <w:t xml:space="preserve">, </w:t>
      </w:r>
      <w:r w:rsidR="006D44CB">
        <w:rPr>
          <w:rFonts w:ascii="Verdana" w:hAnsi="Verdana"/>
          <w:sz w:val="24"/>
          <w:szCs w:val="24"/>
          <w:lang w:eastAsia="en-GB"/>
        </w:rPr>
        <w:t xml:space="preserve">Oxford University Press, </w:t>
      </w:r>
      <w:r>
        <w:rPr>
          <w:rFonts w:ascii="Verdana" w:hAnsi="Verdana"/>
          <w:sz w:val="24"/>
          <w:szCs w:val="24"/>
          <w:lang w:eastAsia="en-GB"/>
        </w:rPr>
        <w:t>Oxford 2007</w:t>
      </w:r>
    </w:p>
    <w:p w:rsidR="00AF2454" w:rsidRDefault="00AF2454" w:rsidP="000A408E">
      <w:pPr>
        <w:pStyle w:val="NoSpacing"/>
        <w:rPr>
          <w:rFonts w:ascii="Verdana" w:hAnsi="Verdana"/>
          <w:sz w:val="24"/>
          <w:szCs w:val="24"/>
          <w:lang w:eastAsia="en-GB"/>
        </w:rPr>
      </w:pPr>
      <w:r>
        <w:rPr>
          <w:rFonts w:ascii="Verdana" w:hAnsi="Verdana"/>
          <w:sz w:val="24"/>
          <w:szCs w:val="24"/>
          <w:lang w:eastAsia="en-GB"/>
        </w:rPr>
        <w:t>Berlin</w:t>
      </w:r>
      <w:r w:rsidR="006D44CB">
        <w:rPr>
          <w:rFonts w:ascii="Verdana" w:hAnsi="Verdana"/>
          <w:sz w:val="24"/>
          <w:szCs w:val="24"/>
          <w:lang w:eastAsia="en-GB"/>
        </w:rPr>
        <w:t>, A. (</w:t>
      </w:r>
      <w:proofErr w:type="spellStart"/>
      <w:proofErr w:type="gramStart"/>
      <w:r w:rsidR="006D44CB">
        <w:rPr>
          <w:rFonts w:ascii="Verdana" w:hAnsi="Verdana"/>
          <w:sz w:val="24"/>
          <w:szCs w:val="24"/>
          <w:lang w:eastAsia="en-GB"/>
        </w:rPr>
        <w:t>ed</w:t>
      </w:r>
      <w:proofErr w:type="spellEnd"/>
      <w:proofErr w:type="gramEnd"/>
      <w:r w:rsidR="006D44CB">
        <w:rPr>
          <w:rFonts w:ascii="Verdana" w:hAnsi="Verdana"/>
          <w:sz w:val="24"/>
          <w:szCs w:val="24"/>
          <w:lang w:eastAsia="en-GB"/>
        </w:rPr>
        <w:t xml:space="preserve">), </w:t>
      </w:r>
      <w:r w:rsidR="006D44CB" w:rsidRPr="006D44CB">
        <w:rPr>
          <w:rFonts w:ascii="Verdana" w:hAnsi="Verdana"/>
          <w:i/>
          <w:sz w:val="24"/>
          <w:szCs w:val="24"/>
          <w:lang w:eastAsia="en-GB"/>
        </w:rPr>
        <w:t>The Oxford Dictionary of the Jewish Religion</w:t>
      </w:r>
      <w:r w:rsidR="006D44CB">
        <w:rPr>
          <w:rFonts w:ascii="Verdana" w:hAnsi="Verdana"/>
          <w:sz w:val="24"/>
          <w:szCs w:val="24"/>
          <w:lang w:eastAsia="en-GB"/>
        </w:rPr>
        <w:t>, Oxford University Press, New York 2011</w:t>
      </w:r>
    </w:p>
    <w:p w:rsidR="006D44CB" w:rsidRDefault="006D44CB" w:rsidP="000A408E">
      <w:pPr>
        <w:pStyle w:val="NoSpacing"/>
        <w:rPr>
          <w:rFonts w:ascii="Verdana" w:hAnsi="Verdana"/>
          <w:sz w:val="24"/>
          <w:szCs w:val="24"/>
          <w:lang w:eastAsia="en-GB"/>
        </w:rPr>
      </w:pPr>
      <w:r>
        <w:rPr>
          <w:rFonts w:ascii="Verdana" w:hAnsi="Verdana"/>
          <w:sz w:val="24"/>
          <w:szCs w:val="24"/>
          <w:lang w:eastAsia="en-GB"/>
        </w:rPr>
        <w:t xml:space="preserve">Solomon, N., </w:t>
      </w:r>
      <w:r w:rsidRPr="006D44CB">
        <w:rPr>
          <w:rFonts w:ascii="Verdana" w:hAnsi="Verdana"/>
          <w:i/>
          <w:sz w:val="24"/>
          <w:szCs w:val="24"/>
          <w:lang w:eastAsia="en-GB"/>
        </w:rPr>
        <w:t>Historical Dictionary of Judaism</w:t>
      </w:r>
      <w:r>
        <w:rPr>
          <w:rFonts w:ascii="Verdana" w:hAnsi="Verdana"/>
          <w:sz w:val="24"/>
          <w:szCs w:val="24"/>
          <w:lang w:eastAsia="en-GB"/>
        </w:rPr>
        <w:t xml:space="preserve">, </w:t>
      </w:r>
      <w:proofErr w:type="spellStart"/>
      <w:r>
        <w:rPr>
          <w:rFonts w:ascii="Verdana" w:hAnsi="Verdana"/>
          <w:sz w:val="24"/>
          <w:szCs w:val="24"/>
          <w:lang w:eastAsia="en-GB"/>
        </w:rPr>
        <w:t>Rowman</w:t>
      </w:r>
      <w:proofErr w:type="spellEnd"/>
      <w:r>
        <w:rPr>
          <w:rFonts w:ascii="Verdana" w:hAnsi="Verdana"/>
          <w:sz w:val="24"/>
          <w:szCs w:val="24"/>
          <w:lang w:eastAsia="en-GB"/>
        </w:rPr>
        <w:t xml:space="preserve"> and Littlefield, Maryland 2015</w:t>
      </w:r>
    </w:p>
    <w:p w:rsidR="006D44CB" w:rsidRDefault="006C41D4" w:rsidP="000A408E">
      <w:pPr>
        <w:pStyle w:val="NoSpacing"/>
        <w:rPr>
          <w:rFonts w:ascii="Verdana" w:hAnsi="Verdana"/>
          <w:sz w:val="24"/>
          <w:szCs w:val="24"/>
          <w:lang w:eastAsia="en-GB"/>
        </w:rPr>
      </w:pPr>
      <w:proofErr w:type="spellStart"/>
      <w:r>
        <w:rPr>
          <w:rFonts w:ascii="Verdana" w:hAnsi="Verdana"/>
          <w:sz w:val="24"/>
          <w:szCs w:val="24"/>
          <w:lang w:eastAsia="en-GB"/>
        </w:rPr>
        <w:t>Bromiley</w:t>
      </w:r>
      <w:proofErr w:type="spellEnd"/>
      <w:r>
        <w:rPr>
          <w:rFonts w:ascii="Verdana" w:hAnsi="Verdana"/>
          <w:sz w:val="24"/>
          <w:szCs w:val="24"/>
          <w:lang w:eastAsia="en-GB"/>
        </w:rPr>
        <w:t>, G. (</w:t>
      </w:r>
      <w:proofErr w:type="spellStart"/>
      <w:r>
        <w:rPr>
          <w:rFonts w:ascii="Verdana" w:hAnsi="Verdana"/>
          <w:sz w:val="24"/>
          <w:szCs w:val="24"/>
          <w:lang w:eastAsia="en-GB"/>
        </w:rPr>
        <w:t>ed</w:t>
      </w:r>
      <w:proofErr w:type="spellEnd"/>
      <w:r>
        <w:rPr>
          <w:rFonts w:ascii="Verdana" w:hAnsi="Verdana"/>
          <w:sz w:val="24"/>
          <w:szCs w:val="24"/>
          <w:lang w:eastAsia="en-GB"/>
        </w:rPr>
        <w:t xml:space="preserve">), </w:t>
      </w:r>
      <w:r w:rsidRPr="006C41D4">
        <w:rPr>
          <w:rFonts w:ascii="Verdana" w:hAnsi="Verdana"/>
          <w:i/>
          <w:sz w:val="24"/>
          <w:szCs w:val="24"/>
          <w:lang w:eastAsia="en-GB"/>
        </w:rPr>
        <w:t xml:space="preserve">The International Standard Bible </w:t>
      </w:r>
      <w:proofErr w:type="spellStart"/>
      <w:r w:rsidRPr="006C41D4">
        <w:rPr>
          <w:rFonts w:ascii="Verdana" w:hAnsi="Verdana"/>
          <w:i/>
          <w:sz w:val="24"/>
          <w:szCs w:val="24"/>
          <w:lang w:eastAsia="en-GB"/>
        </w:rPr>
        <w:t>Encyclopedia</w:t>
      </w:r>
      <w:proofErr w:type="spellEnd"/>
      <w:r w:rsidRPr="0019776D">
        <w:rPr>
          <w:rFonts w:ascii="Verdana" w:hAnsi="Verdana"/>
          <w:i/>
          <w:sz w:val="24"/>
          <w:szCs w:val="24"/>
          <w:lang w:eastAsia="en-GB"/>
        </w:rPr>
        <w:t xml:space="preserve">, </w:t>
      </w:r>
      <w:r w:rsidR="0019776D" w:rsidRPr="0019776D">
        <w:rPr>
          <w:rFonts w:ascii="Verdana" w:hAnsi="Verdana"/>
          <w:i/>
          <w:sz w:val="24"/>
          <w:szCs w:val="24"/>
          <w:lang w:eastAsia="en-GB"/>
        </w:rPr>
        <w:t>Volume Four</w:t>
      </w:r>
      <w:r w:rsidR="0019776D">
        <w:rPr>
          <w:rFonts w:ascii="Verdana" w:hAnsi="Verdana"/>
          <w:sz w:val="24"/>
          <w:szCs w:val="24"/>
          <w:lang w:eastAsia="en-GB"/>
        </w:rPr>
        <w:t xml:space="preserve">, </w:t>
      </w:r>
      <w:r>
        <w:rPr>
          <w:rFonts w:ascii="Verdana" w:hAnsi="Verdana"/>
          <w:sz w:val="24"/>
          <w:szCs w:val="24"/>
          <w:lang w:eastAsia="en-GB"/>
        </w:rPr>
        <w:t>Eerdman</w:t>
      </w:r>
      <w:r w:rsidR="0019776D">
        <w:rPr>
          <w:rFonts w:ascii="Verdana" w:hAnsi="Verdana"/>
          <w:sz w:val="24"/>
          <w:szCs w:val="24"/>
          <w:lang w:eastAsia="en-GB"/>
        </w:rPr>
        <w:t>s Publishing Co, Michigan, 1988</w:t>
      </w:r>
    </w:p>
    <w:p w:rsidR="00BE6CF3" w:rsidRDefault="00C45565" w:rsidP="000A408E">
      <w:pPr>
        <w:pStyle w:val="NoSpacing"/>
        <w:rPr>
          <w:rFonts w:ascii="Verdana" w:hAnsi="Verdana"/>
          <w:sz w:val="24"/>
          <w:szCs w:val="24"/>
          <w:lang w:eastAsia="en-GB"/>
        </w:rPr>
      </w:pPr>
      <w:proofErr w:type="spellStart"/>
      <w:r>
        <w:rPr>
          <w:rFonts w:ascii="Verdana" w:hAnsi="Verdana"/>
          <w:sz w:val="24"/>
          <w:szCs w:val="24"/>
          <w:lang w:eastAsia="en-GB"/>
        </w:rPr>
        <w:t>Hornblower</w:t>
      </w:r>
      <w:proofErr w:type="spellEnd"/>
      <w:r>
        <w:rPr>
          <w:rFonts w:ascii="Verdana" w:hAnsi="Verdana"/>
          <w:sz w:val="24"/>
          <w:szCs w:val="24"/>
          <w:lang w:eastAsia="en-GB"/>
        </w:rPr>
        <w:t xml:space="preserve">, S., &amp; </w:t>
      </w:r>
      <w:proofErr w:type="spellStart"/>
      <w:r>
        <w:rPr>
          <w:rFonts w:ascii="Verdana" w:hAnsi="Verdana"/>
          <w:sz w:val="24"/>
          <w:szCs w:val="24"/>
          <w:lang w:eastAsia="en-GB"/>
        </w:rPr>
        <w:t>Spawforth</w:t>
      </w:r>
      <w:proofErr w:type="spellEnd"/>
      <w:r>
        <w:rPr>
          <w:rFonts w:ascii="Verdana" w:hAnsi="Verdana"/>
          <w:sz w:val="24"/>
          <w:szCs w:val="24"/>
          <w:lang w:eastAsia="en-GB"/>
        </w:rPr>
        <w:t xml:space="preserve">, S., </w:t>
      </w:r>
      <w:proofErr w:type="gramStart"/>
      <w:r w:rsidRPr="00C45565">
        <w:rPr>
          <w:rFonts w:ascii="Verdana" w:hAnsi="Verdana"/>
          <w:i/>
          <w:sz w:val="24"/>
          <w:szCs w:val="24"/>
          <w:lang w:eastAsia="en-GB"/>
        </w:rPr>
        <w:t>The</w:t>
      </w:r>
      <w:proofErr w:type="gramEnd"/>
      <w:r w:rsidRPr="00C45565">
        <w:rPr>
          <w:rFonts w:ascii="Verdana" w:hAnsi="Verdana"/>
          <w:i/>
          <w:sz w:val="24"/>
          <w:szCs w:val="24"/>
          <w:lang w:eastAsia="en-GB"/>
        </w:rPr>
        <w:t xml:space="preserve"> Oxford Classical Dictionary,</w:t>
      </w:r>
      <w:r>
        <w:rPr>
          <w:rFonts w:ascii="Verdana" w:hAnsi="Verdana"/>
          <w:sz w:val="24"/>
          <w:szCs w:val="24"/>
          <w:lang w:eastAsia="en-GB"/>
        </w:rPr>
        <w:t xml:space="preserve"> Oxford University Press, Oxford 2012</w:t>
      </w:r>
    </w:p>
    <w:p w:rsidR="00C45565" w:rsidRDefault="00D04239" w:rsidP="000A408E">
      <w:pPr>
        <w:pStyle w:val="NoSpacing"/>
        <w:rPr>
          <w:rFonts w:ascii="Verdana" w:hAnsi="Verdana"/>
          <w:sz w:val="24"/>
          <w:szCs w:val="24"/>
          <w:lang w:eastAsia="en-GB"/>
        </w:rPr>
      </w:pPr>
      <w:r>
        <w:rPr>
          <w:rFonts w:ascii="Verdana" w:hAnsi="Verdana"/>
          <w:sz w:val="24"/>
          <w:szCs w:val="24"/>
          <w:lang w:eastAsia="en-GB"/>
        </w:rPr>
        <w:t xml:space="preserve">Brown, R. E., </w:t>
      </w:r>
      <w:proofErr w:type="spellStart"/>
      <w:r>
        <w:rPr>
          <w:rFonts w:ascii="Verdana" w:hAnsi="Verdana"/>
          <w:sz w:val="24"/>
          <w:szCs w:val="24"/>
          <w:lang w:eastAsia="en-GB"/>
        </w:rPr>
        <w:t>Fitzmyer</w:t>
      </w:r>
      <w:proofErr w:type="spellEnd"/>
      <w:r>
        <w:rPr>
          <w:rFonts w:ascii="Verdana" w:hAnsi="Verdana"/>
          <w:sz w:val="24"/>
          <w:szCs w:val="24"/>
          <w:lang w:eastAsia="en-GB"/>
        </w:rPr>
        <w:t>, J. A. &amp; Murphy, R. E, (</w:t>
      </w:r>
      <w:proofErr w:type="spellStart"/>
      <w:r>
        <w:rPr>
          <w:rFonts w:ascii="Verdana" w:hAnsi="Verdana"/>
          <w:sz w:val="24"/>
          <w:szCs w:val="24"/>
          <w:lang w:eastAsia="en-GB"/>
        </w:rPr>
        <w:t>eds</w:t>
      </w:r>
      <w:proofErr w:type="spellEnd"/>
      <w:r>
        <w:rPr>
          <w:rFonts w:ascii="Verdana" w:hAnsi="Verdana"/>
          <w:sz w:val="24"/>
          <w:szCs w:val="24"/>
          <w:lang w:eastAsia="en-GB"/>
        </w:rPr>
        <w:t xml:space="preserve">), </w:t>
      </w:r>
      <w:r w:rsidRPr="00D04239">
        <w:rPr>
          <w:rFonts w:ascii="Verdana" w:hAnsi="Verdana"/>
          <w:i/>
          <w:sz w:val="24"/>
          <w:szCs w:val="24"/>
          <w:lang w:eastAsia="en-GB"/>
        </w:rPr>
        <w:t>The New Jerome Biblical Commentary</w:t>
      </w:r>
      <w:r>
        <w:rPr>
          <w:rFonts w:ascii="Verdana" w:hAnsi="Verdana"/>
          <w:sz w:val="24"/>
          <w:szCs w:val="24"/>
          <w:lang w:eastAsia="en-GB"/>
        </w:rPr>
        <w:t>, Geoffrey Chapman, London 1992</w:t>
      </w:r>
    </w:p>
    <w:p w:rsidR="00662D46" w:rsidRPr="00662D46" w:rsidRDefault="00662D46" w:rsidP="000A408E">
      <w:pPr>
        <w:pStyle w:val="NoSpacing"/>
        <w:rPr>
          <w:rFonts w:ascii="Verdana" w:hAnsi="Verdana"/>
          <w:sz w:val="24"/>
          <w:szCs w:val="24"/>
          <w:lang w:eastAsia="en-GB"/>
        </w:rPr>
      </w:pPr>
      <w:r w:rsidRPr="00662D46">
        <w:rPr>
          <w:rFonts w:ascii="Verdana" w:hAnsi="Verdana" w:cs="Arial"/>
          <w:color w:val="1A1A1A"/>
          <w:sz w:val="24"/>
          <w:szCs w:val="24"/>
        </w:rPr>
        <w:t>Hare, John, "Religion and Morality", </w:t>
      </w:r>
      <w:r w:rsidRPr="00662D46">
        <w:rPr>
          <w:rStyle w:val="Emphasis"/>
          <w:rFonts w:ascii="Verdana" w:hAnsi="Verdana" w:cs="Arial"/>
          <w:color w:val="1A1A1A"/>
          <w:sz w:val="24"/>
          <w:szCs w:val="24"/>
        </w:rPr>
        <w:t xml:space="preserve">The Stanford </w:t>
      </w:r>
      <w:proofErr w:type="spellStart"/>
      <w:r w:rsidRPr="00662D46">
        <w:rPr>
          <w:rStyle w:val="Emphasis"/>
          <w:rFonts w:ascii="Verdana" w:hAnsi="Verdana" w:cs="Arial"/>
          <w:color w:val="1A1A1A"/>
          <w:sz w:val="24"/>
          <w:szCs w:val="24"/>
        </w:rPr>
        <w:t>Encyclopedia</w:t>
      </w:r>
      <w:proofErr w:type="spellEnd"/>
      <w:r w:rsidRPr="00662D46">
        <w:rPr>
          <w:rStyle w:val="Emphasis"/>
          <w:rFonts w:ascii="Verdana" w:hAnsi="Verdana" w:cs="Arial"/>
          <w:color w:val="1A1A1A"/>
          <w:sz w:val="24"/>
          <w:szCs w:val="24"/>
        </w:rPr>
        <w:t xml:space="preserve"> of Philosophy </w:t>
      </w:r>
      <w:r w:rsidRPr="00662D46">
        <w:rPr>
          <w:rFonts w:ascii="Verdana" w:hAnsi="Verdana" w:cs="Arial"/>
          <w:color w:val="1A1A1A"/>
          <w:sz w:val="24"/>
          <w:szCs w:val="24"/>
        </w:rPr>
        <w:t>(</w:t>
      </w:r>
      <w:proofErr w:type="gramStart"/>
      <w:r w:rsidRPr="00662D46">
        <w:rPr>
          <w:rFonts w:ascii="Verdana" w:hAnsi="Verdana" w:cs="Arial"/>
          <w:color w:val="1A1A1A"/>
          <w:sz w:val="24"/>
          <w:szCs w:val="24"/>
        </w:rPr>
        <w:t>Winter</w:t>
      </w:r>
      <w:proofErr w:type="gramEnd"/>
      <w:r w:rsidRPr="00662D46">
        <w:rPr>
          <w:rFonts w:ascii="Verdana" w:hAnsi="Verdana" w:cs="Arial"/>
          <w:color w:val="1A1A1A"/>
          <w:sz w:val="24"/>
          <w:szCs w:val="24"/>
        </w:rPr>
        <w:t xml:space="preserve"> 2014 Edition), Edward N. </w:t>
      </w:r>
      <w:proofErr w:type="spellStart"/>
      <w:r w:rsidRPr="00662D46">
        <w:rPr>
          <w:rFonts w:ascii="Verdana" w:hAnsi="Verdana" w:cs="Arial"/>
          <w:color w:val="1A1A1A"/>
          <w:sz w:val="24"/>
          <w:szCs w:val="24"/>
        </w:rPr>
        <w:t>Zalta</w:t>
      </w:r>
      <w:proofErr w:type="spellEnd"/>
      <w:r w:rsidRPr="00662D46">
        <w:rPr>
          <w:rFonts w:ascii="Verdana" w:hAnsi="Verdana" w:cs="Arial"/>
          <w:color w:val="1A1A1A"/>
          <w:sz w:val="24"/>
          <w:szCs w:val="24"/>
        </w:rPr>
        <w:t> (ed.), URL = &lt;https://plato.stanford.edu/archives/win2014/entries/religion-morality/&gt;.</w:t>
      </w:r>
    </w:p>
    <w:p w:rsidR="00366E17" w:rsidRPr="00D24D98" w:rsidRDefault="00D24D98" w:rsidP="000A408E">
      <w:pPr>
        <w:pStyle w:val="NoSpacing"/>
        <w:rPr>
          <w:rFonts w:ascii="Verdana" w:hAnsi="Verdana"/>
          <w:sz w:val="24"/>
          <w:szCs w:val="24"/>
          <w:lang w:eastAsia="en-GB"/>
        </w:rPr>
      </w:pPr>
      <w:r>
        <w:rPr>
          <w:rFonts w:ascii="Verdana" w:hAnsi="Verdana"/>
          <w:sz w:val="24"/>
          <w:szCs w:val="24"/>
          <w:lang w:eastAsia="en-GB"/>
        </w:rPr>
        <w:t>Browning, W. R. F. (</w:t>
      </w:r>
      <w:proofErr w:type="spellStart"/>
      <w:proofErr w:type="gramStart"/>
      <w:r>
        <w:rPr>
          <w:rFonts w:ascii="Verdana" w:hAnsi="Verdana"/>
          <w:sz w:val="24"/>
          <w:szCs w:val="24"/>
          <w:lang w:eastAsia="en-GB"/>
        </w:rPr>
        <w:t>ed</w:t>
      </w:r>
      <w:proofErr w:type="spellEnd"/>
      <w:proofErr w:type="gramEnd"/>
      <w:r>
        <w:rPr>
          <w:rFonts w:ascii="Verdana" w:hAnsi="Verdana"/>
          <w:sz w:val="24"/>
          <w:szCs w:val="24"/>
          <w:lang w:eastAsia="en-GB"/>
        </w:rPr>
        <w:t xml:space="preserve">), </w:t>
      </w:r>
      <w:r w:rsidRPr="00D24D98">
        <w:rPr>
          <w:rFonts w:ascii="Verdana" w:hAnsi="Verdana"/>
          <w:i/>
          <w:sz w:val="24"/>
          <w:szCs w:val="24"/>
          <w:lang w:eastAsia="en-GB"/>
        </w:rPr>
        <w:t>The Dictionary of the Bible,</w:t>
      </w:r>
      <w:r>
        <w:rPr>
          <w:rFonts w:ascii="Verdana" w:hAnsi="Verdana"/>
          <w:sz w:val="24"/>
          <w:szCs w:val="24"/>
          <w:lang w:eastAsia="en-GB"/>
        </w:rPr>
        <w:t xml:space="preserve"> Oxford University Press, Oxford 2009</w:t>
      </w:r>
    </w:p>
    <w:p w:rsidR="00366E17" w:rsidRPr="00366E17" w:rsidRDefault="00366E17" w:rsidP="000A408E">
      <w:pPr>
        <w:pStyle w:val="NoSpacing"/>
        <w:rPr>
          <w:rFonts w:ascii="Verdana" w:hAnsi="Verdana"/>
          <w:sz w:val="24"/>
          <w:szCs w:val="24"/>
          <w:lang w:eastAsia="en-GB"/>
        </w:rPr>
      </w:pPr>
    </w:p>
    <w:p w:rsidR="008C4C0A" w:rsidRPr="00366E17" w:rsidRDefault="00392718" w:rsidP="000A408E">
      <w:pPr>
        <w:pStyle w:val="NoSpacing"/>
        <w:rPr>
          <w:rFonts w:ascii="Verdana" w:hAnsi="Verdana"/>
          <w:sz w:val="24"/>
          <w:szCs w:val="24"/>
        </w:rPr>
      </w:pPr>
    </w:p>
    <w:sectPr w:rsidR="008C4C0A" w:rsidRPr="00366E1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2718" w:rsidRDefault="00392718" w:rsidP="000A408E">
      <w:pPr>
        <w:spacing w:after="0" w:line="240" w:lineRule="auto"/>
      </w:pPr>
      <w:r>
        <w:separator/>
      </w:r>
    </w:p>
  </w:endnote>
  <w:endnote w:type="continuationSeparator" w:id="0">
    <w:p w:rsidR="00392718" w:rsidRDefault="00392718" w:rsidP="000A4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8683439"/>
      <w:docPartObj>
        <w:docPartGallery w:val="Page Numbers (Bottom of Page)"/>
        <w:docPartUnique/>
      </w:docPartObj>
    </w:sdtPr>
    <w:sdtEndPr>
      <w:rPr>
        <w:noProof/>
      </w:rPr>
    </w:sdtEndPr>
    <w:sdtContent>
      <w:p w:rsidR="000C08CB" w:rsidRDefault="000C08CB">
        <w:pPr>
          <w:pStyle w:val="Footer"/>
          <w:jc w:val="center"/>
        </w:pPr>
        <w:r>
          <w:fldChar w:fldCharType="begin"/>
        </w:r>
        <w:r>
          <w:instrText xml:space="preserve"> PAGE   \* MERGEFORMAT </w:instrText>
        </w:r>
        <w:r>
          <w:fldChar w:fldCharType="separate"/>
        </w:r>
        <w:r w:rsidR="006B7A09">
          <w:rPr>
            <w:noProof/>
          </w:rPr>
          <w:t>1</w:t>
        </w:r>
        <w:r>
          <w:rPr>
            <w:noProof/>
          </w:rPr>
          <w:fldChar w:fldCharType="end"/>
        </w:r>
      </w:p>
    </w:sdtContent>
  </w:sdt>
  <w:p w:rsidR="000C08CB" w:rsidRDefault="000C0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2718" w:rsidRDefault="00392718" w:rsidP="000A408E">
      <w:pPr>
        <w:spacing w:after="0" w:line="240" w:lineRule="auto"/>
      </w:pPr>
      <w:r>
        <w:separator/>
      </w:r>
    </w:p>
  </w:footnote>
  <w:footnote w:type="continuationSeparator" w:id="0">
    <w:p w:rsidR="00392718" w:rsidRDefault="00392718" w:rsidP="000A408E">
      <w:pPr>
        <w:spacing w:after="0" w:line="240" w:lineRule="auto"/>
      </w:pPr>
      <w:r>
        <w:continuationSeparator/>
      </w:r>
    </w:p>
  </w:footnote>
  <w:footnote w:id="1">
    <w:p w:rsidR="00611680" w:rsidRDefault="00611680">
      <w:pPr>
        <w:pStyle w:val="FootnoteText"/>
      </w:pPr>
      <w:r>
        <w:rPr>
          <w:rStyle w:val="FootnoteReference"/>
        </w:rPr>
        <w:footnoteRef/>
      </w:r>
      <w:r>
        <w:t xml:space="preserve"> Brown p. 1297</w:t>
      </w:r>
    </w:p>
  </w:footnote>
  <w:footnote w:id="2">
    <w:p w:rsidR="00611680" w:rsidRDefault="00611680">
      <w:pPr>
        <w:pStyle w:val="FootnoteText"/>
      </w:pPr>
      <w:r>
        <w:rPr>
          <w:rStyle w:val="FootnoteReference"/>
        </w:rPr>
        <w:footnoteRef/>
      </w:r>
      <w:r>
        <w:t xml:space="preserve"> </w:t>
      </w:r>
      <w:r w:rsidR="000C08CB">
        <w:t>ibid</w:t>
      </w:r>
    </w:p>
  </w:footnote>
  <w:footnote w:id="3">
    <w:p w:rsidR="000461D9" w:rsidRDefault="000461D9">
      <w:pPr>
        <w:pStyle w:val="FootnoteText"/>
      </w:pPr>
      <w:r>
        <w:rPr>
          <w:rStyle w:val="FootnoteReference"/>
        </w:rPr>
        <w:footnoteRef/>
      </w:r>
      <w:r>
        <w:t xml:space="preserve"> Hare</w:t>
      </w:r>
    </w:p>
  </w:footnote>
  <w:footnote w:id="4">
    <w:p w:rsidR="000461D9" w:rsidRDefault="000461D9">
      <w:pPr>
        <w:pStyle w:val="FootnoteText"/>
      </w:pPr>
      <w:r>
        <w:rPr>
          <w:rStyle w:val="FootnoteReference"/>
        </w:rPr>
        <w:footnoteRef/>
      </w:r>
      <w:r>
        <w:t xml:space="preserve"> </w:t>
      </w:r>
      <w:r w:rsidR="000C08CB">
        <w:t>ibid</w:t>
      </w:r>
    </w:p>
  </w:footnote>
  <w:footnote w:id="5">
    <w:p w:rsidR="006565A0" w:rsidRDefault="006565A0">
      <w:pPr>
        <w:pStyle w:val="FootnoteText"/>
      </w:pPr>
      <w:r>
        <w:rPr>
          <w:rStyle w:val="FootnoteReference"/>
        </w:rPr>
        <w:footnoteRef/>
      </w:r>
      <w:r>
        <w:t xml:space="preserve"> </w:t>
      </w:r>
      <w:r w:rsidR="000C08CB">
        <w:t>ibid</w:t>
      </w:r>
    </w:p>
  </w:footnote>
  <w:footnote w:id="6">
    <w:p w:rsidR="00B63441" w:rsidRDefault="00B63441">
      <w:pPr>
        <w:pStyle w:val="FootnoteText"/>
      </w:pPr>
      <w:r>
        <w:rPr>
          <w:rStyle w:val="FootnoteReference"/>
        </w:rPr>
        <w:footnoteRef/>
      </w:r>
      <w:r>
        <w:t xml:space="preserve"> Brown p. 1297</w:t>
      </w:r>
    </w:p>
  </w:footnote>
  <w:footnote w:id="7">
    <w:p w:rsidR="00B85955" w:rsidRDefault="00B85955">
      <w:pPr>
        <w:pStyle w:val="FootnoteText"/>
      </w:pPr>
      <w:r>
        <w:rPr>
          <w:rStyle w:val="FootnoteReference"/>
        </w:rPr>
        <w:footnoteRef/>
      </w:r>
      <w:r>
        <w:t xml:space="preserve"> Hare</w:t>
      </w:r>
    </w:p>
  </w:footnote>
  <w:footnote w:id="8">
    <w:p w:rsidR="00B85955" w:rsidRDefault="00B85955">
      <w:pPr>
        <w:pStyle w:val="FootnoteText"/>
      </w:pPr>
      <w:r>
        <w:rPr>
          <w:rStyle w:val="FootnoteReference"/>
        </w:rPr>
        <w:footnoteRef/>
      </w:r>
      <w:r>
        <w:t xml:space="preserve"> Brown p. 1298</w:t>
      </w:r>
    </w:p>
  </w:footnote>
  <w:footnote w:id="9">
    <w:p w:rsidR="00B03AFA" w:rsidRDefault="00B03AFA">
      <w:pPr>
        <w:pStyle w:val="FootnoteText"/>
      </w:pPr>
      <w:r>
        <w:rPr>
          <w:rStyle w:val="FootnoteReference"/>
        </w:rPr>
        <w:footnoteRef/>
      </w:r>
      <w:r>
        <w:t xml:space="preserve"> </w:t>
      </w:r>
      <w:r w:rsidR="000C08CB">
        <w:t>ibid</w:t>
      </w:r>
    </w:p>
  </w:footnote>
  <w:footnote w:id="10">
    <w:p w:rsidR="00162599" w:rsidRDefault="00162599">
      <w:pPr>
        <w:pStyle w:val="FootnoteText"/>
      </w:pPr>
      <w:r>
        <w:rPr>
          <w:rStyle w:val="FootnoteReference"/>
        </w:rPr>
        <w:footnoteRef/>
      </w:r>
      <w:r>
        <w:t xml:space="preserve"> </w:t>
      </w:r>
      <w:r w:rsidR="000C08CB">
        <w:t>ibid</w:t>
      </w:r>
    </w:p>
  </w:footnote>
  <w:footnote w:id="11">
    <w:p w:rsidR="00162599" w:rsidRDefault="00162599">
      <w:pPr>
        <w:pStyle w:val="FootnoteText"/>
      </w:pPr>
      <w:r>
        <w:rPr>
          <w:rStyle w:val="FootnoteReference"/>
        </w:rPr>
        <w:footnoteRef/>
      </w:r>
      <w:r>
        <w:t xml:space="preserve"> Browning</w:t>
      </w:r>
    </w:p>
  </w:footnote>
  <w:footnote w:id="12">
    <w:p w:rsidR="00176B1E" w:rsidRDefault="00176B1E">
      <w:pPr>
        <w:pStyle w:val="FootnoteText"/>
      </w:pPr>
      <w:r>
        <w:rPr>
          <w:rStyle w:val="FootnoteReference"/>
        </w:rPr>
        <w:footnoteRef/>
      </w:r>
      <w:r>
        <w:t xml:space="preserve"> Hare</w:t>
      </w:r>
    </w:p>
  </w:footnote>
  <w:footnote w:id="13">
    <w:p w:rsidR="00BC3ABB" w:rsidRDefault="00BC3ABB">
      <w:pPr>
        <w:pStyle w:val="FootnoteText"/>
      </w:pPr>
      <w:r>
        <w:rPr>
          <w:rStyle w:val="FootnoteReference"/>
        </w:rPr>
        <w:footnoteRef/>
      </w:r>
      <w:r>
        <w:t xml:space="preserve"> Browning</w:t>
      </w:r>
    </w:p>
  </w:footnote>
  <w:footnote w:id="14">
    <w:p w:rsidR="00E866C0" w:rsidRDefault="00E866C0">
      <w:pPr>
        <w:pStyle w:val="FootnoteText"/>
      </w:pPr>
      <w:r>
        <w:rPr>
          <w:rStyle w:val="FootnoteReference"/>
        </w:rPr>
        <w:footnoteRef/>
      </w:r>
      <w:r>
        <w:t xml:space="preserve"> </w:t>
      </w:r>
      <w:r w:rsidR="000C08CB">
        <w:t>ibid</w:t>
      </w:r>
    </w:p>
  </w:footnote>
  <w:footnote w:id="15">
    <w:p w:rsidR="00B715DC" w:rsidRPr="00662D46" w:rsidRDefault="00B715DC">
      <w:pPr>
        <w:pStyle w:val="FootnoteText"/>
        <w:rPr>
          <w:lang w:val="de-DE"/>
        </w:rPr>
      </w:pPr>
      <w:r>
        <w:rPr>
          <w:rStyle w:val="FootnoteReference"/>
        </w:rPr>
        <w:footnoteRef/>
      </w:r>
      <w:r w:rsidRPr="00662D46">
        <w:rPr>
          <w:lang w:val="de-DE"/>
        </w:rPr>
        <w:t xml:space="preserve"> </w:t>
      </w:r>
      <w:r w:rsidRPr="00662D46">
        <w:rPr>
          <w:lang w:val="de-DE"/>
        </w:rPr>
        <w:t>Porter p.362</w:t>
      </w:r>
    </w:p>
  </w:footnote>
  <w:footnote w:id="16">
    <w:p w:rsidR="00B715DC" w:rsidRPr="00662D46" w:rsidRDefault="00B715DC">
      <w:pPr>
        <w:pStyle w:val="FootnoteText"/>
        <w:rPr>
          <w:lang w:val="de-DE"/>
        </w:rPr>
      </w:pPr>
      <w:r>
        <w:rPr>
          <w:rStyle w:val="FootnoteReference"/>
        </w:rPr>
        <w:footnoteRef/>
      </w:r>
      <w:r w:rsidRPr="00662D46">
        <w:rPr>
          <w:lang w:val="de-DE"/>
        </w:rPr>
        <w:t xml:space="preserve"> </w:t>
      </w:r>
      <w:r w:rsidR="000C08CB">
        <w:rPr>
          <w:lang w:val="de-DE"/>
        </w:rPr>
        <w:t>ibid</w:t>
      </w:r>
    </w:p>
  </w:footnote>
  <w:footnote w:id="17">
    <w:p w:rsidR="00231A94" w:rsidRPr="00662D46" w:rsidRDefault="00231A94">
      <w:pPr>
        <w:pStyle w:val="FootnoteText"/>
        <w:rPr>
          <w:lang w:val="de-DE"/>
        </w:rPr>
      </w:pPr>
      <w:r>
        <w:rPr>
          <w:rStyle w:val="FootnoteReference"/>
        </w:rPr>
        <w:footnoteRef/>
      </w:r>
      <w:r w:rsidRPr="00662D46">
        <w:rPr>
          <w:lang w:val="de-DE"/>
        </w:rPr>
        <w:t xml:space="preserve"> </w:t>
      </w:r>
      <w:r w:rsidRPr="00662D46">
        <w:rPr>
          <w:lang w:val="de-DE"/>
        </w:rPr>
        <w:t>Davies p. 621</w:t>
      </w:r>
    </w:p>
  </w:footnote>
  <w:footnote w:id="18">
    <w:p w:rsidR="009013EB" w:rsidRPr="00662D46" w:rsidRDefault="009013EB">
      <w:pPr>
        <w:pStyle w:val="FootnoteText"/>
        <w:rPr>
          <w:lang w:val="de-DE"/>
        </w:rPr>
      </w:pPr>
      <w:r>
        <w:rPr>
          <w:rStyle w:val="FootnoteReference"/>
        </w:rPr>
        <w:footnoteRef/>
      </w:r>
      <w:r w:rsidRPr="00662D46">
        <w:rPr>
          <w:lang w:val="de-DE"/>
        </w:rPr>
        <w:t xml:space="preserve"> Berlin p.662</w:t>
      </w:r>
    </w:p>
  </w:footnote>
  <w:footnote w:id="19">
    <w:p w:rsidR="009013EB" w:rsidRPr="00662D46" w:rsidRDefault="009013EB">
      <w:pPr>
        <w:pStyle w:val="FootnoteText"/>
        <w:rPr>
          <w:lang w:val="de-DE"/>
        </w:rPr>
      </w:pPr>
      <w:r>
        <w:rPr>
          <w:rStyle w:val="FootnoteReference"/>
        </w:rPr>
        <w:footnoteRef/>
      </w:r>
      <w:r w:rsidRPr="00662D46">
        <w:rPr>
          <w:lang w:val="de-DE"/>
        </w:rPr>
        <w:t xml:space="preserve"> Solomon p.413</w:t>
      </w:r>
    </w:p>
  </w:footnote>
  <w:footnote w:id="20">
    <w:p w:rsidR="009013EB" w:rsidRPr="00662D46" w:rsidRDefault="009013EB">
      <w:pPr>
        <w:pStyle w:val="FootnoteText"/>
        <w:rPr>
          <w:lang w:val="de-DE"/>
        </w:rPr>
      </w:pPr>
      <w:r>
        <w:rPr>
          <w:rStyle w:val="FootnoteReference"/>
        </w:rPr>
        <w:footnoteRef/>
      </w:r>
      <w:r w:rsidRPr="00662D46">
        <w:rPr>
          <w:lang w:val="de-DE"/>
        </w:rPr>
        <w:t xml:space="preserve"> McKenzie p.405</w:t>
      </w:r>
    </w:p>
  </w:footnote>
  <w:footnote w:id="21">
    <w:p w:rsidR="009013EB" w:rsidRPr="00662D46" w:rsidRDefault="009013EB">
      <w:pPr>
        <w:pStyle w:val="FootnoteText"/>
        <w:rPr>
          <w:lang w:val="de-DE"/>
        </w:rPr>
      </w:pPr>
      <w:r>
        <w:rPr>
          <w:rStyle w:val="FootnoteReference"/>
        </w:rPr>
        <w:footnoteRef/>
      </w:r>
      <w:r w:rsidRPr="00662D46">
        <w:rPr>
          <w:lang w:val="de-DE"/>
        </w:rPr>
        <w:t xml:space="preserve"> </w:t>
      </w:r>
      <w:r w:rsidR="000C08CB">
        <w:rPr>
          <w:lang w:val="de-DE"/>
        </w:rPr>
        <w:t>ibid</w:t>
      </w:r>
      <w:r w:rsidRPr="00662D46">
        <w:rPr>
          <w:lang w:val="de-DE"/>
        </w:rPr>
        <w:t xml:space="preserve"> p. 406</w:t>
      </w:r>
    </w:p>
  </w:footnote>
  <w:footnote w:id="22">
    <w:p w:rsidR="003B0648" w:rsidRPr="00662D46" w:rsidRDefault="003B0648">
      <w:pPr>
        <w:pStyle w:val="FootnoteText"/>
        <w:rPr>
          <w:lang w:val="de-DE"/>
        </w:rPr>
      </w:pPr>
      <w:r>
        <w:rPr>
          <w:rStyle w:val="FootnoteReference"/>
        </w:rPr>
        <w:footnoteRef/>
      </w:r>
      <w:r w:rsidRPr="00662D46">
        <w:rPr>
          <w:lang w:val="de-DE"/>
        </w:rPr>
        <w:t xml:space="preserve"> Metzger p. </w:t>
      </w:r>
    </w:p>
  </w:footnote>
  <w:footnote w:id="23">
    <w:p w:rsidR="00E8686E" w:rsidRPr="00662D46" w:rsidRDefault="00E8686E">
      <w:pPr>
        <w:pStyle w:val="FootnoteText"/>
        <w:rPr>
          <w:lang w:val="de-DE"/>
        </w:rPr>
      </w:pPr>
      <w:r>
        <w:rPr>
          <w:rStyle w:val="FootnoteReference"/>
        </w:rPr>
        <w:footnoteRef/>
      </w:r>
      <w:r w:rsidRPr="00662D46">
        <w:rPr>
          <w:lang w:val="de-DE"/>
        </w:rPr>
        <w:t xml:space="preserve"> Berlin p. 663</w:t>
      </w:r>
    </w:p>
  </w:footnote>
  <w:footnote w:id="24">
    <w:p w:rsidR="00E8686E" w:rsidRPr="00662D46" w:rsidRDefault="00E8686E">
      <w:pPr>
        <w:pStyle w:val="FootnoteText"/>
        <w:rPr>
          <w:lang w:val="de-DE"/>
        </w:rPr>
      </w:pPr>
      <w:r>
        <w:rPr>
          <w:rStyle w:val="FootnoteReference"/>
        </w:rPr>
        <w:footnoteRef/>
      </w:r>
      <w:r w:rsidRPr="00662D46">
        <w:rPr>
          <w:lang w:val="de-DE"/>
        </w:rPr>
        <w:t xml:space="preserve"> McKenzie p.406</w:t>
      </w:r>
    </w:p>
  </w:footnote>
  <w:footnote w:id="25">
    <w:p w:rsidR="00E8686E" w:rsidRPr="00662D46" w:rsidRDefault="00E8686E">
      <w:pPr>
        <w:pStyle w:val="FootnoteText"/>
        <w:rPr>
          <w:lang w:val="de-DE"/>
        </w:rPr>
      </w:pPr>
      <w:r>
        <w:rPr>
          <w:rStyle w:val="FootnoteReference"/>
        </w:rPr>
        <w:footnoteRef/>
      </w:r>
      <w:r w:rsidRPr="00662D46">
        <w:rPr>
          <w:lang w:val="de-DE"/>
        </w:rPr>
        <w:t xml:space="preserve"> Berlin p.663</w:t>
      </w:r>
    </w:p>
  </w:footnote>
  <w:footnote w:id="26">
    <w:p w:rsidR="00E8686E" w:rsidRPr="00662D46" w:rsidRDefault="00E8686E">
      <w:pPr>
        <w:pStyle w:val="FootnoteText"/>
        <w:rPr>
          <w:lang w:val="de-DE"/>
        </w:rPr>
      </w:pPr>
      <w:r>
        <w:rPr>
          <w:rStyle w:val="FootnoteReference"/>
        </w:rPr>
        <w:footnoteRef/>
      </w:r>
      <w:r w:rsidRPr="00662D46">
        <w:rPr>
          <w:lang w:val="de-DE"/>
        </w:rPr>
        <w:t xml:space="preserve"> Solomon p. 413</w:t>
      </w:r>
    </w:p>
  </w:footnote>
  <w:footnote w:id="27">
    <w:p w:rsidR="00194E02" w:rsidRPr="00662D46" w:rsidRDefault="00194E02">
      <w:pPr>
        <w:pStyle w:val="FootnoteText"/>
        <w:rPr>
          <w:lang w:val="de-DE"/>
        </w:rPr>
      </w:pPr>
      <w:r>
        <w:rPr>
          <w:rStyle w:val="FootnoteReference"/>
        </w:rPr>
        <w:footnoteRef/>
      </w:r>
      <w:r w:rsidRPr="00662D46">
        <w:rPr>
          <w:lang w:val="de-DE"/>
        </w:rPr>
        <w:t xml:space="preserve"> McKenzie p. 406</w:t>
      </w:r>
    </w:p>
  </w:footnote>
  <w:footnote w:id="28">
    <w:p w:rsidR="00194E02" w:rsidRPr="00662D46" w:rsidRDefault="00194E02">
      <w:pPr>
        <w:pStyle w:val="FootnoteText"/>
        <w:rPr>
          <w:lang w:val="de-DE"/>
        </w:rPr>
      </w:pPr>
      <w:r>
        <w:rPr>
          <w:rStyle w:val="FootnoteReference"/>
        </w:rPr>
        <w:footnoteRef/>
      </w:r>
      <w:r w:rsidRPr="00662D46">
        <w:rPr>
          <w:lang w:val="de-DE"/>
        </w:rPr>
        <w:t xml:space="preserve"> </w:t>
      </w:r>
      <w:r w:rsidR="000C08CB">
        <w:rPr>
          <w:lang w:val="de-DE"/>
        </w:rPr>
        <w:t>ibid</w:t>
      </w:r>
      <w:r w:rsidRPr="00662D46">
        <w:rPr>
          <w:lang w:val="de-DE"/>
        </w:rPr>
        <w:t xml:space="preserve"> p. 407</w:t>
      </w:r>
    </w:p>
  </w:footnote>
  <w:footnote w:id="29">
    <w:p w:rsidR="006C5FD2" w:rsidRPr="00662D46" w:rsidRDefault="006C5FD2">
      <w:pPr>
        <w:pStyle w:val="FootnoteText"/>
        <w:rPr>
          <w:lang w:val="de-DE"/>
        </w:rPr>
      </w:pPr>
      <w:r>
        <w:rPr>
          <w:rStyle w:val="FootnoteReference"/>
        </w:rPr>
        <w:footnoteRef/>
      </w:r>
      <w:r w:rsidRPr="00662D46">
        <w:rPr>
          <w:lang w:val="de-DE"/>
        </w:rPr>
        <w:t xml:space="preserve"> Solomon p. 413</w:t>
      </w:r>
    </w:p>
  </w:footnote>
  <w:footnote w:id="30">
    <w:p w:rsidR="00AC5C5E" w:rsidRPr="00662D46" w:rsidRDefault="00AC5C5E">
      <w:pPr>
        <w:pStyle w:val="FootnoteText"/>
        <w:rPr>
          <w:lang w:val="de-DE"/>
        </w:rPr>
      </w:pPr>
      <w:r>
        <w:rPr>
          <w:rStyle w:val="FootnoteReference"/>
        </w:rPr>
        <w:footnoteRef/>
      </w:r>
      <w:r w:rsidRPr="00662D46">
        <w:rPr>
          <w:lang w:val="de-DE"/>
        </w:rPr>
        <w:t xml:space="preserve"> Berlin p. 663</w:t>
      </w:r>
    </w:p>
  </w:footnote>
  <w:footnote w:id="31">
    <w:p w:rsidR="00F24603" w:rsidRPr="00662D46" w:rsidRDefault="00F24603">
      <w:pPr>
        <w:pStyle w:val="FootnoteText"/>
        <w:rPr>
          <w:lang w:val="de-DE"/>
        </w:rPr>
      </w:pPr>
      <w:r>
        <w:rPr>
          <w:rStyle w:val="FootnoteReference"/>
        </w:rPr>
        <w:footnoteRef/>
      </w:r>
      <w:r w:rsidR="000C08CB">
        <w:rPr>
          <w:lang w:val="de-DE"/>
        </w:rPr>
        <w:t xml:space="preserve"> </w:t>
      </w:r>
      <w:r w:rsidR="000C08CB">
        <w:rPr>
          <w:lang w:val="de-DE"/>
        </w:rPr>
        <w:t xml:space="preserve">Hornblower </w:t>
      </w:r>
    </w:p>
  </w:footnote>
  <w:footnote w:id="32">
    <w:p w:rsidR="00AC5C5E" w:rsidRPr="00662D46" w:rsidRDefault="00AC5C5E">
      <w:pPr>
        <w:pStyle w:val="FootnoteText"/>
        <w:rPr>
          <w:lang w:val="de-DE"/>
        </w:rPr>
      </w:pPr>
      <w:r>
        <w:rPr>
          <w:rStyle w:val="FootnoteReference"/>
        </w:rPr>
        <w:footnoteRef/>
      </w:r>
      <w:r w:rsidRPr="00662D46">
        <w:rPr>
          <w:lang w:val="de-DE"/>
        </w:rPr>
        <w:t xml:space="preserve"> </w:t>
      </w:r>
      <w:r w:rsidRPr="00662D46">
        <w:rPr>
          <w:lang w:val="de-DE"/>
        </w:rPr>
        <w:t>Berlin p. 663</w:t>
      </w:r>
    </w:p>
  </w:footnote>
  <w:footnote w:id="33">
    <w:p w:rsidR="00FC1AC8" w:rsidRPr="00662D46" w:rsidRDefault="00FC1AC8">
      <w:pPr>
        <w:pStyle w:val="FootnoteText"/>
        <w:rPr>
          <w:lang w:val="de-DE"/>
        </w:rPr>
      </w:pPr>
      <w:r>
        <w:rPr>
          <w:rStyle w:val="FootnoteReference"/>
        </w:rPr>
        <w:footnoteRef/>
      </w:r>
      <w:r w:rsidRPr="00662D46">
        <w:rPr>
          <w:lang w:val="de-DE"/>
        </w:rPr>
        <w:t xml:space="preserve"> Berlin p. 664</w:t>
      </w:r>
    </w:p>
  </w:footnote>
  <w:footnote w:id="34">
    <w:p w:rsidR="00D8219A" w:rsidRPr="00662D46" w:rsidRDefault="00D8219A">
      <w:pPr>
        <w:pStyle w:val="FootnoteText"/>
        <w:rPr>
          <w:lang w:val="de-DE"/>
        </w:rPr>
      </w:pPr>
      <w:r>
        <w:rPr>
          <w:rStyle w:val="FootnoteReference"/>
        </w:rPr>
        <w:footnoteRef/>
      </w:r>
      <w:r w:rsidR="000C08CB">
        <w:rPr>
          <w:lang w:val="de-DE"/>
        </w:rPr>
        <w:t xml:space="preserve"> </w:t>
      </w:r>
      <w:r w:rsidR="000C08CB">
        <w:rPr>
          <w:lang w:val="de-DE"/>
        </w:rPr>
        <w:t xml:space="preserve">Hornblower </w:t>
      </w:r>
    </w:p>
  </w:footnote>
  <w:footnote w:id="35">
    <w:p w:rsidR="00D8219A" w:rsidRPr="00662D46" w:rsidRDefault="00D8219A">
      <w:pPr>
        <w:pStyle w:val="FootnoteText"/>
        <w:rPr>
          <w:lang w:val="de-DE"/>
        </w:rPr>
      </w:pPr>
      <w:r>
        <w:rPr>
          <w:rStyle w:val="FootnoteReference"/>
        </w:rPr>
        <w:footnoteRef/>
      </w:r>
      <w:r w:rsidRPr="00662D46">
        <w:rPr>
          <w:lang w:val="de-DE"/>
        </w:rPr>
        <w:t xml:space="preserve"> </w:t>
      </w:r>
      <w:r w:rsidRPr="00662D46">
        <w:rPr>
          <w:lang w:val="de-DE"/>
        </w:rPr>
        <w:t>Solomon p.413</w:t>
      </w:r>
    </w:p>
  </w:footnote>
  <w:footnote w:id="36">
    <w:p w:rsidR="00D8219A" w:rsidRPr="00662D46" w:rsidRDefault="00D8219A">
      <w:pPr>
        <w:pStyle w:val="FootnoteText"/>
        <w:rPr>
          <w:lang w:val="de-DE"/>
        </w:rPr>
      </w:pPr>
      <w:r>
        <w:rPr>
          <w:rStyle w:val="FootnoteReference"/>
        </w:rPr>
        <w:footnoteRef/>
      </w:r>
      <w:r w:rsidR="00324E84" w:rsidRPr="00662D46">
        <w:rPr>
          <w:lang w:val="de-DE"/>
        </w:rPr>
        <w:t xml:space="preserve"> Ber</w:t>
      </w:r>
      <w:r w:rsidRPr="00662D46">
        <w:rPr>
          <w:lang w:val="de-DE"/>
        </w:rPr>
        <w:t>lin</w:t>
      </w:r>
      <w:r w:rsidR="00324E84" w:rsidRPr="00662D46">
        <w:rPr>
          <w:lang w:val="de-DE"/>
        </w:rPr>
        <w:t xml:space="preserve"> p.</w:t>
      </w:r>
      <w:r w:rsidRPr="00662D46">
        <w:rPr>
          <w:lang w:val="de-DE"/>
        </w:rPr>
        <w:t xml:space="preserve"> 663</w:t>
      </w:r>
    </w:p>
  </w:footnote>
  <w:footnote w:id="37">
    <w:p w:rsidR="00324E84" w:rsidRPr="00662D46" w:rsidRDefault="00324E84">
      <w:pPr>
        <w:pStyle w:val="FootnoteText"/>
        <w:rPr>
          <w:lang w:val="de-DE"/>
        </w:rPr>
      </w:pPr>
      <w:r>
        <w:rPr>
          <w:rStyle w:val="FootnoteReference"/>
        </w:rPr>
        <w:footnoteRef/>
      </w:r>
      <w:r w:rsidRPr="00662D46">
        <w:rPr>
          <w:lang w:val="de-DE"/>
        </w:rPr>
        <w:t xml:space="preserve"> Solomon p. 414</w:t>
      </w:r>
    </w:p>
  </w:footnote>
  <w:footnote w:id="38">
    <w:p w:rsidR="00EB6931" w:rsidRPr="00662D46" w:rsidRDefault="00EB6931">
      <w:pPr>
        <w:pStyle w:val="FootnoteText"/>
        <w:rPr>
          <w:lang w:val="de-DE"/>
        </w:rPr>
      </w:pPr>
      <w:r>
        <w:rPr>
          <w:rStyle w:val="FootnoteReference"/>
        </w:rPr>
        <w:footnoteRef/>
      </w:r>
      <w:r w:rsidRPr="00662D46">
        <w:rPr>
          <w:lang w:val="de-DE"/>
        </w:rPr>
        <w:t xml:space="preserve"> Brown p. 1091</w:t>
      </w:r>
    </w:p>
  </w:footnote>
  <w:footnote w:id="39">
    <w:p w:rsidR="00EF1CF4" w:rsidRPr="00662D46" w:rsidRDefault="00EF1CF4">
      <w:pPr>
        <w:pStyle w:val="FootnoteText"/>
        <w:rPr>
          <w:lang w:val="de-DE"/>
        </w:rPr>
      </w:pPr>
      <w:r>
        <w:rPr>
          <w:rStyle w:val="FootnoteReference"/>
        </w:rPr>
        <w:footnoteRef/>
      </w:r>
      <w:r w:rsidRPr="00662D46">
        <w:rPr>
          <w:lang w:val="de-DE"/>
        </w:rPr>
        <w:t xml:space="preserve"> McKenzie p. 412</w:t>
      </w:r>
    </w:p>
  </w:footnote>
  <w:footnote w:id="40">
    <w:p w:rsidR="00EF1CF4" w:rsidRPr="00662D46" w:rsidRDefault="00EF1CF4">
      <w:pPr>
        <w:pStyle w:val="FootnoteText"/>
        <w:rPr>
          <w:lang w:val="de-DE"/>
        </w:rPr>
      </w:pPr>
      <w:r>
        <w:rPr>
          <w:rStyle w:val="FootnoteReference"/>
        </w:rPr>
        <w:footnoteRef/>
      </w:r>
      <w:r w:rsidRPr="00662D46">
        <w:rPr>
          <w:lang w:val="de-DE"/>
        </w:rPr>
        <w:t xml:space="preserve"> </w:t>
      </w:r>
      <w:r w:rsidR="000C08CB">
        <w:rPr>
          <w:lang w:val="de-DE"/>
        </w:rPr>
        <w:t>ibid</w:t>
      </w:r>
    </w:p>
  </w:footnote>
  <w:footnote w:id="41">
    <w:p w:rsidR="0063630F" w:rsidRPr="00662D46" w:rsidRDefault="0063630F">
      <w:pPr>
        <w:pStyle w:val="FootnoteText"/>
        <w:rPr>
          <w:lang w:val="de-DE"/>
        </w:rPr>
      </w:pPr>
      <w:r>
        <w:rPr>
          <w:rStyle w:val="FootnoteReference"/>
        </w:rPr>
        <w:footnoteRef/>
      </w:r>
      <w:r w:rsidRPr="00662D46">
        <w:rPr>
          <w:lang w:val="de-DE"/>
        </w:rPr>
        <w:t xml:space="preserve"> </w:t>
      </w:r>
      <w:r w:rsidRPr="00662D46">
        <w:rPr>
          <w:lang w:val="de-DE"/>
        </w:rPr>
        <w:t>Bromiley p. 972</w:t>
      </w:r>
    </w:p>
  </w:footnote>
  <w:footnote w:id="42">
    <w:p w:rsidR="00677B83" w:rsidRPr="00662D46" w:rsidRDefault="00677B83">
      <w:pPr>
        <w:pStyle w:val="FootnoteText"/>
        <w:rPr>
          <w:lang w:val="de-DE"/>
        </w:rPr>
      </w:pPr>
      <w:r>
        <w:rPr>
          <w:rStyle w:val="FootnoteReference"/>
        </w:rPr>
        <w:footnoteRef/>
      </w:r>
      <w:r w:rsidRPr="00662D46">
        <w:rPr>
          <w:lang w:val="de-DE"/>
        </w:rPr>
        <w:t xml:space="preserve"> McKenzie p. 412</w:t>
      </w:r>
    </w:p>
  </w:footnote>
  <w:footnote w:id="43">
    <w:p w:rsidR="00677B83" w:rsidRPr="00662D46" w:rsidRDefault="00677B83">
      <w:pPr>
        <w:pStyle w:val="FootnoteText"/>
        <w:rPr>
          <w:lang w:val="de-DE"/>
        </w:rPr>
      </w:pPr>
      <w:r>
        <w:rPr>
          <w:rStyle w:val="FootnoteReference"/>
        </w:rPr>
        <w:footnoteRef/>
      </w:r>
      <w:r w:rsidRPr="00662D46">
        <w:rPr>
          <w:lang w:val="de-DE"/>
        </w:rPr>
        <w:t xml:space="preserve"> </w:t>
      </w:r>
      <w:r w:rsidR="000C08CB">
        <w:rPr>
          <w:lang w:val="de-DE"/>
        </w:rPr>
        <w:t>ibid</w:t>
      </w:r>
    </w:p>
  </w:footnote>
  <w:footnote w:id="44">
    <w:p w:rsidR="00F62956" w:rsidRDefault="00F62956">
      <w:pPr>
        <w:pStyle w:val="FootnoteText"/>
      </w:pPr>
      <w:r>
        <w:rPr>
          <w:rStyle w:val="FootnoteReference"/>
        </w:rPr>
        <w:footnoteRef/>
      </w:r>
      <w:r w:rsidR="000C08CB">
        <w:t xml:space="preserve"> </w:t>
      </w:r>
      <w:proofErr w:type="spellStart"/>
      <w:r w:rsidR="000C08CB">
        <w:t>Hornblower</w:t>
      </w:r>
      <w:proofErr w:type="spellEnd"/>
      <w:r w:rsidR="000C08CB">
        <w:t xml:space="preserve"> </w:t>
      </w:r>
    </w:p>
  </w:footnote>
  <w:footnote w:id="45">
    <w:p w:rsidR="0063630F" w:rsidRDefault="0063630F">
      <w:pPr>
        <w:pStyle w:val="FootnoteText"/>
      </w:pPr>
      <w:r>
        <w:rPr>
          <w:rStyle w:val="FootnoteReference"/>
        </w:rPr>
        <w:footnoteRef/>
      </w:r>
      <w:r>
        <w:t xml:space="preserve"> </w:t>
      </w:r>
      <w:proofErr w:type="spellStart"/>
      <w:r>
        <w:t>Bromiley</w:t>
      </w:r>
      <w:proofErr w:type="spellEnd"/>
      <w:r>
        <w:t xml:space="preserve"> p. 972</w:t>
      </w:r>
    </w:p>
  </w:footnote>
  <w:footnote w:id="46">
    <w:p w:rsidR="0063630F" w:rsidRDefault="0063630F">
      <w:pPr>
        <w:pStyle w:val="FootnoteText"/>
      </w:pPr>
      <w:r>
        <w:rPr>
          <w:rStyle w:val="FootnoteReference"/>
        </w:rPr>
        <w:footnoteRef/>
      </w:r>
      <w:r>
        <w:t xml:space="preserve"> </w:t>
      </w:r>
      <w:r w:rsidR="000C08CB">
        <w:t>ibid</w:t>
      </w:r>
    </w:p>
  </w:footnote>
  <w:footnote w:id="47">
    <w:p w:rsidR="00EF4B2A" w:rsidRDefault="00EF4B2A">
      <w:pPr>
        <w:pStyle w:val="FootnoteText"/>
      </w:pPr>
      <w:r>
        <w:rPr>
          <w:rStyle w:val="FootnoteReference"/>
        </w:rPr>
        <w:footnoteRef/>
      </w:r>
      <w:r>
        <w:t xml:space="preserve"> </w:t>
      </w:r>
      <w:proofErr w:type="spellStart"/>
      <w:r>
        <w:t>Hornblower</w:t>
      </w:r>
      <w:proofErr w:type="spellEnd"/>
    </w:p>
  </w:footnote>
  <w:footnote w:id="48">
    <w:p w:rsidR="00E81B57" w:rsidRDefault="00E81B57">
      <w:pPr>
        <w:pStyle w:val="FootnoteText"/>
      </w:pPr>
      <w:r>
        <w:rPr>
          <w:rStyle w:val="FootnoteReference"/>
        </w:rPr>
        <w:footnoteRef/>
      </w:r>
      <w:r>
        <w:t xml:space="preserve"> </w:t>
      </w:r>
      <w:proofErr w:type="spellStart"/>
      <w:r>
        <w:t>Bromiley</w:t>
      </w:r>
      <w:proofErr w:type="spellEnd"/>
      <w:r>
        <w:t xml:space="preserve"> p. 972</w:t>
      </w:r>
    </w:p>
  </w:footnote>
  <w:footnote w:id="49">
    <w:p w:rsidR="00EC4417" w:rsidRDefault="00EC4417">
      <w:pPr>
        <w:pStyle w:val="FootnoteText"/>
      </w:pPr>
      <w:r>
        <w:rPr>
          <w:rStyle w:val="FootnoteReference"/>
        </w:rPr>
        <w:footnoteRef/>
      </w:r>
      <w:r>
        <w:t xml:space="preserve"> Brown p. 1101</w:t>
      </w:r>
    </w:p>
  </w:footnote>
  <w:footnote w:id="50">
    <w:p w:rsidR="00F72B41" w:rsidRDefault="00F72B41">
      <w:pPr>
        <w:pStyle w:val="FootnoteText"/>
      </w:pPr>
      <w:r>
        <w:rPr>
          <w:rStyle w:val="FootnoteReference"/>
        </w:rPr>
        <w:footnoteRef/>
      </w:r>
      <w:r>
        <w:t xml:space="preserve"> </w:t>
      </w:r>
      <w:r w:rsidR="000C08CB">
        <w:t>ibid</w:t>
      </w:r>
    </w:p>
  </w:footnote>
  <w:footnote w:id="51">
    <w:p w:rsidR="008D6BD5" w:rsidRDefault="008D6BD5">
      <w:pPr>
        <w:pStyle w:val="FootnoteText"/>
      </w:pPr>
      <w:r>
        <w:rPr>
          <w:rStyle w:val="FootnoteReference"/>
        </w:rPr>
        <w:footnoteRef/>
      </w:r>
      <w:r>
        <w:t xml:space="preserve"> </w:t>
      </w:r>
      <w:proofErr w:type="spellStart"/>
      <w:r>
        <w:t>Hornblower</w:t>
      </w:r>
      <w:proofErr w:type="spellEnd"/>
    </w:p>
  </w:footnote>
  <w:footnote w:id="52">
    <w:p w:rsidR="00EC4417" w:rsidRDefault="00EC4417">
      <w:pPr>
        <w:pStyle w:val="FootnoteText"/>
      </w:pPr>
      <w:r>
        <w:rPr>
          <w:rStyle w:val="FootnoteReference"/>
        </w:rPr>
        <w:footnoteRef/>
      </w:r>
      <w:r>
        <w:t xml:space="preserve"> </w:t>
      </w:r>
      <w:proofErr w:type="spellStart"/>
      <w:r>
        <w:t>Bromiley</w:t>
      </w:r>
      <w:proofErr w:type="spellEnd"/>
      <w:r>
        <w:t xml:space="preserve"> p. 974</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08E" w:rsidRPr="00366E17" w:rsidRDefault="000A408E">
    <w:pPr>
      <w:pStyle w:val="Header"/>
      <w:rPr>
        <w:rFonts w:ascii="Verdana" w:hAnsi="Verdana"/>
        <w:sz w:val="24"/>
        <w:szCs w:val="24"/>
      </w:rPr>
    </w:pPr>
    <w:r w:rsidRPr="00366E17">
      <w:rPr>
        <w:rFonts w:ascii="Verdana" w:hAnsi="Verdana"/>
        <w:sz w:val="24"/>
        <w:szCs w:val="24"/>
      </w:rPr>
      <w:t>Sarah Connelly 1703421</w:t>
    </w:r>
  </w:p>
  <w:p w:rsidR="000A408E" w:rsidRDefault="000A40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762372"/>
    <w:multiLevelType w:val="multilevel"/>
    <w:tmpl w:val="FAC28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3B6BF6"/>
    <w:multiLevelType w:val="hybridMultilevel"/>
    <w:tmpl w:val="1EB0C138"/>
    <w:lvl w:ilvl="0" w:tplc="6CC089BA">
      <w:start w:val="1"/>
      <w:numFmt w:val="lowerLetter"/>
      <w:lvlText w:val="(%1)"/>
      <w:lvlJc w:val="left"/>
      <w:pPr>
        <w:ind w:left="810" w:hanging="72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408E"/>
    <w:rsid w:val="00030758"/>
    <w:rsid w:val="00042F1E"/>
    <w:rsid w:val="000461D9"/>
    <w:rsid w:val="000A408E"/>
    <w:rsid w:val="000C08CB"/>
    <w:rsid w:val="000D6772"/>
    <w:rsid w:val="00146C8C"/>
    <w:rsid w:val="00152332"/>
    <w:rsid w:val="00152DBD"/>
    <w:rsid w:val="00162599"/>
    <w:rsid w:val="00176B1E"/>
    <w:rsid w:val="001920B9"/>
    <w:rsid w:val="00194E02"/>
    <w:rsid w:val="0019776D"/>
    <w:rsid w:val="001E3A4C"/>
    <w:rsid w:val="001F19A9"/>
    <w:rsid w:val="00207F53"/>
    <w:rsid w:val="00222D01"/>
    <w:rsid w:val="00231A94"/>
    <w:rsid w:val="002722E4"/>
    <w:rsid w:val="00324E84"/>
    <w:rsid w:val="00366E17"/>
    <w:rsid w:val="00392718"/>
    <w:rsid w:val="003B0648"/>
    <w:rsid w:val="003D1070"/>
    <w:rsid w:val="0048609A"/>
    <w:rsid w:val="005F6442"/>
    <w:rsid w:val="00611680"/>
    <w:rsid w:val="0063630F"/>
    <w:rsid w:val="006565A0"/>
    <w:rsid w:val="00662D46"/>
    <w:rsid w:val="00677425"/>
    <w:rsid w:val="00677B83"/>
    <w:rsid w:val="006B7A09"/>
    <w:rsid w:val="006C41D4"/>
    <w:rsid w:val="006C5FD2"/>
    <w:rsid w:val="006C6FFE"/>
    <w:rsid w:val="006D44CB"/>
    <w:rsid w:val="006E2135"/>
    <w:rsid w:val="00787481"/>
    <w:rsid w:val="007B74B3"/>
    <w:rsid w:val="007E115D"/>
    <w:rsid w:val="008D6BD5"/>
    <w:rsid w:val="009013EB"/>
    <w:rsid w:val="00935664"/>
    <w:rsid w:val="0093661B"/>
    <w:rsid w:val="00A063A0"/>
    <w:rsid w:val="00A261E8"/>
    <w:rsid w:val="00A82C14"/>
    <w:rsid w:val="00AC5C5E"/>
    <w:rsid w:val="00AC6108"/>
    <w:rsid w:val="00AF2454"/>
    <w:rsid w:val="00B03AFA"/>
    <w:rsid w:val="00B1342A"/>
    <w:rsid w:val="00B53B6B"/>
    <w:rsid w:val="00B62EAF"/>
    <w:rsid w:val="00B63441"/>
    <w:rsid w:val="00B715DC"/>
    <w:rsid w:val="00B85955"/>
    <w:rsid w:val="00BC3ABB"/>
    <w:rsid w:val="00BC7DCD"/>
    <w:rsid w:val="00BE6CF3"/>
    <w:rsid w:val="00C050DA"/>
    <w:rsid w:val="00C41050"/>
    <w:rsid w:val="00C45565"/>
    <w:rsid w:val="00C5734A"/>
    <w:rsid w:val="00C87BCC"/>
    <w:rsid w:val="00CA3AAC"/>
    <w:rsid w:val="00CB75FE"/>
    <w:rsid w:val="00CD78B5"/>
    <w:rsid w:val="00D04239"/>
    <w:rsid w:val="00D24D98"/>
    <w:rsid w:val="00D3716E"/>
    <w:rsid w:val="00D8219A"/>
    <w:rsid w:val="00D84D1A"/>
    <w:rsid w:val="00E81B57"/>
    <w:rsid w:val="00E866C0"/>
    <w:rsid w:val="00E8686E"/>
    <w:rsid w:val="00EB6931"/>
    <w:rsid w:val="00EC4417"/>
    <w:rsid w:val="00EC6091"/>
    <w:rsid w:val="00EF1CF4"/>
    <w:rsid w:val="00EF4B2A"/>
    <w:rsid w:val="00F24603"/>
    <w:rsid w:val="00F62956"/>
    <w:rsid w:val="00F72B41"/>
    <w:rsid w:val="00FC1AC8"/>
    <w:rsid w:val="00FE2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53FC1"/>
  <w15:chartTrackingRefBased/>
  <w15:docId w15:val="{E9A7C032-1168-4F00-A215-BAF54C888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40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0A408E"/>
    <w:pPr>
      <w:spacing w:after="0" w:line="240" w:lineRule="auto"/>
    </w:pPr>
  </w:style>
  <w:style w:type="paragraph" w:styleId="Header">
    <w:name w:val="header"/>
    <w:basedOn w:val="Normal"/>
    <w:link w:val="HeaderChar"/>
    <w:uiPriority w:val="99"/>
    <w:unhideWhenUsed/>
    <w:rsid w:val="000A4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08E"/>
  </w:style>
  <w:style w:type="paragraph" w:styleId="Footer">
    <w:name w:val="footer"/>
    <w:basedOn w:val="Normal"/>
    <w:link w:val="FooterChar"/>
    <w:uiPriority w:val="99"/>
    <w:unhideWhenUsed/>
    <w:rsid w:val="000A4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08E"/>
  </w:style>
  <w:style w:type="paragraph" w:styleId="FootnoteText">
    <w:name w:val="footnote text"/>
    <w:basedOn w:val="Normal"/>
    <w:link w:val="FootnoteTextChar"/>
    <w:uiPriority w:val="99"/>
    <w:semiHidden/>
    <w:unhideWhenUsed/>
    <w:rsid w:val="00B715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15DC"/>
    <w:rPr>
      <w:sz w:val="20"/>
      <w:szCs w:val="20"/>
    </w:rPr>
  </w:style>
  <w:style w:type="character" w:styleId="FootnoteReference">
    <w:name w:val="footnote reference"/>
    <w:basedOn w:val="DefaultParagraphFont"/>
    <w:uiPriority w:val="99"/>
    <w:semiHidden/>
    <w:unhideWhenUsed/>
    <w:rsid w:val="00B715DC"/>
    <w:rPr>
      <w:vertAlign w:val="superscript"/>
    </w:rPr>
  </w:style>
  <w:style w:type="character" w:styleId="Emphasis">
    <w:name w:val="Emphasis"/>
    <w:basedOn w:val="DefaultParagraphFont"/>
    <w:uiPriority w:val="20"/>
    <w:qFormat/>
    <w:rsid w:val="00662D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967374">
      <w:bodyDiv w:val="1"/>
      <w:marLeft w:val="0"/>
      <w:marRight w:val="0"/>
      <w:marTop w:val="0"/>
      <w:marBottom w:val="0"/>
      <w:divBdr>
        <w:top w:val="none" w:sz="0" w:space="0" w:color="auto"/>
        <w:left w:val="none" w:sz="0" w:space="0" w:color="auto"/>
        <w:bottom w:val="none" w:sz="0" w:space="0" w:color="auto"/>
        <w:right w:val="none" w:sz="0" w:space="0" w:color="auto"/>
      </w:divBdr>
    </w:div>
    <w:div w:id="763385341">
      <w:bodyDiv w:val="1"/>
      <w:marLeft w:val="0"/>
      <w:marRight w:val="0"/>
      <w:marTop w:val="0"/>
      <w:marBottom w:val="0"/>
      <w:divBdr>
        <w:top w:val="none" w:sz="0" w:space="0" w:color="auto"/>
        <w:left w:val="none" w:sz="0" w:space="0" w:color="auto"/>
        <w:bottom w:val="none" w:sz="0" w:space="0" w:color="auto"/>
        <w:right w:val="none" w:sz="0" w:space="0" w:color="auto"/>
      </w:divBdr>
    </w:div>
    <w:div w:id="1198467891">
      <w:bodyDiv w:val="1"/>
      <w:marLeft w:val="0"/>
      <w:marRight w:val="0"/>
      <w:marTop w:val="0"/>
      <w:marBottom w:val="0"/>
      <w:divBdr>
        <w:top w:val="none" w:sz="0" w:space="0" w:color="auto"/>
        <w:left w:val="none" w:sz="0" w:space="0" w:color="auto"/>
        <w:bottom w:val="none" w:sz="0" w:space="0" w:color="auto"/>
        <w:right w:val="none" w:sz="0" w:space="0" w:color="auto"/>
      </w:divBdr>
      <w:divsChild>
        <w:div w:id="770470016">
          <w:marLeft w:val="0"/>
          <w:marRight w:val="0"/>
          <w:marTop w:val="0"/>
          <w:marBottom w:val="0"/>
          <w:divBdr>
            <w:top w:val="none" w:sz="0" w:space="0" w:color="auto"/>
            <w:left w:val="none" w:sz="0" w:space="0" w:color="auto"/>
            <w:bottom w:val="none" w:sz="0" w:space="0" w:color="auto"/>
            <w:right w:val="none" w:sz="0" w:space="0" w:color="auto"/>
          </w:divBdr>
        </w:div>
        <w:div w:id="229771416">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59CA6-89FA-4A49-894B-B34B8BC88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1913</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Stbernards High School</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Connelly S</dc:creator>
  <cp:keywords/>
  <dc:description/>
  <cp:lastModifiedBy>Sarah Connelly (1703421)</cp:lastModifiedBy>
  <cp:revision>3</cp:revision>
  <dcterms:created xsi:type="dcterms:W3CDTF">2018-02-01T01:37:00Z</dcterms:created>
  <dcterms:modified xsi:type="dcterms:W3CDTF">2018-02-01T01:38:00Z</dcterms:modified>
</cp:coreProperties>
</file>