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6A476E" w14:textId="77777777" w:rsidR="0026570A" w:rsidRDefault="0026570A" w:rsidP="0026570A">
      <w:pPr>
        <w:spacing w:before="100" w:beforeAutospacing="1" w:after="100" w:afterAutospacing="1" w:line="480" w:lineRule="auto"/>
        <w:jc w:val="center"/>
        <w:outlineLvl w:val="0"/>
        <w:rPr>
          <w:rFonts w:ascii="Times New Roman" w:eastAsia="Times New Roman" w:hAnsi="Times New Roman" w:cs="Times New Roman"/>
          <w:b/>
          <w:bCs/>
          <w:kern w:val="36"/>
          <w:sz w:val="32"/>
          <w:szCs w:val="32"/>
          <w:lang w:eastAsia="en-GB"/>
          <w14:ligatures w14:val="none"/>
        </w:rPr>
      </w:pPr>
    </w:p>
    <w:p w14:paraId="1AE600C3" w14:textId="77777777" w:rsidR="0026570A" w:rsidRDefault="0026570A" w:rsidP="0026570A">
      <w:pPr>
        <w:spacing w:before="100" w:beforeAutospacing="1" w:after="100" w:afterAutospacing="1" w:line="480" w:lineRule="auto"/>
        <w:jc w:val="center"/>
        <w:outlineLvl w:val="0"/>
        <w:rPr>
          <w:rFonts w:ascii="Times New Roman" w:eastAsia="Times New Roman" w:hAnsi="Times New Roman" w:cs="Times New Roman"/>
          <w:b/>
          <w:bCs/>
          <w:kern w:val="36"/>
          <w:sz w:val="32"/>
          <w:szCs w:val="32"/>
          <w:lang w:eastAsia="en-GB"/>
          <w14:ligatures w14:val="none"/>
        </w:rPr>
      </w:pPr>
    </w:p>
    <w:p w14:paraId="2278487E" w14:textId="77777777" w:rsidR="0026570A" w:rsidRDefault="0026570A" w:rsidP="0026570A">
      <w:pPr>
        <w:spacing w:before="100" w:beforeAutospacing="1" w:after="100" w:afterAutospacing="1" w:line="480" w:lineRule="auto"/>
        <w:jc w:val="center"/>
        <w:outlineLvl w:val="0"/>
        <w:rPr>
          <w:rFonts w:ascii="Times New Roman" w:eastAsia="Times New Roman" w:hAnsi="Times New Roman" w:cs="Times New Roman"/>
          <w:b/>
          <w:bCs/>
          <w:kern w:val="36"/>
          <w:sz w:val="32"/>
          <w:szCs w:val="32"/>
          <w:lang w:eastAsia="en-GB"/>
          <w14:ligatures w14:val="none"/>
        </w:rPr>
      </w:pPr>
    </w:p>
    <w:p w14:paraId="3CC180DA" w14:textId="77777777" w:rsidR="0026570A" w:rsidRDefault="0026570A" w:rsidP="0026570A">
      <w:pPr>
        <w:spacing w:before="100" w:beforeAutospacing="1" w:after="100" w:afterAutospacing="1" w:line="480" w:lineRule="auto"/>
        <w:jc w:val="center"/>
        <w:outlineLvl w:val="0"/>
        <w:rPr>
          <w:rFonts w:ascii="Times New Roman" w:eastAsia="Times New Roman" w:hAnsi="Times New Roman" w:cs="Times New Roman"/>
          <w:b/>
          <w:bCs/>
          <w:kern w:val="36"/>
          <w:sz w:val="32"/>
          <w:szCs w:val="32"/>
          <w:lang w:eastAsia="en-GB"/>
          <w14:ligatures w14:val="none"/>
        </w:rPr>
      </w:pPr>
    </w:p>
    <w:p w14:paraId="4AAF085B" w14:textId="77777777" w:rsidR="0026570A" w:rsidRDefault="0026570A" w:rsidP="0026570A">
      <w:pPr>
        <w:spacing w:before="100" w:beforeAutospacing="1" w:after="100" w:afterAutospacing="1" w:line="480" w:lineRule="auto"/>
        <w:jc w:val="center"/>
        <w:outlineLvl w:val="0"/>
        <w:rPr>
          <w:rFonts w:ascii="Times New Roman" w:eastAsia="Times New Roman" w:hAnsi="Times New Roman" w:cs="Times New Roman"/>
          <w:b/>
          <w:bCs/>
          <w:kern w:val="36"/>
          <w:sz w:val="32"/>
          <w:szCs w:val="32"/>
          <w:lang w:eastAsia="en-GB"/>
          <w14:ligatures w14:val="none"/>
        </w:rPr>
      </w:pPr>
    </w:p>
    <w:p w14:paraId="38464950" w14:textId="77777777" w:rsidR="0026570A" w:rsidRDefault="0026570A" w:rsidP="0026570A">
      <w:pPr>
        <w:spacing w:before="100" w:beforeAutospacing="1" w:after="100" w:afterAutospacing="1" w:line="480" w:lineRule="auto"/>
        <w:jc w:val="center"/>
        <w:outlineLvl w:val="0"/>
        <w:rPr>
          <w:rFonts w:ascii="Times New Roman" w:eastAsia="Times New Roman" w:hAnsi="Times New Roman" w:cs="Times New Roman"/>
          <w:b/>
          <w:bCs/>
          <w:kern w:val="36"/>
          <w:sz w:val="32"/>
          <w:szCs w:val="32"/>
          <w:lang w:eastAsia="en-GB"/>
          <w14:ligatures w14:val="none"/>
        </w:rPr>
      </w:pPr>
    </w:p>
    <w:p w14:paraId="72430400" w14:textId="37E07070" w:rsidR="00D217AC" w:rsidRPr="0026570A" w:rsidRDefault="00D217AC" w:rsidP="0026570A">
      <w:pPr>
        <w:spacing w:before="100" w:beforeAutospacing="1" w:after="100" w:afterAutospacing="1" w:line="480" w:lineRule="auto"/>
        <w:jc w:val="center"/>
        <w:outlineLvl w:val="0"/>
        <w:rPr>
          <w:rFonts w:ascii="Times New Roman" w:eastAsia="Times New Roman" w:hAnsi="Times New Roman" w:cs="Times New Roman"/>
          <w:b/>
          <w:bCs/>
          <w:kern w:val="36"/>
          <w:sz w:val="32"/>
          <w:szCs w:val="32"/>
          <w:lang w:eastAsia="en-GB"/>
          <w14:ligatures w14:val="none"/>
        </w:rPr>
      </w:pPr>
      <w:r w:rsidRPr="0026570A">
        <w:rPr>
          <w:rFonts w:ascii="Times New Roman" w:eastAsia="Times New Roman" w:hAnsi="Times New Roman" w:cs="Times New Roman"/>
          <w:b/>
          <w:bCs/>
          <w:kern w:val="36"/>
          <w:sz w:val="32"/>
          <w:szCs w:val="32"/>
          <w:lang w:eastAsia="en-GB"/>
          <w14:ligatures w14:val="none"/>
        </w:rPr>
        <w:t>Can virtue ethics provide us with guidance on how to act?</w:t>
      </w:r>
    </w:p>
    <w:p w14:paraId="3612FC77" w14:textId="77777777" w:rsidR="0026570A" w:rsidRDefault="0026570A" w:rsidP="0026570A">
      <w:pPr>
        <w:pStyle w:val="NormalWeb"/>
        <w:spacing w:line="480" w:lineRule="auto"/>
        <w:jc w:val="both"/>
      </w:pPr>
    </w:p>
    <w:p w14:paraId="7C45C3AF" w14:textId="77777777" w:rsidR="0026570A" w:rsidRDefault="0026570A" w:rsidP="0026570A">
      <w:pPr>
        <w:pStyle w:val="NormalWeb"/>
        <w:spacing w:line="480" w:lineRule="auto"/>
        <w:jc w:val="both"/>
      </w:pPr>
    </w:p>
    <w:p w14:paraId="5AF6BB8A" w14:textId="77777777" w:rsidR="0026570A" w:rsidRDefault="0026570A" w:rsidP="0026570A">
      <w:pPr>
        <w:pStyle w:val="NormalWeb"/>
        <w:spacing w:line="480" w:lineRule="auto"/>
        <w:jc w:val="both"/>
      </w:pPr>
    </w:p>
    <w:p w14:paraId="0B7F459F" w14:textId="77777777" w:rsidR="0026570A" w:rsidRDefault="0026570A" w:rsidP="0026570A">
      <w:pPr>
        <w:pStyle w:val="NormalWeb"/>
        <w:spacing w:line="480" w:lineRule="auto"/>
        <w:jc w:val="both"/>
      </w:pPr>
    </w:p>
    <w:p w14:paraId="5B125007" w14:textId="77777777" w:rsidR="0026570A" w:rsidRDefault="0026570A" w:rsidP="0026570A">
      <w:pPr>
        <w:pStyle w:val="NormalWeb"/>
        <w:spacing w:line="480" w:lineRule="auto"/>
        <w:jc w:val="both"/>
      </w:pPr>
    </w:p>
    <w:p w14:paraId="3A6B8958" w14:textId="77777777" w:rsidR="0026570A" w:rsidRDefault="0026570A" w:rsidP="0026570A">
      <w:pPr>
        <w:pStyle w:val="NormalWeb"/>
        <w:spacing w:line="480" w:lineRule="auto"/>
        <w:jc w:val="both"/>
      </w:pPr>
    </w:p>
    <w:p w14:paraId="4BA74011" w14:textId="77777777" w:rsidR="0026570A" w:rsidRDefault="0026570A" w:rsidP="0026570A">
      <w:pPr>
        <w:pStyle w:val="NormalWeb"/>
        <w:spacing w:line="480" w:lineRule="auto"/>
        <w:jc w:val="both"/>
      </w:pPr>
    </w:p>
    <w:p w14:paraId="29DD2352" w14:textId="77777777" w:rsidR="0026570A" w:rsidRDefault="0026570A" w:rsidP="0026570A">
      <w:pPr>
        <w:pStyle w:val="NormalWeb"/>
        <w:spacing w:line="480" w:lineRule="auto"/>
        <w:jc w:val="both"/>
      </w:pPr>
    </w:p>
    <w:p w14:paraId="1E04238E" w14:textId="0B1C03E1" w:rsidR="00385702" w:rsidRDefault="00385702" w:rsidP="00385702">
      <w:pPr>
        <w:pStyle w:val="NormalWeb"/>
        <w:spacing w:line="360" w:lineRule="auto"/>
        <w:jc w:val="both"/>
      </w:pPr>
      <w:r>
        <w:lastRenderedPageBreak/>
        <w:t>Moral philosophy is less about what is morally right and much more about how an individual ought to determine what is the appropriate action in specific circumstances. However, Virtue ethics, associated for the most part with Aristotle</w:t>
      </w:r>
      <w:r w:rsidR="00B67F4E">
        <w:t xml:space="preserve">, has a slightly different solution to </w:t>
      </w:r>
      <w:r>
        <w:t xml:space="preserve">the problem. Rather than focusing on rules and consequences, it is concerned </w:t>
      </w:r>
      <w:r w:rsidR="00B67F4E">
        <w:t>with building</w:t>
      </w:r>
      <w:r>
        <w:t xml:space="preserve"> moral character and </w:t>
      </w:r>
      <w:r w:rsidR="00B67F4E">
        <w:t>developing</w:t>
      </w:r>
      <w:r>
        <w:t xml:space="preserve"> virtues. But here is a crucial question to consider: If the focus of moral philosophy is primarily on "what kind of person are you," can it tell us anything about what to do in particular circumstances</w:t>
      </w:r>
      <w:r w:rsidR="00B67F4E">
        <w:t>,</w:t>
      </w:r>
      <w:r>
        <w:t xml:space="preserve"> so much so that it is never fully clear what it does tell us about right action? This is especially important </w:t>
      </w:r>
      <w:r w:rsidR="00B67F4E">
        <w:t>in real-life moral dilemmas, where people must make decisions under conditions of uncertainty and may not be</w:t>
      </w:r>
      <w:r>
        <w:t xml:space="preserve"> able to follow moral rules.</w:t>
      </w:r>
    </w:p>
    <w:p w14:paraId="4FA4E923" w14:textId="5CF90FC1" w:rsidR="00D217AC" w:rsidRDefault="00385702" w:rsidP="00385702">
      <w:pPr>
        <w:pStyle w:val="NormalWeb"/>
        <w:spacing w:line="360" w:lineRule="auto"/>
        <w:jc w:val="both"/>
      </w:pPr>
      <w:r>
        <w:t xml:space="preserve">In this essay, it is suggested that, although guidance can be given, it is an indirect and limited one, through the lens of virtue ethics. In theory, practical wisdom ensures that one makes decisions </w:t>
      </w:r>
      <w:r w:rsidR="00B67F4E">
        <w:t>in accordance with</w:t>
      </w:r>
      <w:r>
        <w:t xml:space="preserve"> one's situation</w:t>
      </w:r>
      <w:r w:rsidR="00B67F4E">
        <w:t>. Still, there</w:t>
      </w:r>
      <w:r>
        <w:t xml:space="preserve"> are no clear rules or decision procedures for practical wisdom</w:t>
      </w:r>
      <w:r w:rsidR="00B67F4E">
        <w:t>, and much depends</w:t>
      </w:r>
      <w:r>
        <w:t xml:space="preserve"> on the agent's moral development. Immanuel Kant and John Stuart Mill have more precise and less immediately practical versions of ethics than does virtue ethics (which provides a more realistic description of moral life). But this doesn't mean that virtue ethics is not effective—this difference in purpose is evident as well: To influence moral judgment over time, not to give a set of rules to apply to all circumstances.</w:t>
      </w:r>
    </w:p>
    <w:p w14:paraId="7AD13C70" w14:textId="57EB42AB" w:rsidR="0026570A" w:rsidRDefault="00385702" w:rsidP="003C7244">
      <w:pPr>
        <w:pStyle w:val="NormalWeb"/>
        <w:spacing w:line="360" w:lineRule="auto"/>
        <w:jc w:val="both"/>
      </w:pPr>
      <w:r w:rsidRPr="00385702">
        <w:t>According to Aristotle, all human things are performed with the purpose of a good, and the good for human beings is eudaimonia, sometimes translated as flourishing or living well</w:t>
      </w:r>
      <w:r w:rsidR="0026570A">
        <w:t>.</w:t>
      </w:r>
      <w:r w:rsidR="00CA03AC">
        <w:rPr>
          <w:rStyle w:val="FootnoteReference"/>
        </w:rPr>
        <w:footnoteReference w:id="1"/>
      </w:r>
      <w:r w:rsidR="00CA03AC">
        <w:t xml:space="preserve"> </w:t>
      </w:r>
      <w:r w:rsidR="003C7244" w:rsidRPr="003C7244">
        <w:t>Thus</w:t>
      </w:r>
      <w:r w:rsidR="00B67F4E">
        <w:t>,</w:t>
      </w:r>
      <w:r w:rsidR="003C7244" w:rsidRPr="003C7244">
        <w:t xml:space="preserve"> the concept of ethics moves beyond the realm of individuals to their lives. A good moral act is therefore not considered in isolation, but in the context of many other positive acts. </w:t>
      </w:r>
      <w:r w:rsidR="003A370A">
        <w:t xml:space="preserve">The significance is that this implies moral appraisal is an essential consequence, achieved by a person rather than by results or rules. </w:t>
      </w:r>
      <w:r w:rsidR="003C7244" w:rsidRPr="003C7244">
        <w:t xml:space="preserve">It also implies that ethical cognition is more than just </w:t>
      </w:r>
      <w:proofErr w:type="spellStart"/>
      <w:r w:rsidR="003C7244" w:rsidRPr="003C7244">
        <w:t>analyzing</w:t>
      </w:r>
      <w:proofErr w:type="spellEnd"/>
      <w:r w:rsidR="003C7244" w:rsidRPr="003C7244">
        <w:t xml:space="preserve"> </w:t>
      </w:r>
      <w:r w:rsidR="00B67F4E">
        <w:t>a single instance of ethical decision-making, as it entails recognizing ethical habits/morals and the consistent decisions that follow from</w:t>
      </w:r>
      <w:r w:rsidR="003C7244" w:rsidRPr="003C7244">
        <w:t xml:space="preserve"> them.</w:t>
      </w:r>
    </w:p>
    <w:p w14:paraId="52AA299C" w14:textId="5596F90E" w:rsidR="0026570A" w:rsidRPr="0026570A" w:rsidRDefault="000704B5" w:rsidP="0005156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0704B5">
        <w:rPr>
          <w:rFonts w:ascii="Times New Roman" w:eastAsia="Times New Roman" w:hAnsi="Times New Roman" w:cs="Times New Roman"/>
          <w:kern w:val="0"/>
          <w:lang w:eastAsia="en-GB"/>
          <w14:ligatures w14:val="none"/>
        </w:rPr>
        <w:t xml:space="preserve">A person </w:t>
      </w:r>
      <w:r w:rsidR="00B67F4E">
        <w:rPr>
          <w:rFonts w:ascii="Times New Roman" w:eastAsia="Times New Roman" w:hAnsi="Times New Roman" w:cs="Times New Roman"/>
          <w:kern w:val="0"/>
          <w:lang w:eastAsia="en-GB"/>
          <w14:ligatures w14:val="none"/>
        </w:rPr>
        <w:t>must cultivate character traits such as</w:t>
      </w:r>
      <w:r w:rsidRPr="000704B5">
        <w:rPr>
          <w:rFonts w:ascii="Times New Roman" w:eastAsia="Times New Roman" w:hAnsi="Times New Roman" w:cs="Times New Roman"/>
          <w:kern w:val="0"/>
          <w:lang w:eastAsia="en-GB"/>
          <w14:ligatures w14:val="none"/>
        </w:rPr>
        <w:t xml:space="preserve"> courage, honesty</w:t>
      </w:r>
      <w:r w:rsidR="00B67F4E">
        <w:rPr>
          <w:rFonts w:ascii="Times New Roman" w:eastAsia="Times New Roman" w:hAnsi="Times New Roman" w:cs="Times New Roman"/>
          <w:kern w:val="0"/>
          <w:lang w:eastAsia="en-GB"/>
          <w14:ligatures w14:val="none"/>
        </w:rPr>
        <w:t>,</w:t>
      </w:r>
      <w:r w:rsidRPr="000704B5">
        <w:rPr>
          <w:rFonts w:ascii="Times New Roman" w:eastAsia="Times New Roman" w:hAnsi="Times New Roman" w:cs="Times New Roman"/>
          <w:kern w:val="0"/>
          <w:lang w:eastAsia="en-GB"/>
          <w14:ligatures w14:val="none"/>
        </w:rPr>
        <w:t xml:space="preserve"> and justice to attain the happiness </w:t>
      </w:r>
      <w:r w:rsidR="00B67F4E">
        <w:rPr>
          <w:rFonts w:ascii="Times New Roman" w:eastAsia="Times New Roman" w:hAnsi="Times New Roman" w:cs="Times New Roman"/>
          <w:kern w:val="0"/>
          <w:lang w:eastAsia="en-GB"/>
          <w14:ligatures w14:val="none"/>
        </w:rPr>
        <w:t xml:space="preserve">of </w:t>
      </w:r>
      <w:r w:rsidRPr="000704B5">
        <w:rPr>
          <w:rFonts w:ascii="Times New Roman" w:eastAsia="Times New Roman" w:hAnsi="Times New Roman" w:cs="Times New Roman"/>
          <w:kern w:val="0"/>
          <w:lang w:eastAsia="en-GB"/>
          <w14:ligatures w14:val="none"/>
        </w:rPr>
        <w:t>eudaimonia. These are virtues that are settled habits, or dispositions</w:t>
      </w:r>
      <w:r w:rsidR="003A370A">
        <w:rPr>
          <w:rFonts w:ascii="Times New Roman" w:eastAsia="Times New Roman" w:hAnsi="Times New Roman" w:cs="Times New Roman"/>
          <w:kern w:val="0"/>
          <w:lang w:eastAsia="en-GB"/>
          <w14:ligatures w14:val="none"/>
        </w:rPr>
        <w:t>,</w:t>
      </w:r>
      <w:r w:rsidRPr="000704B5">
        <w:rPr>
          <w:rFonts w:ascii="Times New Roman" w:eastAsia="Times New Roman" w:hAnsi="Times New Roman" w:cs="Times New Roman"/>
          <w:kern w:val="0"/>
          <w:lang w:eastAsia="en-GB"/>
          <w14:ligatures w14:val="none"/>
        </w:rPr>
        <w:t xml:space="preserve"> and can be applied to a variety of circumstances. This is not by nature, but is derived from habit and </w:t>
      </w:r>
      <w:r w:rsidRPr="000704B5">
        <w:rPr>
          <w:rFonts w:ascii="Times New Roman" w:eastAsia="Times New Roman" w:hAnsi="Times New Roman" w:cs="Times New Roman"/>
          <w:kern w:val="0"/>
          <w:lang w:eastAsia="en-GB"/>
          <w14:ligatures w14:val="none"/>
        </w:rPr>
        <w:lastRenderedPageBreak/>
        <w:t>repetition</w:t>
      </w:r>
      <w:r w:rsidR="0026570A" w:rsidRPr="0026570A">
        <w:rPr>
          <w:rFonts w:ascii="Times New Roman" w:eastAsia="Times New Roman" w:hAnsi="Times New Roman" w:cs="Times New Roman"/>
          <w:kern w:val="0"/>
          <w:lang w:eastAsia="en-GB"/>
          <w14:ligatures w14:val="none"/>
        </w:rPr>
        <w:t>.</w:t>
      </w:r>
      <w:r w:rsidR="00CA03AC">
        <w:rPr>
          <w:rStyle w:val="FootnoteReference"/>
          <w:rFonts w:ascii="Times New Roman" w:eastAsia="Times New Roman" w:hAnsi="Times New Roman" w:cs="Times New Roman"/>
          <w:kern w:val="0"/>
          <w:lang w:eastAsia="en-GB"/>
          <w14:ligatures w14:val="none"/>
        </w:rPr>
        <w:footnoteReference w:id="2"/>
      </w:r>
      <w:r w:rsidR="0026570A" w:rsidRPr="0026570A">
        <w:rPr>
          <w:rFonts w:ascii="Times New Roman" w:eastAsia="Times New Roman" w:hAnsi="Times New Roman" w:cs="Times New Roman"/>
          <w:kern w:val="0"/>
          <w:lang w:eastAsia="en-GB"/>
          <w14:ligatures w14:val="none"/>
        </w:rPr>
        <w:t xml:space="preserve"> As Annas explains, this process is similar to learning a skill, where experience and repetition gradually improve </w:t>
      </w:r>
      <w:r w:rsidR="0026570A">
        <w:rPr>
          <w:rFonts w:ascii="Times New Roman" w:eastAsia="Times New Roman" w:hAnsi="Times New Roman" w:cs="Times New Roman"/>
          <w:kern w:val="0"/>
          <w:lang w:eastAsia="en-GB"/>
          <w14:ligatures w14:val="none"/>
        </w:rPr>
        <w:t>judgment</w:t>
      </w:r>
      <w:r w:rsidR="0026570A" w:rsidRPr="0026570A">
        <w:rPr>
          <w:rFonts w:ascii="Times New Roman" w:eastAsia="Times New Roman" w:hAnsi="Times New Roman" w:cs="Times New Roman"/>
          <w:kern w:val="0"/>
          <w:lang w:eastAsia="en-GB"/>
          <w14:ligatures w14:val="none"/>
        </w:rPr>
        <w:t>.</w:t>
      </w:r>
      <w:r w:rsidR="00CA03AC">
        <w:rPr>
          <w:rStyle w:val="FootnoteReference"/>
          <w:rFonts w:ascii="Times New Roman" w:eastAsia="Times New Roman" w:hAnsi="Times New Roman" w:cs="Times New Roman"/>
          <w:kern w:val="0"/>
          <w:lang w:eastAsia="en-GB"/>
          <w14:ligatures w14:val="none"/>
        </w:rPr>
        <w:footnoteReference w:id="3"/>
      </w:r>
      <w:r w:rsidR="0026570A" w:rsidRPr="0026570A">
        <w:rPr>
          <w:rFonts w:ascii="Times New Roman" w:eastAsia="Times New Roman" w:hAnsi="Times New Roman" w:cs="Times New Roman"/>
          <w:kern w:val="0"/>
          <w:lang w:eastAsia="en-GB"/>
          <w14:ligatures w14:val="none"/>
        </w:rPr>
        <w:t xml:space="preserve"> </w:t>
      </w:r>
      <w:r w:rsidRPr="000704B5">
        <w:rPr>
          <w:rFonts w:ascii="Times New Roman" w:eastAsia="Times New Roman" w:hAnsi="Times New Roman" w:cs="Times New Roman"/>
          <w:kern w:val="0"/>
          <w:lang w:eastAsia="en-GB"/>
          <w14:ligatures w14:val="none"/>
        </w:rPr>
        <w:t xml:space="preserve">A comparison is important because virtue ethics </w:t>
      </w:r>
      <w:r w:rsidR="003A370A">
        <w:rPr>
          <w:rFonts w:ascii="Times New Roman" w:eastAsia="Times New Roman" w:hAnsi="Times New Roman" w:cs="Times New Roman"/>
          <w:kern w:val="0"/>
          <w:lang w:eastAsia="en-GB"/>
          <w14:ligatures w14:val="none"/>
        </w:rPr>
        <w:t>views moral decision-making as a complex process rather than</w:t>
      </w:r>
      <w:r w:rsidRPr="000704B5">
        <w:rPr>
          <w:rFonts w:ascii="Times New Roman" w:eastAsia="Times New Roman" w:hAnsi="Times New Roman" w:cs="Times New Roman"/>
          <w:kern w:val="0"/>
          <w:lang w:eastAsia="en-GB"/>
          <w14:ligatures w14:val="none"/>
        </w:rPr>
        <w:t xml:space="preserve"> </w:t>
      </w:r>
      <w:r w:rsidR="00B67F4E">
        <w:rPr>
          <w:rFonts w:ascii="Times New Roman" w:eastAsia="Times New Roman" w:hAnsi="Times New Roman" w:cs="Times New Roman"/>
          <w:kern w:val="0"/>
          <w:lang w:eastAsia="en-GB"/>
          <w14:ligatures w14:val="none"/>
        </w:rPr>
        <w:t>a matter of simple rules</w:t>
      </w:r>
      <w:r w:rsidRPr="000704B5">
        <w:rPr>
          <w:rFonts w:ascii="Times New Roman" w:eastAsia="Times New Roman" w:hAnsi="Times New Roman" w:cs="Times New Roman"/>
          <w:kern w:val="0"/>
          <w:lang w:eastAsia="en-GB"/>
          <w14:ligatures w14:val="none"/>
        </w:rPr>
        <w:t>. It also emphasizes the need for moral education</w:t>
      </w:r>
      <w:r w:rsidR="00B67F4E">
        <w:rPr>
          <w:rFonts w:ascii="Times New Roman" w:eastAsia="Times New Roman" w:hAnsi="Times New Roman" w:cs="Times New Roman"/>
          <w:kern w:val="0"/>
          <w:lang w:eastAsia="en-GB"/>
          <w14:ligatures w14:val="none"/>
        </w:rPr>
        <w:t xml:space="preserve">, as people need to be trained and guided to </w:t>
      </w:r>
      <w:r w:rsidR="003A370A">
        <w:rPr>
          <w:rFonts w:ascii="Times New Roman" w:eastAsia="Times New Roman" w:hAnsi="Times New Roman" w:cs="Times New Roman"/>
          <w:kern w:val="0"/>
          <w:lang w:eastAsia="en-GB"/>
          <w14:ligatures w14:val="none"/>
        </w:rPr>
        <w:t>develop habits that foster</w:t>
      </w:r>
      <w:r w:rsidRPr="000704B5">
        <w:rPr>
          <w:rFonts w:ascii="Times New Roman" w:eastAsia="Times New Roman" w:hAnsi="Times New Roman" w:cs="Times New Roman"/>
          <w:kern w:val="0"/>
          <w:lang w:eastAsia="en-GB"/>
          <w14:ligatures w14:val="none"/>
        </w:rPr>
        <w:t xml:space="preserve"> a good moral personality.</w:t>
      </w:r>
    </w:p>
    <w:p w14:paraId="200499C5" w14:textId="6B64BEBE" w:rsidR="0026570A" w:rsidRPr="0026570A" w:rsidRDefault="000704B5" w:rsidP="000704B5">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0704B5">
        <w:rPr>
          <w:rFonts w:ascii="Times New Roman" w:eastAsia="Times New Roman" w:hAnsi="Times New Roman" w:cs="Times New Roman"/>
          <w:kern w:val="0"/>
          <w:lang w:eastAsia="en-GB"/>
          <w14:ligatures w14:val="none"/>
        </w:rPr>
        <w:t xml:space="preserve">Virtue is referred to </w:t>
      </w:r>
      <w:r w:rsidR="00B67F4E">
        <w:rPr>
          <w:rFonts w:ascii="Times New Roman" w:eastAsia="Times New Roman" w:hAnsi="Times New Roman" w:cs="Times New Roman"/>
          <w:kern w:val="0"/>
          <w:lang w:eastAsia="en-GB"/>
          <w14:ligatures w14:val="none"/>
        </w:rPr>
        <w:t xml:space="preserve">as </w:t>
      </w:r>
      <w:r w:rsidRPr="000704B5">
        <w:rPr>
          <w:rFonts w:ascii="Times New Roman" w:eastAsia="Times New Roman" w:hAnsi="Times New Roman" w:cs="Times New Roman"/>
          <w:kern w:val="0"/>
          <w:lang w:eastAsia="en-GB"/>
          <w14:ligatures w14:val="none"/>
        </w:rPr>
        <w:t>the “golden mean”, another central idea, where virtue is the middle path between two extremes</w:t>
      </w:r>
      <w:r w:rsidR="0026570A" w:rsidRPr="0026570A">
        <w:rPr>
          <w:rFonts w:ascii="Times New Roman" w:eastAsia="Times New Roman" w:hAnsi="Times New Roman" w:cs="Times New Roman"/>
          <w:kern w:val="0"/>
          <w:lang w:eastAsia="en-GB"/>
          <w14:ligatures w14:val="none"/>
        </w:rPr>
        <w:t>.</w:t>
      </w:r>
      <w:r w:rsidR="00CA03AC">
        <w:rPr>
          <w:rStyle w:val="FootnoteReference"/>
          <w:rFonts w:ascii="Times New Roman" w:eastAsia="Times New Roman" w:hAnsi="Times New Roman" w:cs="Times New Roman"/>
          <w:kern w:val="0"/>
          <w:lang w:eastAsia="en-GB"/>
          <w14:ligatures w14:val="none"/>
        </w:rPr>
        <w:footnoteReference w:id="4"/>
      </w:r>
      <w:r w:rsidR="0026570A" w:rsidRPr="0026570A">
        <w:rPr>
          <w:rFonts w:ascii="Times New Roman" w:eastAsia="Times New Roman" w:hAnsi="Times New Roman" w:cs="Times New Roman"/>
          <w:kern w:val="0"/>
          <w:lang w:eastAsia="en-GB"/>
          <w14:ligatures w14:val="none"/>
        </w:rPr>
        <w:t xml:space="preserve"> </w:t>
      </w:r>
      <w:r w:rsidRPr="000704B5">
        <w:rPr>
          <w:rFonts w:ascii="Times New Roman" w:eastAsia="Times New Roman" w:hAnsi="Times New Roman" w:cs="Times New Roman"/>
          <w:kern w:val="0"/>
          <w:lang w:eastAsia="en-GB"/>
          <w14:ligatures w14:val="none"/>
        </w:rPr>
        <w:t>For instance, courage is the equal of cowardice and recklessness. This is not a rigid proportion or guideline</w:t>
      </w:r>
      <w:r w:rsidR="00B67F4E">
        <w:rPr>
          <w:rFonts w:ascii="Times New Roman" w:eastAsia="Times New Roman" w:hAnsi="Times New Roman" w:cs="Times New Roman"/>
          <w:kern w:val="0"/>
          <w:lang w:eastAsia="en-GB"/>
          <w14:ligatures w14:val="none"/>
        </w:rPr>
        <w:t>, though,</w:t>
      </w:r>
      <w:r w:rsidRPr="000704B5">
        <w:rPr>
          <w:rFonts w:ascii="Times New Roman" w:eastAsia="Times New Roman" w:hAnsi="Times New Roman" w:cs="Times New Roman"/>
          <w:kern w:val="0"/>
          <w:lang w:eastAsia="en-GB"/>
          <w14:ligatures w14:val="none"/>
        </w:rPr>
        <w:t xml:space="preserve"> as it will vary </w:t>
      </w:r>
      <w:r w:rsidR="00B67F4E">
        <w:rPr>
          <w:rFonts w:ascii="Times New Roman" w:eastAsia="Times New Roman" w:hAnsi="Times New Roman" w:cs="Times New Roman"/>
          <w:kern w:val="0"/>
          <w:lang w:eastAsia="en-GB"/>
          <w14:ligatures w14:val="none"/>
        </w:rPr>
        <w:t xml:space="preserve">depending on the situation and the </w:t>
      </w:r>
      <w:r w:rsidRPr="000704B5">
        <w:rPr>
          <w:rFonts w:ascii="Times New Roman" w:eastAsia="Times New Roman" w:hAnsi="Times New Roman" w:cs="Times New Roman"/>
          <w:kern w:val="0"/>
          <w:lang w:eastAsia="en-GB"/>
          <w14:ligatures w14:val="none"/>
        </w:rPr>
        <w:t xml:space="preserve">person. This implies that there is no easy-to-follow formula for moral </w:t>
      </w:r>
      <w:r w:rsidR="00B67F4E">
        <w:rPr>
          <w:rFonts w:ascii="Times New Roman" w:eastAsia="Times New Roman" w:hAnsi="Times New Roman" w:cs="Times New Roman"/>
          <w:kern w:val="0"/>
          <w:lang w:eastAsia="en-GB"/>
          <w14:ligatures w14:val="none"/>
        </w:rPr>
        <w:t>judgment</w:t>
      </w:r>
      <w:r w:rsidRPr="000704B5">
        <w:rPr>
          <w:rFonts w:ascii="Times New Roman" w:eastAsia="Times New Roman" w:hAnsi="Times New Roman" w:cs="Times New Roman"/>
          <w:kern w:val="0"/>
          <w:lang w:eastAsia="en-GB"/>
          <w14:ligatures w14:val="none"/>
        </w:rPr>
        <w:t xml:space="preserve">. Instead, it calls for sensitivity to context and </w:t>
      </w:r>
      <w:r w:rsidR="00B67F4E">
        <w:rPr>
          <w:rFonts w:ascii="Times New Roman" w:eastAsia="Times New Roman" w:hAnsi="Times New Roman" w:cs="Times New Roman"/>
          <w:kern w:val="0"/>
          <w:lang w:eastAsia="en-GB"/>
          <w14:ligatures w14:val="none"/>
        </w:rPr>
        <w:t>for knowing</w:t>
      </w:r>
      <w:r w:rsidRPr="000704B5">
        <w:rPr>
          <w:rFonts w:ascii="Times New Roman" w:eastAsia="Times New Roman" w:hAnsi="Times New Roman" w:cs="Times New Roman"/>
          <w:kern w:val="0"/>
          <w:lang w:eastAsia="en-GB"/>
          <w14:ligatures w14:val="none"/>
        </w:rPr>
        <w:t xml:space="preserve"> what</w:t>
      </w:r>
      <w:r w:rsidR="006B17D0">
        <w:rPr>
          <w:rFonts w:ascii="Times New Roman" w:eastAsia="Times New Roman" w:hAnsi="Times New Roman" w:cs="Times New Roman"/>
          <w:kern w:val="0"/>
          <w:lang w:eastAsia="en-GB"/>
          <w14:ligatures w14:val="none"/>
        </w:rPr>
        <w:t xml:space="preserve"> is</w:t>
      </w:r>
      <w:r w:rsidRPr="000704B5">
        <w:rPr>
          <w:rFonts w:ascii="Times New Roman" w:eastAsia="Times New Roman" w:hAnsi="Times New Roman" w:cs="Times New Roman"/>
          <w:kern w:val="0"/>
          <w:lang w:eastAsia="en-GB"/>
          <w14:ligatures w14:val="none"/>
        </w:rPr>
        <w:t xml:space="preserve"> appropriate in a specific situation.</w:t>
      </w:r>
      <w:r>
        <w:rPr>
          <w:rFonts w:ascii="Times New Roman" w:eastAsia="Times New Roman" w:hAnsi="Times New Roman" w:cs="Times New Roman"/>
          <w:kern w:val="0"/>
          <w:lang w:eastAsia="en-GB"/>
          <w14:ligatures w14:val="none"/>
        </w:rPr>
        <w:t xml:space="preserve"> </w:t>
      </w:r>
      <w:r w:rsidRPr="000704B5">
        <w:rPr>
          <w:rFonts w:ascii="Times New Roman" w:eastAsia="Times New Roman" w:hAnsi="Times New Roman" w:cs="Times New Roman"/>
          <w:kern w:val="0"/>
          <w:lang w:eastAsia="en-GB"/>
          <w14:ligatures w14:val="none"/>
        </w:rPr>
        <w:t>As a result, the concept of phronesis, or the virtue of practical wisdom, is introduced into the teaching of Aristotle</w:t>
      </w:r>
      <w:r w:rsidR="0026570A" w:rsidRPr="0026570A">
        <w:rPr>
          <w:rFonts w:ascii="Times New Roman" w:eastAsia="Times New Roman" w:hAnsi="Times New Roman" w:cs="Times New Roman"/>
          <w:kern w:val="0"/>
          <w:lang w:eastAsia="en-GB"/>
          <w14:ligatures w14:val="none"/>
        </w:rPr>
        <w:t>.</w:t>
      </w:r>
      <w:r w:rsidR="00CA03AC">
        <w:rPr>
          <w:rStyle w:val="FootnoteReference"/>
          <w:rFonts w:ascii="Times New Roman" w:eastAsia="Times New Roman" w:hAnsi="Times New Roman" w:cs="Times New Roman"/>
          <w:kern w:val="0"/>
          <w:lang w:eastAsia="en-GB"/>
          <w14:ligatures w14:val="none"/>
        </w:rPr>
        <w:footnoteReference w:id="5"/>
      </w:r>
      <w:r w:rsidR="0026570A" w:rsidRPr="0026570A">
        <w:rPr>
          <w:rFonts w:ascii="Times New Roman" w:eastAsia="Times New Roman" w:hAnsi="Times New Roman" w:cs="Times New Roman"/>
          <w:kern w:val="0"/>
          <w:lang w:eastAsia="en-GB"/>
          <w14:ligatures w14:val="none"/>
        </w:rPr>
        <w:t xml:space="preserve"> </w:t>
      </w:r>
      <w:r w:rsidR="00A05DDB" w:rsidRPr="00A05DDB">
        <w:rPr>
          <w:rFonts w:ascii="Times New Roman" w:eastAsia="Times New Roman" w:hAnsi="Times New Roman" w:cs="Times New Roman"/>
          <w:kern w:val="0"/>
          <w:lang w:eastAsia="en-GB"/>
          <w14:ligatures w14:val="none"/>
        </w:rPr>
        <w:t xml:space="preserve">Practical wisdom is </w:t>
      </w:r>
      <w:r w:rsidR="00B67F4E">
        <w:rPr>
          <w:rFonts w:ascii="Times New Roman" w:eastAsia="Times New Roman" w:hAnsi="Times New Roman" w:cs="Times New Roman"/>
          <w:kern w:val="0"/>
          <w:lang w:eastAsia="en-GB"/>
          <w14:ligatures w14:val="none"/>
        </w:rPr>
        <w:t>the skill of sensing the moral aspects of a context and selecting the right course of action</w:t>
      </w:r>
      <w:r w:rsidR="00A05DDB" w:rsidRPr="00A05DDB">
        <w:rPr>
          <w:rFonts w:ascii="Times New Roman" w:eastAsia="Times New Roman" w:hAnsi="Times New Roman" w:cs="Times New Roman"/>
          <w:kern w:val="0"/>
          <w:lang w:eastAsia="en-GB"/>
          <w14:ligatures w14:val="none"/>
        </w:rPr>
        <w:t xml:space="preserve">. It </w:t>
      </w:r>
      <w:r w:rsidR="003A370A">
        <w:rPr>
          <w:rFonts w:ascii="Times New Roman" w:eastAsia="Times New Roman" w:hAnsi="Times New Roman" w:cs="Times New Roman"/>
          <w:kern w:val="0"/>
          <w:lang w:eastAsia="en-GB"/>
          <w14:ligatures w14:val="none"/>
        </w:rPr>
        <w:t>embeds the concepts of right and wrong into the process of making specific choices, thereby</w:t>
      </w:r>
      <w:r w:rsidR="00A05DDB" w:rsidRPr="00A05DDB">
        <w:rPr>
          <w:rFonts w:ascii="Times New Roman" w:eastAsia="Times New Roman" w:hAnsi="Times New Roman" w:cs="Times New Roman"/>
          <w:kern w:val="0"/>
          <w:lang w:eastAsia="en-GB"/>
          <w14:ligatures w14:val="none"/>
        </w:rPr>
        <w:t xml:space="preserve"> giving the impression of direction. But this guidance is not clear and rule-governed. In many ways</w:t>
      </w:r>
      <w:r w:rsidR="00B67F4E">
        <w:rPr>
          <w:rFonts w:ascii="Times New Roman" w:eastAsia="Times New Roman" w:hAnsi="Times New Roman" w:cs="Times New Roman"/>
          <w:kern w:val="0"/>
          <w:lang w:eastAsia="en-GB"/>
          <w14:ligatures w14:val="none"/>
        </w:rPr>
        <w:t>, it relies on the agent's judgment</w:t>
      </w:r>
      <w:r w:rsidR="003A370A">
        <w:rPr>
          <w:rFonts w:ascii="Times New Roman" w:eastAsia="Times New Roman" w:hAnsi="Times New Roman" w:cs="Times New Roman"/>
          <w:kern w:val="0"/>
          <w:lang w:eastAsia="en-GB"/>
          <w14:ligatures w14:val="none"/>
        </w:rPr>
        <w:t>, which poses an important difficulty, particularly for</w:t>
      </w:r>
      <w:r w:rsidR="00B67F4E">
        <w:rPr>
          <w:rFonts w:ascii="Times New Roman" w:eastAsia="Times New Roman" w:hAnsi="Times New Roman" w:cs="Times New Roman"/>
          <w:kern w:val="0"/>
          <w:lang w:eastAsia="en-GB"/>
          <w14:ligatures w14:val="none"/>
        </w:rPr>
        <w:t xml:space="preserve"> younger agents or those without a strong moral compass.</w:t>
      </w:r>
    </w:p>
    <w:p w14:paraId="765186D6" w14:textId="647D8379" w:rsidR="0026570A" w:rsidRDefault="00A05DDB" w:rsidP="00051569">
      <w:pPr>
        <w:pStyle w:val="NormalWeb"/>
        <w:spacing w:line="360" w:lineRule="auto"/>
        <w:jc w:val="both"/>
      </w:pPr>
      <w:r w:rsidRPr="00A05DDB">
        <w:t xml:space="preserve">Virtue ethics critics mainly complain about its lack of </w:t>
      </w:r>
      <w:r w:rsidR="00B67F4E">
        <w:t>guidance on action</w:t>
      </w:r>
      <w:r w:rsidRPr="00A05DDB">
        <w:t xml:space="preserve">. Virtue ethics </w:t>
      </w:r>
      <w:r w:rsidR="00B67F4E">
        <w:t>faces the problem of explaining how it can serve as a guide to action if one lacks</w:t>
      </w:r>
      <w:r w:rsidRPr="00A05DDB">
        <w:t xml:space="preserve"> a disposition for action</w:t>
      </w:r>
      <w:r w:rsidR="0026570A">
        <w:t>.</w:t>
      </w:r>
      <w:r w:rsidR="00CA03AC">
        <w:rPr>
          <w:rStyle w:val="FootnoteReference"/>
        </w:rPr>
        <w:footnoteReference w:id="6"/>
      </w:r>
      <w:r w:rsidR="0026570A">
        <w:t xml:space="preserve"> </w:t>
      </w:r>
      <w:r w:rsidR="00350672" w:rsidRPr="00350672">
        <w:t>When the answer to a moral question is ‘act as a good person would act</w:t>
      </w:r>
      <w:r w:rsidR="00B67F4E">
        <w:t>,</w:t>
      </w:r>
      <w:r w:rsidR="00350672" w:rsidRPr="00350672">
        <w:t xml:space="preserve">’ this might not be of any help to someone who is inexperienced or lacks moral filters. If one has to know what to do, one must </w:t>
      </w:r>
      <w:r w:rsidR="00B67F4E">
        <w:t>already be</w:t>
      </w:r>
      <w:r w:rsidR="00350672" w:rsidRPr="00350672">
        <w:t xml:space="preserve"> eminently able to do it: an illogical situation. Therefore, the </w:t>
      </w:r>
      <w:r w:rsidR="00350672" w:rsidRPr="00350672">
        <w:lastRenderedPageBreak/>
        <w:t xml:space="preserve">theory might seem less useful in daily </w:t>
      </w:r>
      <w:r w:rsidR="00B67F4E">
        <w:t>decision-making, particularly in challenging situations that require</w:t>
      </w:r>
      <w:r w:rsidR="00350672" w:rsidRPr="00350672">
        <w:t xml:space="preserve"> clear direction.</w:t>
      </w:r>
    </w:p>
    <w:p w14:paraId="64D55E62" w14:textId="680775E1" w:rsidR="0026570A" w:rsidRDefault="00C35DC0" w:rsidP="00051569">
      <w:pPr>
        <w:pStyle w:val="NormalWeb"/>
        <w:spacing w:line="360" w:lineRule="auto"/>
        <w:jc w:val="both"/>
      </w:pPr>
      <w:r w:rsidRPr="00C35DC0">
        <w:t xml:space="preserve">This criticism is strengthened when </w:t>
      </w:r>
      <w:r w:rsidR="00B67F4E">
        <w:t xml:space="preserve">contrasted with </w:t>
      </w:r>
      <w:r w:rsidRPr="00C35DC0">
        <w:t xml:space="preserve">other moral theories. Different theories generally present clear and universal rules, such as Kant's. The </w:t>
      </w:r>
      <w:r w:rsidRPr="00C35DC0">
        <w:rPr>
          <w:i/>
          <w:iCs/>
        </w:rPr>
        <w:t>Groundwork of the Metaphysics of Morals</w:t>
      </w:r>
      <w:r w:rsidRPr="00C35DC0">
        <w:t xml:space="preserve"> is the work in which Kant states that it is morally good to act on a principle that may be universal</w:t>
      </w:r>
      <w:r w:rsidR="00B67F4E">
        <w:t>.</w:t>
      </w:r>
      <w:r w:rsidR="00CA03AC">
        <w:rPr>
          <w:rStyle w:val="FootnoteReference"/>
        </w:rPr>
        <w:footnoteReference w:id="7"/>
      </w:r>
      <w:r w:rsidR="0026570A">
        <w:t xml:space="preserve"> </w:t>
      </w:r>
      <w:r w:rsidR="00B12687" w:rsidRPr="00B12687">
        <w:t xml:space="preserve">This implies the same </w:t>
      </w:r>
      <w:r w:rsidR="00B67F4E">
        <w:t>for moral choices made based on reasoning rather than</w:t>
      </w:r>
      <w:r w:rsidR="00B12687" w:rsidRPr="00B12687">
        <w:t xml:space="preserve"> character or experience. One problem with all of this is that it gives clear guidance. It can also be criticized for its inflexibility; no basis for exceptions based on context. For example, it may </w:t>
      </w:r>
      <w:r w:rsidR="00B6451A">
        <w:t>require telling the truth even if it causes harm</w:t>
      </w:r>
      <w:r w:rsidR="00B12687" w:rsidRPr="00B12687">
        <w:t xml:space="preserve">, </w:t>
      </w:r>
      <w:r w:rsidR="00B6451A">
        <w:t>which</w:t>
      </w:r>
      <w:r w:rsidR="00B12687" w:rsidRPr="00B12687">
        <w:t xml:space="preserve"> many would want to avoid. This underscores one particular balance to consider in moral philosophy</w:t>
      </w:r>
      <w:r w:rsidR="00B67F4E">
        <w:t>:</w:t>
      </w:r>
      <w:r w:rsidR="00B12687" w:rsidRPr="00B12687">
        <w:t xml:space="preserve"> clarity and flexibility. Kant's theory provides precision and uniformity, but may not address the </w:t>
      </w:r>
      <w:r w:rsidR="00B67F4E">
        <w:t>wide variety of actual situations in which moral choices might entail multiple values and experiences</w:t>
      </w:r>
      <w:r w:rsidR="00B12687" w:rsidRPr="00B12687">
        <w:t>.</w:t>
      </w:r>
    </w:p>
    <w:p w14:paraId="6E526AD6" w14:textId="32FEF050" w:rsidR="0026570A" w:rsidRDefault="009E5106" w:rsidP="00051569">
      <w:pPr>
        <w:pStyle w:val="NormalWeb"/>
        <w:spacing w:line="360" w:lineRule="auto"/>
        <w:jc w:val="both"/>
      </w:pPr>
      <w:r w:rsidRPr="00B12687">
        <w:t>Likewise,</w:t>
      </w:r>
      <w:r w:rsidR="00B12687" w:rsidRPr="00B12687">
        <w:t xml:space="preserve"> Mill's utilitarianism provides another sort of guidance by consequences. Mill's principle of utility </w:t>
      </w:r>
      <w:r w:rsidR="00B67F4E">
        <w:t>dictates what should be done: what is to be done is what maximizes happiness for the greatest number</w:t>
      </w:r>
      <w:r w:rsidR="0026570A">
        <w:t>.</w:t>
      </w:r>
      <w:r w:rsidR="00CA03AC">
        <w:rPr>
          <w:rStyle w:val="FootnoteReference"/>
        </w:rPr>
        <w:footnoteReference w:id="8"/>
      </w:r>
      <w:r w:rsidR="0026570A">
        <w:t xml:space="preserve"> </w:t>
      </w:r>
      <w:r w:rsidR="008C05E2" w:rsidRPr="008C05E2">
        <w:t>This offers a clear decision procedure</w:t>
      </w:r>
      <w:r w:rsidR="00B67F4E">
        <w:t>,</w:t>
      </w:r>
      <w:r w:rsidR="008C05E2" w:rsidRPr="008C05E2">
        <w:t xml:space="preserve"> although in practice it may be challenging to implement. Virtue Ethics seems more flexible than these theories and relies on more subjective judgment. But it can also be </w:t>
      </w:r>
      <w:r w:rsidR="00B67F4E">
        <w:t xml:space="preserve">seen that the predictions about the consequences of the acts are </w:t>
      </w:r>
      <w:r w:rsidR="003A370A">
        <w:t>uncertain, and that the assessment of happiness is complex</w:t>
      </w:r>
      <w:r w:rsidR="008C05E2" w:rsidRPr="008C05E2">
        <w:t xml:space="preserve">. Furthermore, it might allow unappealing </w:t>
      </w:r>
      <w:r w:rsidR="0094185B">
        <w:t>behaviour</w:t>
      </w:r>
      <w:r w:rsidR="00B67F4E">
        <w:t>,</w:t>
      </w:r>
      <w:r w:rsidR="008C05E2" w:rsidRPr="008C05E2">
        <w:t xml:space="preserve"> such as reducing the happiness of one person to </w:t>
      </w:r>
      <w:r w:rsidR="00B67F4E">
        <w:t>benefit</w:t>
      </w:r>
      <w:r w:rsidR="008C05E2" w:rsidRPr="008C05E2">
        <w:t xml:space="preserve"> another, leading to concerns about fairness and individual rights</w:t>
      </w:r>
      <w:r w:rsidR="0026570A">
        <w:t>.</w:t>
      </w:r>
    </w:p>
    <w:p w14:paraId="0CBDDB1D" w14:textId="44FC56D7" w:rsidR="0026570A" w:rsidRPr="0026570A" w:rsidRDefault="008C05E2" w:rsidP="0005156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8C05E2">
        <w:rPr>
          <w:rFonts w:ascii="Times New Roman" w:eastAsia="Times New Roman" w:hAnsi="Times New Roman" w:cs="Times New Roman"/>
          <w:kern w:val="0"/>
          <w:lang w:eastAsia="en-GB"/>
          <w14:ligatures w14:val="none"/>
        </w:rPr>
        <w:t xml:space="preserve">But those who advocate virtue ethics believe this objection is misguided. Virtue ethics, </w:t>
      </w:r>
      <w:proofErr w:type="spellStart"/>
      <w:r w:rsidRPr="008C05E2">
        <w:rPr>
          <w:rFonts w:ascii="Times New Roman" w:eastAsia="Times New Roman" w:hAnsi="Times New Roman" w:cs="Times New Roman"/>
          <w:kern w:val="0"/>
          <w:lang w:eastAsia="en-GB"/>
          <w14:ligatures w14:val="none"/>
        </w:rPr>
        <w:t>Hursthouse</w:t>
      </w:r>
      <w:proofErr w:type="spellEnd"/>
      <w:r w:rsidRPr="008C05E2">
        <w:rPr>
          <w:rFonts w:ascii="Times New Roman" w:eastAsia="Times New Roman" w:hAnsi="Times New Roman" w:cs="Times New Roman"/>
          <w:kern w:val="0"/>
          <w:lang w:eastAsia="en-GB"/>
          <w14:ligatures w14:val="none"/>
        </w:rPr>
        <w:t xml:space="preserve"> suggests, can inform the conduct of an agent, one in which it is characteristic, </w:t>
      </w:r>
      <w:r w:rsidR="003A370A">
        <w:rPr>
          <w:rFonts w:ascii="Times New Roman" w:eastAsia="Times New Roman" w:hAnsi="Times New Roman" w:cs="Times New Roman"/>
          <w:kern w:val="0"/>
          <w:lang w:eastAsia="en-GB"/>
          <w14:ligatures w14:val="none"/>
        </w:rPr>
        <w:t>insofar</w:t>
      </w:r>
      <w:r w:rsidRPr="008C05E2">
        <w:rPr>
          <w:rFonts w:ascii="Times New Roman" w:eastAsia="Times New Roman" w:hAnsi="Times New Roman" w:cs="Times New Roman"/>
          <w:kern w:val="0"/>
          <w:lang w:eastAsia="en-GB"/>
          <w14:ligatures w14:val="none"/>
        </w:rPr>
        <w:t xml:space="preserve"> as it draws attention to the various moral concerns involved, like honesty, fairness, and compassion</w:t>
      </w:r>
      <w:r w:rsidR="0026570A" w:rsidRPr="0026570A">
        <w:rPr>
          <w:rFonts w:ascii="Times New Roman" w:eastAsia="Times New Roman" w:hAnsi="Times New Roman" w:cs="Times New Roman"/>
          <w:kern w:val="0"/>
          <w:lang w:eastAsia="en-GB"/>
          <w14:ligatures w14:val="none"/>
        </w:rPr>
        <w:t>.</w:t>
      </w:r>
      <w:r w:rsidR="00CA03AC">
        <w:rPr>
          <w:rStyle w:val="FootnoteReference"/>
          <w:rFonts w:ascii="Times New Roman" w:eastAsia="Times New Roman" w:hAnsi="Times New Roman" w:cs="Times New Roman"/>
          <w:kern w:val="0"/>
          <w:lang w:eastAsia="en-GB"/>
          <w14:ligatures w14:val="none"/>
        </w:rPr>
        <w:footnoteReference w:id="9"/>
      </w:r>
      <w:r w:rsidR="0026570A" w:rsidRPr="0026570A">
        <w:rPr>
          <w:rFonts w:ascii="Times New Roman" w:eastAsia="Times New Roman" w:hAnsi="Times New Roman" w:cs="Times New Roman"/>
          <w:kern w:val="0"/>
          <w:lang w:eastAsia="en-GB"/>
          <w14:ligatures w14:val="none"/>
        </w:rPr>
        <w:t xml:space="preserve"> </w:t>
      </w:r>
      <w:r w:rsidR="00CC78C0" w:rsidRPr="00CC78C0">
        <w:rPr>
          <w:rFonts w:ascii="Times New Roman" w:eastAsia="Times New Roman" w:hAnsi="Times New Roman" w:cs="Times New Roman"/>
          <w:kern w:val="0"/>
          <w:lang w:eastAsia="en-GB"/>
          <w14:ligatures w14:val="none"/>
        </w:rPr>
        <w:t xml:space="preserve">Although this does not </w:t>
      </w:r>
      <w:r w:rsidR="00B67F4E">
        <w:rPr>
          <w:rFonts w:ascii="Times New Roman" w:eastAsia="Times New Roman" w:hAnsi="Times New Roman" w:cs="Times New Roman"/>
          <w:kern w:val="0"/>
          <w:lang w:eastAsia="en-GB"/>
          <w14:ligatures w14:val="none"/>
        </w:rPr>
        <w:t>create prescriptive rules, it does help define acceptable actions and provide</w:t>
      </w:r>
      <w:r w:rsidR="00CC78C0" w:rsidRPr="00CC78C0">
        <w:rPr>
          <w:rFonts w:ascii="Times New Roman" w:eastAsia="Times New Roman" w:hAnsi="Times New Roman" w:cs="Times New Roman"/>
          <w:kern w:val="0"/>
          <w:lang w:eastAsia="en-GB"/>
          <w14:ligatures w14:val="none"/>
        </w:rPr>
        <w:t xml:space="preserve"> direction. Virtue ethics provides </w:t>
      </w:r>
      <w:r w:rsidR="00B67F4E">
        <w:rPr>
          <w:rFonts w:ascii="Times New Roman" w:eastAsia="Times New Roman" w:hAnsi="Times New Roman" w:cs="Times New Roman"/>
          <w:kern w:val="0"/>
          <w:lang w:eastAsia="en-GB"/>
          <w14:ligatures w14:val="none"/>
        </w:rPr>
        <w:t xml:space="preserve">guidance that is context-sensitive and </w:t>
      </w:r>
      <w:r w:rsidR="00B67F4E">
        <w:rPr>
          <w:rFonts w:ascii="Times New Roman" w:eastAsia="Times New Roman" w:hAnsi="Times New Roman" w:cs="Times New Roman"/>
          <w:kern w:val="0"/>
          <w:lang w:eastAsia="en-GB"/>
          <w14:ligatures w14:val="none"/>
        </w:rPr>
        <w:lastRenderedPageBreak/>
        <w:t>flexible, rather than universal and context-insensitive</w:t>
      </w:r>
      <w:r w:rsidR="00CC78C0" w:rsidRPr="00CC78C0">
        <w:rPr>
          <w:rFonts w:ascii="Times New Roman" w:eastAsia="Times New Roman" w:hAnsi="Times New Roman" w:cs="Times New Roman"/>
          <w:kern w:val="0"/>
          <w:lang w:eastAsia="en-GB"/>
          <w14:ligatures w14:val="none"/>
        </w:rPr>
        <w:t xml:space="preserve">. It enables agents to act in </w:t>
      </w:r>
      <w:r w:rsidR="003A370A">
        <w:rPr>
          <w:rFonts w:ascii="Times New Roman" w:eastAsia="Times New Roman" w:hAnsi="Times New Roman" w:cs="Times New Roman"/>
          <w:kern w:val="0"/>
          <w:lang w:eastAsia="en-GB"/>
          <w14:ligatures w14:val="none"/>
        </w:rPr>
        <w:t>line with</w:t>
      </w:r>
      <w:r w:rsidR="00CC78C0" w:rsidRPr="00CC78C0">
        <w:rPr>
          <w:rFonts w:ascii="Times New Roman" w:eastAsia="Times New Roman" w:hAnsi="Times New Roman" w:cs="Times New Roman"/>
          <w:kern w:val="0"/>
          <w:lang w:eastAsia="en-GB"/>
          <w14:ligatures w14:val="none"/>
        </w:rPr>
        <w:t xml:space="preserve"> what is actually happening</w:t>
      </w:r>
      <w:r w:rsidR="00B67F4E">
        <w:rPr>
          <w:rFonts w:ascii="Times New Roman" w:eastAsia="Times New Roman" w:hAnsi="Times New Roman" w:cs="Times New Roman"/>
          <w:kern w:val="0"/>
          <w:lang w:eastAsia="en-GB"/>
          <w14:ligatures w14:val="none"/>
        </w:rPr>
        <w:t xml:space="preserve"> while remaining</w:t>
      </w:r>
      <w:r w:rsidR="00CC78C0" w:rsidRPr="00CC78C0">
        <w:rPr>
          <w:rFonts w:ascii="Times New Roman" w:eastAsia="Times New Roman" w:hAnsi="Times New Roman" w:cs="Times New Roman"/>
          <w:kern w:val="0"/>
          <w:lang w:eastAsia="en-GB"/>
          <w14:ligatures w14:val="none"/>
        </w:rPr>
        <w:t xml:space="preserve"> rooted in a firm sense of moral values and character traits</w:t>
      </w:r>
      <w:r w:rsidR="0026570A" w:rsidRPr="0026570A">
        <w:rPr>
          <w:rFonts w:ascii="Times New Roman" w:eastAsia="Times New Roman" w:hAnsi="Times New Roman" w:cs="Times New Roman"/>
          <w:kern w:val="0"/>
          <w:lang w:eastAsia="en-GB"/>
          <w14:ligatures w14:val="none"/>
        </w:rPr>
        <w:t>.</w:t>
      </w:r>
    </w:p>
    <w:p w14:paraId="4F44B2D0" w14:textId="6D382C84" w:rsidR="0026570A" w:rsidRDefault="00686E9F" w:rsidP="00051569">
      <w:pPr>
        <w:pStyle w:val="NormalWeb"/>
        <w:spacing w:line="360" w:lineRule="auto"/>
        <w:jc w:val="both"/>
      </w:pPr>
      <w:r w:rsidRPr="00686E9F">
        <w:t>Additionally, Russell says that Practical wisdom is a rational power that enables people to react to the arguments found in a situation</w:t>
      </w:r>
      <w:r w:rsidR="0026570A">
        <w:t>.</w:t>
      </w:r>
      <w:r w:rsidR="00051569">
        <w:rPr>
          <w:rStyle w:val="FootnoteReference"/>
        </w:rPr>
        <w:footnoteReference w:id="10"/>
      </w:r>
      <w:r w:rsidR="0026570A">
        <w:t xml:space="preserve"> </w:t>
      </w:r>
      <w:r w:rsidRPr="00686E9F">
        <w:t>From this perspective, a moral judgment is not random, but is based on reason and experience. In this sense, then, virtue ethics is a source of guidance</w:t>
      </w:r>
      <w:r w:rsidR="00B67F4E">
        <w:t>, but in a more flexible,</w:t>
      </w:r>
      <w:r w:rsidRPr="00686E9F">
        <w:t xml:space="preserve"> </w:t>
      </w:r>
      <w:r w:rsidR="00B67F4E">
        <w:t>context-sensitive</w:t>
      </w:r>
      <w:r w:rsidRPr="00686E9F">
        <w:t xml:space="preserve"> fashion. Good </w:t>
      </w:r>
      <w:r w:rsidR="00B67F4E">
        <w:t>judgment</w:t>
      </w:r>
      <w:r w:rsidRPr="00686E9F">
        <w:t xml:space="preserve"> also means understanding which elements of a situation are </w:t>
      </w:r>
      <w:r w:rsidR="00B67F4E">
        <w:t>most important and not taking action on a rule without considering the context, leading to more considered,</w:t>
      </w:r>
      <w:r w:rsidRPr="00686E9F">
        <w:t xml:space="preserve"> balanced decisions.</w:t>
      </w:r>
    </w:p>
    <w:p w14:paraId="5BF61D03" w14:textId="0A11C00A" w:rsidR="0026570A" w:rsidRDefault="00B2541D" w:rsidP="00051569">
      <w:pPr>
        <w:pStyle w:val="NormalWeb"/>
        <w:spacing w:line="360" w:lineRule="auto"/>
        <w:jc w:val="both"/>
      </w:pPr>
      <w:r w:rsidRPr="00B2541D">
        <w:t>Stichter expands on this notion, staging moral judgment as a practical skill</w:t>
      </w:r>
      <w:r w:rsidR="0026570A">
        <w:t>.</w:t>
      </w:r>
      <w:r w:rsidR="00051569">
        <w:rPr>
          <w:rStyle w:val="FootnoteReference"/>
        </w:rPr>
        <w:footnoteReference w:id="11"/>
      </w:r>
      <w:r w:rsidR="0026570A">
        <w:t xml:space="preserve"> </w:t>
      </w:r>
      <w:r w:rsidR="008B2C88" w:rsidRPr="008B2C88">
        <w:t xml:space="preserve">Some people can make </w:t>
      </w:r>
      <w:r w:rsidR="00B67F4E">
        <w:t>good choices after seeing many</w:t>
      </w:r>
      <w:r w:rsidR="008B2C88" w:rsidRPr="008B2C88">
        <w:t xml:space="preserve"> complex situations, and if someone is good and wants to get better at making good decisions, they will take it from there. Virtue ethics can guide without </w:t>
      </w:r>
      <w:r w:rsidR="00B67F4E">
        <w:t xml:space="preserve">the </w:t>
      </w:r>
      <w:r w:rsidR="008B2C88" w:rsidRPr="008B2C88">
        <w:t>strict principles of this analogy. It also indicates that one's moral awareness grows over time instead of being complete from birth.</w:t>
      </w:r>
    </w:p>
    <w:p w14:paraId="7E6648F7" w14:textId="70CD0632" w:rsidR="0026570A" w:rsidRPr="0026570A" w:rsidRDefault="008B2C88" w:rsidP="00051569">
      <w:pPr>
        <w:pStyle w:val="NormalWeb"/>
        <w:spacing w:line="360" w:lineRule="auto"/>
        <w:jc w:val="both"/>
      </w:pPr>
      <w:r w:rsidRPr="008B2C88">
        <w:t xml:space="preserve">But this </w:t>
      </w:r>
      <w:r w:rsidR="0094185B">
        <w:t>defence</w:t>
      </w:r>
      <w:r w:rsidRPr="008B2C88">
        <w:t xml:space="preserve"> is not fully adequate. Based on experience and judgment, </w:t>
      </w:r>
      <w:r w:rsidR="00B67F4E">
        <w:t>guidance may</w:t>
      </w:r>
      <w:r w:rsidRPr="008B2C88">
        <w:t xml:space="preserve"> be restricted to some. Further, people may have different views of what a good man/woman would do. This also often results </w:t>
      </w:r>
      <w:r w:rsidR="00B67F4E">
        <w:t>in the risk of inconsistencies and conflicts, particularly in situations where there is no</w:t>
      </w:r>
      <w:r w:rsidRPr="008B2C88">
        <w:t xml:space="preserve"> evident social norm or common understanding. In complex moral conflicts when there is no clear answer, one has to </w:t>
      </w:r>
      <w:r w:rsidR="00B67F4E">
        <w:t xml:space="preserve">rely heavily on one's own interpretation, and </w:t>
      </w:r>
      <w:r w:rsidRPr="008B2C88">
        <w:t>this becomes a more serious issue.</w:t>
      </w:r>
    </w:p>
    <w:p w14:paraId="350A329A" w14:textId="1704ADEE" w:rsidR="0026570A" w:rsidRPr="0026570A" w:rsidRDefault="008B2C88" w:rsidP="00051569">
      <w:pPr>
        <w:pStyle w:val="NormalWeb"/>
        <w:spacing w:line="360" w:lineRule="auto"/>
        <w:jc w:val="both"/>
      </w:pPr>
      <w:r w:rsidRPr="008B2C88">
        <w:t>Moral values</w:t>
      </w:r>
      <w:r w:rsidR="00B67F4E">
        <w:t xml:space="preserve">, according to Prinz, are primarily emotional and cultural, which may mean </w:t>
      </w:r>
      <w:r w:rsidRPr="008B2C88">
        <w:t xml:space="preserve">there is no objective concept of virtue. </w:t>
      </w:r>
      <w:r w:rsidR="00051569">
        <w:rPr>
          <w:rStyle w:val="FootnoteReference"/>
        </w:rPr>
        <w:footnoteReference w:id="12"/>
      </w:r>
      <w:r w:rsidR="0026570A" w:rsidRPr="0026570A">
        <w:t xml:space="preserve"> </w:t>
      </w:r>
      <w:r w:rsidRPr="008B2C88">
        <w:t xml:space="preserve">This poses a new threat </w:t>
      </w:r>
      <w:r w:rsidR="00B67F4E">
        <w:t>to the belief that practical wisdom can be reliably applied to action</w:t>
      </w:r>
      <w:r w:rsidRPr="008B2C88">
        <w:t xml:space="preserve">. Virtue ethics' advice can also be a point of contention </w:t>
      </w:r>
      <w:r w:rsidR="00B67F4E">
        <w:t>across cultures because it depends on different views of what is virtuous, making it harder to apply consistently</w:t>
      </w:r>
      <w:r w:rsidRPr="008B2C88">
        <w:t>.</w:t>
      </w:r>
    </w:p>
    <w:p w14:paraId="41D890FA" w14:textId="796E6873" w:rsidR="0026570A" w:rsidRPr="0026570A" w:rsidRDefault="008B2C88" w:rsidP="00051569">
      <w:pPr>
        <w:pStyle w:val="NormalWeb"/>
        <w:spacing w:line="360" w:lineRule="auto"/>
        <w:jc w:val="both"/>
      </w:pPr>
      <w:r w:rsidRPr="008B2C88">
        <w:lastRenderedPageBreak/>
        <w:t>This concern is further strengthened by Doris</w:t>
      </w:r>
      <w:r w:rsidR="00B67F4E">
        <w:t>,</w:t>
      </w:r>
      <w:r w:rsidRPr="008B2C88">
        <w:t xml:space="preserve"> who believes that </w:t>
      </w:r>
      <w:r w:rsidR="00B67F4E">
        <w:t xml:space="preserve">individuals' permanent characteristics </w:t>
      </w:r>
      <w:r w:rsidRPr="008B2C88">
        <w:t xml:space="preserve">do not necessarily drive human </w:t>
      </w:r>
      <w:r w:rsidR="0094185B" w:rsidRPr="008B2C88">
        <w:t>behaviour</w:t>
      </w:r>
      <w:r w:rsidRPr="008B2C88">
        <w:t xml:space="preserve"> as much as situational factors.</w:t>
      </w:r>
      <w:r w:rsidR="00051569">
        <w:rPr>
          <w:rStyle w:val="FootnoteReference"/>
        </w:rPr>
        <w:footnoteReference w:id="13"/>
      </w:r>
      <w:r w:rsidR="00051569">
        <w:t xml:space="preserve"> </w:t>
      </w:r>
      <w:r w:rsidR="00D46306" w:rsidRPr="00D46306">
        <w:t>If that</w:t>
      </w:r>
      <w:r w:rsidR="008E64D1">
        <w:t xml:space="preserve"> is</w:t>
      </w:r>
      <w:r w:rsidR="00D46306" w:rsidRPr="00D46306">
        <w:t xml:space="preserve"> true, then the idea that they</w:t>
      </w:r>
      <w:r w:rsidR="008E64D1">
        <w:t xml:space="preserve"> a</w:t>
      </w:r>
      <w:r w:rsidR="00D46306" w:rsidRPr="00D46306">
        <w:t xml:space="preserve">re consistently good may be wrong. This undermines the notion of </w:t>
      </w:r>
      <w:r w:rsidR="00B67F4E">
        <w:t>moral character as the foundation of reliable virtue ethics</w:t>
      </w:r>
      <w:r w:rsidR="00D46306" w:rsidRPr="00D46306">
        <w:t>. It also</w:t>
      </w:r>
      <w:r w:rsidR="00B67F4E">
        <w:t>, of course,</w:t>
      </w:r>
      <w:r w:rsidR="00D46306" w:rsidRPr="00D46306">
        <w:t xml:space="preserve"> doubts whether the lives of the individuals can be lived constantly in harmony with virtues in the presence of the circumstances that would influence them.</w:t>
      </w:r>
    </w:p>
    <w:p w14:paraId="2C3E9246" w14:textId="61C9C423" w:rsidR="0026570A" w:rsidRPr="0026570A" w:rsidRDefault="00D46306" w:rsidP="00051569">
      <w:pPr>
        <w:pStyle w:val="NormalWeb"/>
        <w:spacing w:line="360" w:lineRule="auto"/>
        <w:jc w:val="both"/>
      </w:pPr>
      <w:r w:rsidRPr="00D46306">
        <w:t xml:space="preserve">A </w:t>
      </w:r>
      <w:r w:rsidR="008E64D1" w:rsidRPr="00D46306">
        <w:t>defence</w:t>
      </w:r>
      <w:r w:rsidRPr="00D46306">
        <w:t xml:space="preserve"> of virtue ethics </w:t>
      </w:r>
      <w:r w:rsidR="00B67F4E">
        <w:t>replies</w:t>
      </w:r>
      <w:r w:rsidRPr="00D46306">
        <w:t xml:space="preserve"> by saying that there are non-ethical virtues. Foot believes that virtues are rooted in human nature and rationality</w:t>
      </w:r>
      <w:r w:rsidR="00B67F4E">
        <w:t>,</w:t>
      </w:r>
      <w:r w:rsidRPr="00D46306">
        <w:t xml:space="preserve"> and so are</w:t>
      </w:r>
      <w:r w:rsidR="00B67F4E">
        <w:t>, to some extent, objective</w:t>
      </w:r>
      <w:r w:rsidR="0026570A" w:rsidRPr="0026570A">
        <w:t>.</w:t>
      </w:r>
      <w:r w:rsidR="00051569">
        <w:rPr>
          <w:rStyle w:val="FootnoteReference"/>
        </w:rPr>
        <w:footnoteReference w:id="14"/>
      </w:r>
      <w:r w:rsidR="0026570A" w:rsidRPr="0026570A">
        <w:t xml:space="preserve"> </w:t>
      </w:r>
      <w:r w:rsidR="00950ECD" w:rsidRPr="00950ECD">
        <w:t xml:space="preserve">Similarly, Nussbaum suggests that </w:t>
      </w:r>
      <w:r w:rsidR="00B67F4E">
        <w:t xml:space="preserve">several virtues </w:t>
      </w:r>
      <w:r w:rsidR="00950ECD" w:rsidRPr="00950ECD">
        <w:t>have cross-cultural relevance for humanity's flourishing</w:t>
      </w:r>
      <w:r w:rsidR="0026570A" w:rsidRPr="0026570A">
        <w:t>.</w:t>
      </w:r>
      <w:r w:rsidR="00051569">
        <w:rPr>
          <w:rStyle w:val="FootnoteReference"/>
        </w:rPr>
        <w:footnoteReference w:id="15"/>
      </w:r>
      <w:r w:rsidR="0026570A" w:rsidRPr="0026570A">
        <w:t xml:space="preserve"> </w:t>
      </w:r>
      <w:r w:rsidR="00950ECD" w:rsidRPr="00950ECD">
        <w:t xml:space="preserve">These arguments indicate that it is possible to overcome full relativism in virtue ethics, though this is not a complete success in practice. Virtue ethics </w:t>
      </w:r>
      <w:r w:rsidR="00B67F4E">
        <w:t>seeks to be universal while remaining sensitive to context</w:t>
      </w:r>
      <w:r w:rsidR="00950ECD" w:rsidRPr="00950ECD">
        <w:t>.</w:t>
      </w:r>
    </w:p>
    <w:p w14:paraId="1403B5A3" w14:textId="20D0270C" w:rsidR="0026570A" w:rsidRPr="0026570A" w:rsidRDefault="00950ECD" w:rsidP="00051569">
      <w:pPr>
        <w:pStyle w:val="NormalWeb"/>
        <w:spacing w:line="360" w:lineRule="auto"/>
        <w:jc w:val="both"/>
      </w:pPr>
      <w:r w:rsidRPr="00950ECD">
        <w:t xml:space="preserve">A more moderate conclusion would be that </w:t>
      </w:r>
      <w:r w:rsidR="00B67F4E">
        <w:t>there</w:t>
      </w:r>
      <w:r w:rsidRPr="00950ECD">
        <w:t xml:space="preserve"> can be no expectation </w:t>
      </w:r>
      <w:r w:rsidR="00B67F4E">
        <w:t>of getting</w:t>
      </w:r>
      <w:r w:rsidRPr="00950ECD">
        <w:t xml:space="preserve"> a complete decision procedure from virtue ethics. It provides another style of guidance, one that asks </w:t>
      </w:r>
      <w:r w:rsidR="00B67F4E">
        <w:t>the reader to take on the role of a moral agent</w:t>
      </w:r>
      <w:r w:rsidRPr="00950ECD">
        <w:t xml:space="preserve"> rather than enforcing any definite rules of action, as McAleer argues</w:t>
      </w:r>
      <w:r w:rsidR="0026570A" w:rsidRPr="0026570A">
        <w:t>.</w:t>
      </w:r>
      <w:r w:rsidR="00051569">
        <w:rPr>
          <w:rStyle w:val="FootnoteReference"/>
        </w:rPr>
        <w:footnoteReference w:id="16"/>
      </w:r>
      <w:r w:rsidR="0026570A" w:rsidRPr="0026570A">
        <w:t xml:space="preserve"> </w:t>
      </w:r>
      <w:r w:rsidR="00C13DF1" w:rsidRPr="00C13DF1">
        <w:t xml:space="preserve">Virtue ethics is not </w:t>
      </w:r>
      <w:r w:rsidR="00B67F4E">
        <w:t xml:space="preserve">so much a way of telling people what to do in specific situations as a framework that helps them </w:t>
      </w:r>
      <w:r w:rsidR="00C13DF1" w:rsidRPr="00C13DF1">
        <w:t xml:space="preserve">be good. It places special emphasis on </w:t>
      </w:r>
      <w:r w:rsidR="003A370A">
        <w:t>cultivating good character, which better equips one to face the challenges posed by</w:t>
      </w:r>
      <w:r w:rsidR="00C13DF1" w:rsidRPr="00C13DF1">
        <w:t xml:space="preserve"> good or bad moral </w:t>
      </w:r>
      <w:r w:rsidR="008E64D1" w:rsidRPr="00C13DF1">
        <w:t>behaviour</w:t>
      </w:r>
      <w:r w:rsidR="00C13DF1" w:rsidRPr="00C13DF1">
        <w:t xml:space="preserve"> in life.</w:t>
      </w:r>
    </w:p>
    <w:p w14:paraId="0CCB15D3" w14:textId="4D22A008" w:rsidR="00C13DF1" w:rsidRDefault="00C13DF1" w:rsidP="00C13DF1">
      <w:pPr>
        <w:pStyle w:val="NormalWeb"/>
        <w:spacing w:line="360" w:lineRule="auto"/>
        <w:jc w:val="both"/>
      </w:pPr>
      <w:r>
        <w:t xml:space="preserve">This results in a more well-rounded assessment. Virtue ethics </w:t>
      </w:r>
      <w:r w:rsidR="00B67F4E">
        <w:t>emphasizes a central element of morality:</w:t>
      </w:r>
      <w:r>
        <w:t xml:space="preserve"> that good judgment is not a set of rules or calculations. It helps you to understand how context can be useful, and how developing moral understanding takes time. It has not been structured enough, however, to be very useful when situations call for speedy or accurate </w:t>
      </w:r>
      <w:r w:rsidR="00B67F4E">
        <w:lastRenderedPageBreak/>
        <w:t>decision-making</w:t>
      </w:r>
      <w:r>
        <w:t>; individuals may need more immediate guidance. It does indicate that the relation between virtue and ethics might be another theory of ethics</w:t>
      </w:r>
      <w:r w:rsidR="00B67F4E">
        <w:t xml:space="preserve">, or that ethics and other theories work best together rather than being </w:t>
      </w:r>
      <w:r>
        <w:t>mutually exclusive.</w:t>
      </w:r>
    </w:p>
    <w:p w14:paraId="0D09ECA2" w14:textId="679BC051" w:rsidR="0026570A" w:rsidRDefault="00C13DF1" w:rsidP="00C13DF1">
      <w:pPr>
        <w:pStyle w:val="NormalWeb"/>
        <w:spacing w:line="360" w:lineRule="auto"/>
        <w:jc w:val="both"/>
      </w:pPr>
      <w:r>
        <w:t>Finally, actions can be guided towards virtues, but in only a limited and indirect way. It is not a theory that provides clear decision procedures</w:t>
      </w:r>
      <w:r w:rsidR="00B67F4E">
        <w:t>, as do Kantian or utilitarian theories, but rather one that nurtures practical wisdom and trustworthiness</w:t>
      </w:r>
      <w:r>
        <w:t xml:space="preserve">. This provides greater </w:t>
      </w:r>
      <w:r w:rsidR="00B67F4E">
        <w:t>flexibility and realism in the moral life, but also raises</w:t>
      </w:r>
      <w:r>
        <w:t xml:space="preserve"> issues of clarity and consistency. Thus, virtue ethics is not an all-encompassing theory of </w:t>
      </w:r>
      <w:r w:rsidR="00D11A2E">
        <w:t>action but</w:t>
      </w:r>
      <w:r>
        <w:t xml:space="preserve"> is rather a useful tool alongside other moral approaches and should not be seen as an alternative to them. It is its power to predispose people to thought and moral judgment, even if it </w:t>
      </w:r>
      <w:r w:rsidR="00B67F4E">
        <w:t>does not always offer</w:t>
      </w:r>
      <w:r>
        <w:t xml:space="preserve"> clear answers to every situation.</w:t>
      </w:r>
    </w:p>
    <w:p w14:paraId="0709626E" w14:textId="77777777" w:rsidR="006F067A" w:rsidRDefault="006F067A" w:rsidP="00051569">
      <w:pPr>
        <w:pStyle w:val="NormalWeb"/>
        <w:spacing w:line="360" w:lineRule="auto"/>
        <w:jc w:val="both"/>
      </w:pPr>
    </w:p>
    <w:p w14:paraId="201AC6BE" w14:textId="371580E4" w:rsidR="00D217AC" w:rsidRPr="00D217AC" w:rsidRDefault="00D217AC" w:rsidP="00D217AC">
      <w:pPr>
        <w:spacing w:after="0" w:line="240" w:lineRule="auto"/>
        <w:rPr>
          <w:rFonts w:ascii="Times New Roman" w:eastAsia="Times New Roman" w:hAnsi="Times New Roman" w:cs="Times New Roman"/>
          <w:kern w:val="0"/>
          <w:lang w:eastAsia="en-GB"/>
          <w14:ligatures w14:val="none"/>
        </w:rPr>
      </w:pPr>
    </w:p>
    <w:p w14:paraId="14135AD6" w14:textId="4BCF1A32" w:rsidR="00D217AC" w:rsidRPr="00D217AC" w:rsidRDefault="00D217AC" w:rsidP="00D217AC">
      <w:pPr>
        <w:spacing w:after="0" w:line="240" w:lineRule="auto"/>
        <w:rPr>
          <w:rFonts w:ascii="Times New Roman" w:eastAsia="Times New Roman" w:hAnsi="Times New Roman" w:cs="Times New Roman"/>
          <w:kern w:val="0"/>
          <w:lang w:eastAsia="en-GB"/>
          <w14:ligatures w14:val="none"/>
        </w:rPr>
      </w:pPr>
    </w:p>
    <w:p w14:paraId="3FCE5585" w14:textId="77777777" w:rsidR="00051569" w:rsidRDefault="00051569" w:rsidP="00D217A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D532ADC" w14:textId="77777777" w:rsidR="00051569" w:rsidRDefault="00051569" w:rsidP="00D217A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6A7D99B" w14:textId="77777777" w:rsidR="00051569" w:rsidRDefault="00051569" w:rsidP="00D217A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A0DD78D" w14:textId="77777777" w:rsidR="00051569" w:rsidRDefault="00051569" w:rsidP="00D217A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7C66F89" w14:textId="77777777" w:rsidR="00051569" w:rsidRDefault="00051569" w:rsidP="00D217A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6AF933E" w14:textId="77777777" w:rsidR="00051569" w:rsidRDefault="00051569" w:rsidP="00D217A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0E6C5BF" w14:textId="77777777" w:rsidR="00D11A2E" w:rsidRDefault="00D11A2E">
      <w:pPr>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br w:type="page"/>
      </w:r>
    </w:p>
    <w:p w14:paraId="459081EF" w14:textId="7481C16F" w:rsidR="00D217AC" w:rsidRDefault="00D217AC" w:rsidP="00D217A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D217AC">
        <w:rPr>
          <w:rFonts w:ascii="Times New Roman" w:eastAsia="Times New Roman" w:hAnsi="Times New Roman" w:cs="Times New Roman"/>
          <w:b/>
          <w:bCs/>
          <w:kern w:val="36"/>
          <w:sz w:val="48"/>
          <w:szCs w:val="48"/>
          <w:lang w:eastAsia="en-GB"/>
          <w14:ligatures w14:val="none"/>
        </w:rPr>
        <w:lastRenderedPageBreak/>
        <w:t xml:space="preserve">Bibliography </w:t>
      </w:r>
    </w:p>
    <w:p w14:paraId="1B0CD104" w14:textId="0B660761" w:rsidR="0063526E" w:rsidRDefault="0063526E" w:rsidP="00B67F4E">
      <w:pPr>
        <w:pStyle w:val="NormalWeb"/>
        <w:spacing w:before="0" w:beforeAutospacing="0" w:after="0" w:afterAutospacing="0" w:line="480" w:lineRule="auto"/>
        <w:ind w:left="720" w:hanging="720"/>
      </w:pPr>
      <w:r w:rsidRPr="0063526E">
        <w:t>Annas, J., 2011. </w:t>
      </w:r>
      <w:r w:rsidRPr="0063526E">
        <w:rPr>
          <w:i/>
          <w:iCs/>
        </w:rPr>
        <w:t>Intelligent virtue</w:t>
      </w:r>
      <w:r w:rsidRPr="0063526E">
        <w:t>. Oxford University Press.</w:t>
      </w:r>
    </w:p>
    <w:p w14:paraId="6CC325F5" w14:textId="3085E0C6" w:rsidR="00B67F4E" w:rsidRDefault="00D217AC" w:rsidP="00B67F4E">
      <w:pPr>
        <w:pStyle w:val="NormalWeb"/>
        <w:spacing w:before="0" w:beforeAutospacing="0" w:after="0" w:afterAutospacing="0" w:line="480" w:lineRule="auto"/>
        <w:ind w:left="720" w:hanging="720"/>
      </w:pPr>
      <w:r w:rsidRPr="00D217AC">
        <w:t xml:space="preserve">Annas, J. (2011) </w:t>
      </w:r>
      <w:r w:rsidRPr="00D217AC">
        <w:rPr>
          <w:i/>
          <w:iCs/>
        </w:rPr>
        <w:t>Intelligent Virtue</w:t>
      </w:r>
      <w:r w:rsidRPr="00D217AC">
        <w:t>. Oxford: Oxford University Press.</w:t>
      </w:r>
    </w:p>
    <w:p w14:paraId="6EA7067F" w14:textId="77777777" w:rsidR="00B67F4E" w:rsidRDefault="00D217AC" w:rsidP="00B67F4E">
      <w:pPr>
        <w:pStyle w:val="NormalWeb"/>
        <w:spacing w:before="0" w:beforeAutospacing="0" w:after="0" w:afterAutospacing="0" w:line="480" w:lineRule="auto"/>
        <w:ind w:left="720" w:hanging="720"/>
      </w:pPr>
      <w:r w:rsidRPr="00D217AC">
        <w:t xml:space="preserve">Aristotle (2009) </w:t>
      </w:r>
      <w:r w:rsidRPr="00D217AC">
        <w:rPr>
          <w:i/>
          <w:iCs/>
        </w:rPr>
        <w:t>Nicomachean Ethics</w:t>
      </w:r>
      <w:r w:rsidRPr="00D217AC">
        <w:t>. Oxford: Oxford University Press.</w:t>
      </w:r>
    </w:p>
    <w:p w14:paraId="2318B3DC" w14:textId="77777777" w:rsidR="00B67F4E" w:rsidRDefault="00D217AC" w:rsidP="00B67F4E">
      <w:pPr>
        <w:pStyle w:val="NormalWeb"/>
        <w:spacing w:before="0" w:beforeAutospacing="0" w:after="0" w:afterAutospacing="0" w:line="480" w:lineRule="auto"/>
        <w:ind w:left="720" w:hanging="720"/>
      </w:pPr>
      <w:r w:rsidRPr="00D217AC">
        <w:t xml:space="preserve">Doris, J. (1998) ‘Persons, Situations and Virtue Ethics’, </w:t>
      </w:r>
      <w:proofErr w:type="spellStart"/>
      <w:r w:rsidRPr="00D217AC">
        <w:rPr>
          <w:i/>
          <w:iCs/>
        </w:rPr>
        <w:t>Noûs</w:t>
      </w:r>
      <w:proofErr w:type="spellEnd"/>
      <w:r w:rsidRPr="00D217AC">
        <w:t>, 32, pp. 504–530.</w:t>
      </w:r>
    </w:p>
    <w:p w14:paraId="2BD05100" w14:textId="77777777" w:rsidR="00B67F4E" w:rsidRDefault="00D217AC" w:rsidP="00B67F4E">
      <w:pPr>
        <w:pStyle w:val="NormalWeb"/>
        <w:spacing w:before="0" w:beforeAutospacing="0" w:after="0" w:afterAutospacing="0" w:line="480" w:lineRule="auto"/>
        <w:ind w:left="720" w:hanging="720"/>
      </w:pPr>
      <w:r w:rsidRPr="00D217AC">
        <w:t xml:space="preserve">Foot, P. (2001) </w:t>
      </w:r>
      <w:r w:rsidRPr="00D217AC">
        <w:rPr>
          <w:i/>
          <w:iCs/>
        </w:rPr>
        <w:t>Natural Goodness</w:t>
      </w:r>
      <w:r w:rsidRPr="00D217AC">
        <w:t>. Oxford: Clarendon Press.</w:t>
      </w:r>
    </w:p>
    <w:p w14:paraId="3E022DDA" w14:textId="77777777" w:rsidR="00B67F4E" w:rsidRDefault="00D217AC" w:rsidP="00B67F4E">
      <w:pPr>
        <w:pStyle w:val="NormalWeb"/>
        <w:spacing w:before="0" w:beforeAutospacing="0" w:after="0" w:afterAutospacing="0" w:line="480" w:lineRule="auto"/>
        <w:ind w:left="720" w:hanging="720"/>
      </w:pPr>
      <w:proofErr w:type="spellStart"/>
      <w:r w:rsidRPr="00D217AC">
        <w:t>Hursthouse</w:t>
      </w:r>
      <w:proofErr w:type="spellEnd"/>
      <w:r w:rsidRPr="00D217AC">
        <w:t xml:space="preserve">, R. (1999) </w:t>
      </w:r>
      <w:r w:rsidRPr="00D217AC">
        <w:rPr>
          <w:i/>
          <w:iCs/>
        </w:rPr>
        <w:t>On Virtue Ethics</w:t>
      </w:r>
      <w:r w:rsidRPr="00D217AC">
        <w:t>. Oxford: Oxford University Press.</w:t>
      </w:r>
    </w:p>
    <w:p w14:paraId="13BCCF27" w14:textId="77777777" w:rsidR="00B67F4E" w:rsidRDefault="00D217AC" w:rsidP="00B67F4E">
      <w:pPr>
        <w:pStyle w:val="NormalWeb"/>
        <w:spacing w:before="0" w:beforeAutospacing="0" w:after="0" w:afterAutospacing="0" w:line="480" w:lineRule="auto"/>
        <w:ind w:left="720" w:hanging="720"/>
      </w:pPr>
      <w:r w:rsidRPr="00D217AC">
        <w:t xml:space="preserve">Kant, I. (2012) </w:t>
      </w:r>
      <w:r w:rsidRPr="00D217AC">
        <w:rPr>
          <w:i/>
          <w:iCs/>
        </w:rPr>
        <w:t>Groundwork of the Metaphysics of Morals</w:t>
      </w:r>
      <w:r w:rsidRPr="00D217AC">
        <w:t>. Cambridge: Cambridge University Press.</w:t>
      </w:r>
    </w:p>
    <w:p w14:paraId="6607B179" w14:textId="77777777" w:rsidR="00B67F4E" w:rsidRDefault="00D217AC" w:rsidP="00B67F4E">
      <w:pPr>
        <w:pStyle w:val="NormalWeb"/>
        <w:spacing w:before="0" w:beforeAutospacing="0" w:after="0" w:afterAutospacing="0" w:line="480" w:lineRule="auto"/>
        <w:ind w:left="720" w:hanging="720"/>
      </w:pPr>
      <w:r w:rsidRPr="00D217AC">
        <w:t xml:space="preserve">MacIntyre, A. (2007) </w:t>
      </w:r>
      <w:r w:rsidRPr="00D217AC">
        <w:rPr>
          <w:i/>
          <w:iCs/>
        </w:rPr>
        <w:t>After Virtue</w:t>
      </w:r>
      <w:r w:rsidRPr="00D217AC">
        <w:t>. London: Duckworth.</w:t>
      </w:r>
    </w:p>
    <w:p w14:paraId="7834683E" w14:textId="77777777" w:rsidR="00B67F4E" w:rsidRDefault="00D217AC" w:rsidP="00B67F4E">
      <w:pPr>
        <w:pStyle w:val="NormalWeb"/>
        <w:spacing w:before="0" w:beforeAutospacing="0" w:after="0" w:afterAutospacing="0" w:line="480" w:lineRule="auto"/>
        <w:ind w:left="720" w:hanging="720"/>
      </w:pPr>
      <w:r w:rsidRPr="00D217AC">
        <w:t xml:space="preserve">McAleer, S. (2010) ‘Four Solutions to the Alleged Incompleteness of Virtue Ethics’, </w:t>
      </w:r>
      <w:r w:rsidRPr="00D217AC">
        <w:rPr>
          <w:i/>
          <w:iCs/>
        </w:rPr>
        <w:t>Journal of Ethics and Social Philosophy</w:t>
      </w:r>
      <w:r w:rsidRPr="00D217AC">
        <w:t>, 4(3).</w:t>
      </w:r>
    </w:p>
    <w:p w14:paraId="2E0391CC" w14:textId="77777777" w:rsidR="00B67F4E" w:rsidRDefault="00D217AC" w:rsidP="00B67F4E">
      <w:pPr>
        <w:pStyle w:val="NormalWeb"/>
        <w:spacing w:before="0" w:beforeAutospacing="0" w:after="0" w:afterAutospacing="0" w:line="480" w:lineRule="auto"/>
        <w:ind w:left="720" w:hanging="720"/>
      </w:pPr>
      <w:r w:rsidRPr="00D217AC">
        <w:t xml:space="preserve">Mill, J.S. (2016) ‘Utilitarianism’, in </w:t>
      </w:r>
      <w:r w:rsidRPr="00D217AC">
        <w:rPr>
          <w:i/>
          <w:iCs/>
        </w:rPr>
        <w:t>Seven Masterpieces of Philosophy</w:t>
      </w:r>
      <w:r w:rsidRPr="00D217AC">
        <w:t>. London: Routledge, pp. 329–375.</w:t>
      </w:r>
    </w:p>
    <w:p w14:paraId="299DF812" w14:textId="77777777" w:rsidR="00B67F4E" w:rsidRDefault="00D217AC" w:rsidP="00B67F4E">
      <w:pPr>
        <w:pStyle w:val="NormalWeb"/>
        <w:spacing w:before="0" w:beforeAutospacing="0" w:after="0" w:afterAutospacing="0" w:line="480" w:lineRule="auto"/>
        <w:ind w:left="720" w:hanging="720"/>
      </w:pPr>
      <w:r w:rsidRPr="00D217AC">
        <w:t xml:space="preserve">Nussbaum, M. (1993) ‘Non-Relative Virtues’, in </w:t>
      </w:r>
      <w:r w:rsidRPr="00D217AC">
        <w:rPr>
          <w:i/>
          <w:iCs/>
        </w:rPr>
        <w:t>The Quality of Life</w:t>
      </w:r>
      <w:r w:rsidRPr="00D217AC">
        <w:t>. Oxford: Oxford University Press.</w:t>
      </w:r>
    </w:p>
    <w:p w14:paraId="60CE0804" w14:textId="77777777" w:rsidR="00B67F4E" w:rsidRDefault="00D217AC" w:rsidP="00B67F4E">
      <w:pPr>
        <w:pStyle w:val="NormalWeb"/>
        <w:spacing w:before="0" w:beforeAutospacing="0" w:after="0" w:afterAutospacing="0" w:line="480" w:lineRule="auto"/>
        <w:ind w:left="720" w:hanging="720"/>
      </w:pPr>
      <w:r w:rsidRPr="00D217AC">
        <w:t xml:space="preserve">Prinz, J. (2009) ‘The Normativity Challenge’, </w:t>
      </w:r>
      <w:r w:rsidRPr="00D217AC">
        <w:rPr>
          <w:i/>
          <w:iCs/>
        </w:rPr>
        <w:t>Journal of Ethics</w:t>
      </w:r>
      <w:r w:rsidRPr="00D217AC">
        <w:t>, 13, pp. 117–144.</w:t>
      </w:r>
    </w:p>
    <w:p w14:paraId="7D8A4AA2" w14:textId="77777777" w:rsidR="00B67F4E" w:rsidRDefault="00D217AC" w:rsidP="00B67F4E">
      <w:pPr>
        <w:pStyle w:val="NormalWeb"/>
        <w:spacing w:before="0" w:beforeAutospacing="0" w:after="0" w:afterAutospacing="0" w:line="480" w:lineRule="auto"/>
        <w:ind w:left="720" w:hanging="720"/>
      </w:pPr>
      <w:r w:rsidRPr="00D217AC">
        <w:t xml:space="preserve">Russell, D. (2009) </w:t>
      </w:r>
      <w:r w:rsidRPr="00D217AC">
        <w:rPr>
          <w:i/>
          <w:iCs/>
        </w:rPr>
        <w:t>Practical Intelligence and the Virtues</w:t>
      </w:r>
      <w:r w:rsidRPr="00D217AC">
        <w:t>. Oxford: Oxford University Press.</w:t>
      </w:r>
    </w:p>
    <w:p w14:paraId="70E1762F" w14:textId="77777777" w:rsidR="00B67F4E" w:rsidRDefault="00D217AC" w:rsidP="00B67F4E">
      <w:pPr>
        <w:pStyle w:val="NormalWeb"/>
        <w:spacing w:before="0" w:beforeAutospacing="0" w:after="0" w:afterAutospacing="0" w:line="480" w:lineRule="auto"/>
        <w:ind w:left="720" w:hanging="720"/>
      </w:pPr>
      <w:r w:rsidRPr="00D217AC">
        <w:t xml:space="preserve">Stichter, M. (2011) ‘Virtues, Skills, and Right Action’, </w:t>
      </w:r>
      <w:r w:rsidRPr="00D217AC">
        <w:rPr>
          <w:i/>
          <w:iCs/>
        </w:rPr>
        <w:t>Ethical Theory and Moral Practice</w:t>
      </w:r>
      <w:r w:rsidRPr="00D217AC">
        <w:t>, 14, pp. 73–86.</w:t>
      </w:r>
    </w:p>
    <w:p w14:paraId="53D57E85" w14:textId="5E2948FA" w:rsidR="00D217AC" w:rsidRPr="00D217AC" w:rsidRDefault="00D217AC" w:rsidP="00B67F4E">
      <w:pPr>
        <w:pStyle w:val="NormalWeb"/>
        <w:spacing w:before="0" w:beforeAutospacing="0" w:after="0" w:afterAutospacing="0" w:line="480" w:lineRule="auto"/>
        <w:ind w:left="720" w:hanging="720"/>
      </w:pPr>
      <w:r w:rsidRPr="00D217AC">
        <w:t xml:space="preserve">van Zyl, L. (2009) ‘Virtue Ethics and Action Guidance’, </w:t>
      </w:r>
      <w:r w:rsidRPr="00D217AC">
        <w:rPr>
          <w:i/>
          <w:iCs/>
        </w:rPr>
        <w:t>Journal of Moral Philosophy</w:t>
      </w:r>
      <w:r w:rsidRPr="00D217AC">
        <w:t>, 6(1), pp. 50–69.</w:t>
      </w:r>
    </w:p>
    <w:p w14:paraId="3959EA23" w14:textId="77777777" w:rsidR="001D4E9E" w:rsidRDefault="001D4E9E"/>
    <w:sectPr w:rsidR="001D4E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1F0845" w14:textId="77777777" w:rsidR="00092570" w:rsidRDefault="00092570" w:rsidP="004C234B">
      <w:pPr>
        <w:spacing w:after="0" w:line="240" w:lineRule="auto"/>
      </w:pPr>
      <w:r>
        <w:separator/>
      </w:r>
    </w:p>
  </w:endnote>
  <w:endnote w:type="continuationSeparator" w:id="0">
    <w:p w14:paraId="7A55DAC5" w14:textId="77777777" w:rsidR="00092570" w:rsidRDefault="00092570" w:rsidP="004C23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172D0F" w14:textId="77777777" w:rsidR="00092570" w:rsidRDefault="00092570" w:rsidP="004C234B">
      <w:pPr>
        <w:spacing w:after="0" w:line="240" w:lineRule="auto"/>
      </w:pPr>
      <w:r>
        <w:separator/>
      </w:r>
    </w:p>
  </w:footnote>
  <w:footnote w:type="continuationSeparator" w:id="0">
    <w:p w14:paraId="2B1C4B85" w14:textId="77777777" w:rsidR="00092570" w:rsidRDefault="00092570" w:rsidP="004C234B">
      <w:pPr>
        <w:spacing w:after="0" w:line="240" w:lineRule="auto"/>
      </w:pPr>
      <w:r>
        <w:continuationSeparator/>
      </w:r>
    </w:p>
  </w:footnote>
  <w:footnote w:id="1">
    <w:p w14:paraId="29315683" w14:textId="6821D25C" w:rsidR="00CA03AC" w:rsidRDefault="00CA03AC" w:rsidP="006B7AF5">
      <w:pPr>
        <w:pStyle w:val="NormalWeb"/>
        <w:spacing w:line="360" w:lineRule="auto"/>
        <w:jc w:val="both"/>
      </w:pPr>
      <w:r>
        <w:rPr>
          <w:rStyle w:val="FootnoteReference"/>
        </w:rPr>
        <w:footnoteRef/>
      </w:r>
      <w:r w:rsidR="006B7AF5" w:rsidRPr="006B7AF5">
        <w:rPr>
          <w:sz w:val="20"/>
          <w:szCs w:val="20"/>
        </w:rPr>
        <w:t xml:space="preserve">Aristotle (2009) </w:t>
      </w:r>
      <w:r w:rsidR="006B7AF5" w:rsidRPr="006B7AF5">
        <w:rPr>
          <w:i/>
          <w:iCs/>
          <w:sz w:val="20"/>
          <w:szCs w:val="20"/>
        </w:rPr>
        <w:t>Nicomachean Ethics</w:t>
      </w:r>
      <w:r w:rsidR="006B7AF5" w:rsidRPr="006B7AF5">
        <w:rPr>
          <w:sz w:val="20"/>
          <w:szCs w:val="20"/>
        </w:rPr>
        <w:t>. Oxford: Oxford University Press.</w:t>
      </w:r>
    </w:p>
  </w:footnote>
  <w:footnote w:id="2">
    <w:p w14:paraId="6CFFB9D6" w14:textId="2B2FA75D" w:rsidR="00CA03AC" w:rsidRPr="006B7AF5" w:rsidRDefault="00CA03AC" w:rsidP="006B7AF5">
      <w:pPr>
        <w:pStyle w:val="NormalWeb"/>
        <w:spacing w:line="360" w:lineRule="auto"/>
        <w:jc w:val="both"/>
      </w:pPr>
      <w:r w:rsidRPr="00051569">
        <w:rPr>
          <w:rStyle w:val="FootnoteReference"/>
          <w:sz w:val="20"/>
          <w:szCs w:val="20"/>
        </w:rPr>
        <w:footnoteRef/>
      </w:r>
      <w:r w:rsidRPr="00051569">
        <w:rPr>
          <w:sz w:val="20"/>
          <w:szCs w:val="20"/>
        </w:rPr>
        <w:t xml:space="preserve"> </w:t>
      </w:r>
      <w:r w:rsidR="006B7AF5" w:rsidRPr="006B7AF5">
        <w:rPr>
          <w:sz w:val="20"/>
          <w:szCs w:val="20"/>
        </w:rPr>
        <w:t xml:space="preserve">Aristotle (2009) </w:t>
      </w:r>
      <w:r w:rsidR="006B7AF5" w:rsidRPr="006B7AF5">
        <w:rPr>
          <w:i/>
          <w:iCs/>
          <w:sz w:val="20"/>
          <w:szCs w:val="20"/>
        </w:rPr>
        <w:t>Nicomachean Ethics</w:t>
      </w:r>
      <w:r w:rsidR="006B7AF5" w:rsidRPr="006B7AF5">
        <w:rPr>
          <w:sz w:val="20"/>
          <w:szCs w:val="20"/>
        </w:rPr>
        <w:t>. Oxford: Oxford University Press.</w:t>
      </w:r>
    </w:p>
  </w:footnote>
  <w:footnote w:id="3">
    <w:p w14:paraId="65ECBFCA" w14:textId="13F8559A" w:rsidR="00CA03AC" w:rsidRPr="006B7AF5" w:rsidRDefault="00CA03AC" w:rsidP="006B7AF5">
      <w:pPr>
        <w:pStyle w:val="NormalWeb"/>
        <w:spacing w:line="360" w:lineRule="auto"/>
        <w:jc w:val="both"/>
      </w:pPr>
      <w:r w:rsidRPr="00051569">
        <w:rPr>
          <w:rStyle w:val="FootnoteReference"/>
          <w:sz w:val="20"/>
          <w:szCs w:val="20"/>
        </w:rPr>
        <w:footnoteRef/>
      </w:r>
      <w:r w:rsidRPr="00051569">
        <w:rPr>
          <w:sz w:val="20"/>
          <w:szCs w:val="20"/>
        </w:rPr>
        <w:t xml:space="preserve"> </w:t>
      </w:r>
      <w:r w:rsidR="006B7AF5" w:rsidRPr="006B7AF5">
        <w:rPr>
          <w:sz w:val="20"/>
          <w:szCs w:val="20"/>
        </w:rPr>
        <w:t xml:space="preserve">Annas, J. (2011) </w:t>
      </w:r>
      <w:r w:rsidR="006B7AF5" w:rsidRPr="006B7AF5">
        <w:rPr>
          <w:i/>
          <w:iCs/>
          <w:sz w:val="20"/>
          <w:szCs w:val="20"/>
        </w:rPr>
        <w:t>Intelligent Virtue</w:t>
      </w:r>
      <w:r w:rsidR="006B7AF5" w:rsidRPr="006B7AF5">
        <w:rPr>
          <w:sz w:val="20"/>
          <w:szCs w:val="20"/>
        </w:rPr>
        <w:t>. Oxford: Oxford University Press.</w:t>
      </w:r>
    </w:p>
  </w:footnote>
  <w:footnote w:id="4">
    <w:p w14:paraId="3A2F9A73" w14:textId="772446C1" w:rsidR="00CA03AC" w:rsidRPr="006B7AF5" w:rsidRDefault="00CA03AC" w:rsidP="006B7AF5">
      <w:pPr>
        <w:pStyle w:val="NormalWeb"/>
        <w:spacing w:line="360" w:lineRule="auto"/>
        <w:jc w:val="both"/>
      </w:pPr>
      <w:r w:rsidRPr="00051569">
        <w:rPr>
          <w:rStyle w:val="FootnoteReference"/>
          <w:sz w:val="20"/>
          <w:szCs w:val="20"/>
        </w:rPr>
        <w:footnoteRef/>
      </w:r>
      <w:r w:rsidRPr="00051569">
        <w:rPr>
          <w:sz w:val="20"/>
          <w:szCs w:val="20"/>
        </w:rPr>
        <w:t xml:space="preserve"> </w:t>
      </w:r>
      <w:r w:rsidR="006B7AF5" w:rsidRPr="006B7AF5">
        <w:rPr>
          <w:sz w:val="20"/>
          <w:szCs w:val="20"/>
        </w:rPr>
        <w:t xml:space="preserve">Aristotle (2009) </w:t>
      </w:r>
      <w:r w:rsidR="006B7AF5" w:rsidRPr="006B7AF5">
        <w:rPr>
          <w:i/>
          <w:iCs/>
          <w:sz w:val="20"/>
          <w:szCs w:val="20"/>
        </w:rPr>
        <w:t>Nicomachean Ethics</w:t>
      </w:r>
      <w:r w:rsidR="006B7AF5" w:rsidRPr="006B7AF5">
        <w:rPr>
          <w:sz w:val="20"/>
          <w:szCs w:val="20"/>
        </w:rPr>
        <w:t>. Oxford: Oxford University Press.</w:t>
      </w:r>
    </w:p>
  </w:footnote>
  <w:footnote w:id="5">
    <w:p w14:paraId="14FE0412" w14:textId="1E44B3C3" w:rsidR="00CA03AC" w:rsidRPr="006B7AF5" w:rsidRDefault="00CA03AC" w:rsidP="006B7AF5">
      <w:pPr>
        <w:pStyle w:val="NormalWeb"/>
        <w:spacing w:line="360" w:lineRule="auto"/>
        <w:jc w:val="both"/>
      </w:pPr>
      <w:r w:rsidRPr="00051569">
        <w:rPr>
          <w:rStyle w:val="FootnoteReference"/>
          <w:sz w:val="20"/>
          <w:szCs w:val="20"/>
        </w:rPr>
        <w:footnoteRef/>
      </w:r>
      <w:r w:rsidRPr="00051569">
        <w:rPr>
          <w:sz w:val="20"/>
          <w:szCs w:val="20"/>
        </w:rPr>
        <w:t xml:space="preserve"> </w:t>
      </w:r>
      <w:r w:rsidR="006B7AF5" w:rsidRPr="006B7AF5">
        <w:rPr>
          <w:sz w:val="20"/>
          <w:szCs w:val="20"/>
        </w:rPr>
        <w:t xml:space="preserve">MacIntyre, A. (2007) </w:t>
      </w:r>
      <w:r w:rsidR="006B7AF5" w:rsidRPr="006B7AF5">
        <w:rPr>
          <w:i/>
          <w:iCs/>
          <w:sz w:val="20"/>
          <w:szCs w:val="20"/>
        </w:rPr>
        <w:t>After Virtue</w:t>
      </w:r>
      <w:r w:rsidR="006B7AF5" w:rsidRPr="006B7AF5">
        <w:rPr>
          <w:sz w:val="20"/>
          <w:szCs w:val="20"/>
        </w:rPr>
        <w:t>. London: Duckworth.</w:t>
      </w:r>
    </w:p>
  </w:footnote>
  <w:footnote w:id="6">
    <w:p w14:paraId="5DA7D255" w14:textId="77777777" w:rsidR="006B7AF5" w:rsidRPr="006F067A" w:rsidRDefault="00CA03AC" w:rsidP="006B7AF5">
      <w:pPr>
        <w:pStyle w:val="NormalWeb"/>
        <w:spacing w:line="360" w:lineRule="auto"/>
        <w:jc w:val="both"/>
      </w:pPr>
      <w:r w:rsidRPr="00051569">
        <w:rPr>
          <w:rStyle w:val="FootnoteReference"/>
          <w:sz w:val="20"/>
          <w:szCs w:val="20"/>
        </w:rPr>
        <w:footnoteRef/>
      </w:r>
      <w:r w:rsidRPr="00051569">
        <w:rPr>
          <w:sz w:val="20"/>
          <w:szCs w:val="20"/>
        </w:rPr>
        <w:t xml:space="preserve"> </w:t>
      </w:r>
      <w:r w:rsidR="006B7AF5" w:rsidRPr="006B7AF5">
        <w:rPr>
          <w:sz w:val="20"/>
          <w:szCs w:val="20"/>
        </w:rPr>
        <w:t xml:space="preserve">van Zyl, L. (2009) ‘Virtue Ethics and Action Guidance’, </w:t>
      </w:r>
      <w:r w:rsidR="006B7AF5" w:rsidRPr="006B7AF5">
        <w:rPr>
          <w:i/>
          <w:iCs/>
          <w:sz w:val="20"/>
          <w:szCs w:val="20"/>
        </w:rPr>
        <w:t>Journal of Moral Philosophy</w:t>
      </w:r>
      <w:r w:rsidR="006B7AF5" w:rsidRPr="006B7AF5">
        <w:rPr>
          <w:sz w:val="20"/>
          <w:szCs w:val="20"/>
        </w:rPr>
        <w:t>, 6(1), pp. 50–69.</w:t>
      </w:r>
    </w:p>
    <w:p w14:paraId="40F2E2AB" w14:textId="0A3CEEF5" w:rsidR="00CA03AC" w:rsidRDefault="00CA03AC" w:rsidP="00051569">
      <w:pPr>
        <w:pStyle w:val="FootnoteText"/>
      </w:pPr>
    </w:p>
  </w:footnote>
  <w:footnote w:id="7">
    <w:p w14:paraId="308D3000" w14:textId="0437DF66" w:rsidR="00CA03AC" w:rsidRPr="006B7AF5" w:rsidRDefault="00CA03AC" w:rsidP="006B7AF5">
      <w:pPr>
        <w:pStyle w:val="NormalWeb"/>
        <w:spacing w:line="360" w:lineRule="auto"/>
        <w:jc w:val="both"/>
      </w:pPr>
      <w:r w:rsidRPr="00051569">
        <w:rPr>
          <w:rStyle w:val="FootnoteReference"/>
          <w:sz w:val="20"/>
          <w:szCs w:val="20"/>
        </w:rPr>
        <w:footnoteRef/>
      </w:r>
      <w:r w:rsidRPr="00051569">
        <w:rPr>
          <w:sz w:val="20"/>
          <w:szCs w:val="20"/>
        </w:rPr>
        <w:t xml:space="preserve"> </w:t>
      </w:r>
      <w:r w:rsidR="006B7AF5" w:rsidRPr="006B7AF5">
        <w:rPr>
          <w:sz w:val="20"/>
          <w:szCs w:val="20"/>
        </w:rPr>
        <w:t xml:space="preserve">Kant, I. (2012) </w:t>
      </w:r>
      <w:r w:rsidR="006B7AF5" w:rsidRPr="006B7AF5">
        <w:rPr>
          <w:i/>
          <w:iCs/>
          <w:sz w:val="20"/>
          <w:szCs w:val="20"/>
        </w:rPr>
        <w:t>Groundwork of the Metaphysics of Morals</w:t>
      </w:r>
      <w:r w:rsidR="006B7AF5" w:rsidRPr="006B7AF5">
        <w:rPr>
          <w:sz w:val="20"/>
          <w:szCs w:val="20"/>
        </w:rPr>
        <w:t>. Cambridge: Cambridge University Press.</w:t>
      </w:r>
    </w:p>
  </w:footnote>
  <w:footnote w:id="8">
    <w:p w14:paraId="25CDAC8F" w14:textId="6B8E757F" w:rsidR="00CA03AC" w:rsidRPr="006B7AF5" w:rsidRDefault="00CA03AC" w:rsidP="006B7AF5">
      <w:pPr>
        <w:pStyle w:val="NormalWeb"/>
        <w:spacing w:line="360" w:lineRule="auto"/>
        <w:jc w:val="both"/>
      </w:pPr>
      <w:r w:rsidRPr="00051569">
        <w:rPr>
          <w:rStyle w:val="FootnoteReference"/>
          <w:sz w:val="20"/>
          <w:szCs w:val="20"/>
        </w:rPr>
        <w:footnoteRef/>
      </w:r>
      <w:r w:rsidRPr="00051569">
        <w:rPr>
          <w:sz w:val="20"/>
          <w:szCs w:val="20"/>
        </w:rPr>
        <w:t xml:space="preserve"> </w:t>
      </w:r>
      <w:r w:rsidR="006B7AF5" w:rsidRPr="006B7AF5">
        <w:rPr>
          <w:sz w:val="20"/>
          <w:szCs w:val="20"/>
        </w:rPr>
        <w:t xml:space="preserve">Mill, J.S. (2016) ‘Utilitarianism’, in </w:t>
      </w:r>
      <w:r w:rsidR="006B7AF5" w:rsidRPr="006B7AF5">
        <w:rPr>
          <w:i/>
          <w:iCs/>
          <w:sz w:val="20"/>
          <w:szCs w:val="20"/>
        </w:rPr>
        <w:t>Seven Masterpieces of Philosophy</w:t>
      </w:r>
      <w:r w:rsidR="006B7AF5" w:rsidRPr="006B7AF5">
        <w:rPr>
          <w:sz w:val="20"/>
          <w:szCs w:val="20"/>
        </w:rPr>
        <w:t>. London: Routledge, pp. 329–375.</w:t>
      </w:r>
    </w:p>
  </w:footnote>
  <w:footnote w:id="9">
    <w:p w14:paraId="39F67E98" w14:textId="15A51188" w:rsidR="00CA03AC" w:rsidRDefault="00CA03AC" w:rsidP="006B7AF5">
      <w:pPr>
        <w:pStyle w:val="NormalWeb"/>
        <w:spacing w:line="360" w:lineRule="auto"/>
        <w:jc w:val="both"/>
      </w:pPr>
      <w:r w:rsidRPr="00051569">
        <w:rPr>
          <w:rStyle w:val="FootnoteReference"/>
          <w:sz w:val="20"/>
          <w:szCs w:val="20"/>
        </w:rPr>
        <w:footnoteRef/>
      </w:r>
      <w:r w:rsidRPr="00051569">
        <w:rPr>
          <w:sz w:val="20"/>
          <w:szCs w:val="20"/>
        </w:rPr>
        <w:t xml:space="preserve"> </w:t>
      </w:r>
      <w:proofErr w:type="spellStart"/>
      <w:r w:rsidR="006F067A" w:rsidRPr="006F067A">
        <w:rPr>
          <w:sz w:val="20"/>
          <w:szCs w:val="20"/>
        </w:rPr>
        <w:t>Hursthouse</w:t>
      </w:r>
      <w:proofErr w:type="spellEnd"/>
      <w:r w:rsidR="006F067A" w:rsidRPr="006F067A">
        <w:rPr>
          <w:sz w:val="20"/>
          <w:szCs w:val="20"/>
        </w:rPr>
        <w:t xml:space="preserve">, R. (1999) </w:t>
      </w:r>
      <w:r w:rsidR="006F067A" w:rsidRPr="006F067A">
        <w:rPr>
          <w:i/>
          <w:iCs/>
          <w:sz w:val="20"/>
          <w:szCs w:val="20"/>
        </w:rPr>
        <w:t>On Virtue Ethics</w:t>
      </w:r>
      <w:r w:rsidR="006F067A" w:rsidRPr="006F067A">
        <w:rPr>
          <w:sz w:val="20"/>
          <w:szCs w:val="20"/>
        </w:rPr>
        <w:t>. Oxford: Oxford University Press.</w:t>
      </w:r>
    </w:p>
  </w:footnote>
  <w:footnote w:id="10">
    <w:p w14:paraId="70F684E4" w14:textId="15854C80" w:rsidR="00051569" w:rsidRPr="006F067A" w:rsidRDefault="00051569" w:rsidP="006F067A">
      <w:pPr>
        <w:pStyle w:val="NormalWeb"/>
        <w:spacing w:line="360" w:lineRule="auto"/>
        <w:jc w:val="both"/>
      </w:pPr>
      <w:r w:rsidRPr="00051569">
        <w:rPr>
          <w:rStyle w:val="FootnoteReference"/>
          <w:sz w:val="20"/>
          <w:szCs w:val="20"/>
        </w:rPr>
        <w:footnoteRef/>
      </w:r>
      <w:r w:rsidRPr="00051569">
        <w:rPr>
          <w:sz w:val="20"/>
          <w:szCs w:val="20"/>
        </w:rPr>
        <w:t xml:space="preserve"> </w:t>
      </w:r>
      <w:r w:rsidR="006F067A" w:rsidRPr="006F067A">
        <w:rPr>
          <w:sz w:val="20"/>
          <w:szCs w:val="20"/>
        </w:rPr>
        <w:t xml:space="preserve">Russell, D. (2009) </w:t>
      </w:r>
      <w:r w:rsidR="006F067A" w:rsidRPr="006F067A">
        <w:rPr>
          <w:i/>
          <w:iCs/>
          <w:sz w:val="20"/>
          <w:szCs w:val="20"/>
        </w:rPr>
        <w:t>Practical Intelligence and the Virtues</w:t>
      </w:r>
      <w:r w:rsidR="006F067A" w:rsidRPr="006F067A">
        <w:rPr>
          <w:sz w:val="20"/>
          <w:szCs w:val="20"/>
        </w:rPr>
        <w:t>. Oxford: Oxford University Press.</w:t>
      </w:r>
    </w:p>
  </w:footnote>
  <w:footnote w:id="11">
    <w:p w14:paraId="32CABD73" w14:textId="2F57DBD5" w:rsidR="00051569" w:rsidRPr="006F067A" w:rsidRDefault="00051569" w:rsidP="006F067A">
      <w:pPr>
        <w:pStyle w:val="NormalWeb"/>
        <w:spacing w:line="360" w:lineRule="auto"/>
        <w:jc w:val="both"/>
      </w:pPr>
      <w:r w:rsidRPr="00051569">
        <w:rPr>
          <w:rStyle w:val="FootnoteReference"/>
          <w:sz w:val="20"/>
          <w:szCs w:val="20"/>
        </w:rPr>
        <w:footnoteRef/>
      </w:r>
      <w:r w:rsidRPr="00051569">
        <w:rPr>
          <w:sz w:val="20"/>
          <w:szCs w:val="20"/>
        </w:rPr>
        <w:t xml:space="preserve"> </w:t>
      </w:r>
      <w:r w:rsidR="006F067A" w:rsidRPr="006F067A">
        <w:rPr>
          <w:sz w:val="20"/>
          <w:szCs w:val="20"/>
        </w:rPr>
        <w:t xml:space="preserve">Stichter, M. (2011) ‘Virtues, Skills, and Right Action’, </w:t>
      </w:r>
      <w:r w:rsidR="006F067A" w:rsidRPr="006F067A">
        <w:rPr>
          <w:i/>
          <w:iCs/>
          <w:sz w:val="20"/>
          <w:szCs w:val="20"/>
        </w:rPr>
        <w:t>Ethical Theory and Moral Practice</w:t>
      </w:r>
      <w:r w:rsidR="006F067A" w:rsidRPr="006F067A">
        <w:rPr>
          <w:sz w:val="20"/>
          <w:szCs w:val="20"/>
        </w:rPr>
        <w:t>, 14, pp. 73–86.</w:t>
      </w:r>
    </w:p>
  </w:footnote>
  <w:footnote w:id="12">
    <w:p w14:paraId="54F284D4" w14:textId="69EDB14C" w:rsidR="00051569" w:rsidRPr="00051569" w:rsidRDefault="00051569" w:rsidP="006B7AF5">
      <w:pPr>
        <w:pStyle w:val="NormalWeb"/>
        <w:spacing w:line="360" w:lineRule="auto"/>
        <w:jc w:val="both"/>
      </w:pPr>
      <w:r w:rsidRPr="00051569">
        <w:rPr>
          <w:rStyle w:val="FootnoteReference"/>
          <w:sz w:val="20"/>
          <w:szCs w:val="20"/>
        </w:rPr>
        <w:footnoteRef/>
      </w:r>
      <w:r w:rsidRPr="00051569">
        <w:rPr>
          <w:sz w:val="20"/>
          <w:szCs w:val="20"/>
        </w:rPr>
        <w:t xml:space="preserve"> </w:t>
      </w:r>
      <w:r w:rsidR="006F067A" w:rsidRPr="006F067A">
        <w:rPr>
          <w:sz w:val="20"/>
          <w:szCs w:val="20"/>
        </w:rPr>
        <w:t xml:space="preserve">Prinz, J. (2009) ‘The Normativity Challenge’, </w:t>
      </w:r>
      <w:r w:rsidR="006F067A" w:rsidRPr="006F067A">
        <w:rPr>
          <w:i/>
          <w:iCs/>
          <w:sz w:val="20"/>
          <w:szCs w:val="20"/>
        </w:rPr>
        <w:t>Journal of Ethics</w:t>
      </w:r>
      <w:r w:rsidR="006F067A" w:rsidRPr="006F067A">
        <w:rPr>
          <w:sz w:val="20"/>
          <w:szCs w:val="20"/>
        </w:rPr>
        <w:t>, 13, pp. 117–144.</w:t>
      </w:r>
    </w:p>
  </w:footnote>
  <w:footnote w:id="13">
    <w:p w14:paraId="7F627C4D" w14:textId="5413E98D" w:rsidR="00051569" w:rsidRPr="006F067A" w:rsidRDefault="00051569" w:rsidP="006F067A">
      <w:pPr>
        <w:pStyle w:val="NormalWeb"/>
        <w:spacing w:line="360" w:lineRule="auto"/>
        <w:jc w:val="both"/>
        <w:rPr>
          <w:sz w:val="20"/>
          <w:szCs w:val="20"/>
        </w:rPr>
      </w:pPr>
      <w:r w:rsidRPr="006F067A">
        <w:rPr>
          <w:rStyle w:val="FootnoteReference"/>
          <w:sz w:val="20"/>
          <w:szCs w:val="20"/>
        </w:rPr>
        <w:footnoteRef/>
      </w:r>
      <w:r w:rsidRPr="006F067A">
        <w:rPr>
          <w:sz w:val="20"/>
          <w:szCs w:val="20"/>
        </w:rPr>
        <w:t xml:space="preserve"> </w:t>
      </w:r>
      <w:r w:rsidR="006F067A" w:rsidRPr="006F067A">
        <w:rPr>
          <w:sz w:val="20"/>
          <w:szCs w:val="20"/>
        </w:rPr>
        <w:t xml:space="preserve">Doris, J. (1998) ‘Persons, Situations and Virtue Ethics’, </w:t>
      </w:r>
      <w:proofErr w:type="spellStart"/>
      <w:r w:rsidR="006F067A" w:rsidRPr="006F067A">
        <w:rPr>
          <w:i/>
          <w:iCs/>
          <w:sz w:val="20"/>
          <w:szCs w:val="20"/>
        </w:rPr>
        <w:t>Noûs</w:t>
      </w:r>
      <w:proofErr w:type="spellEnd"/>
      <w:r w:rsidR="006F067A" w:rsidRPr="006F067A">
        <w:rPr>
          <w:sz w:val="20"/>
          <w:szCs w:val="20"/>
        </w:rPr>
        <w:t>, 32(4), pp. 504–530.</w:t>
      </w:r>
    </w:p>
  </w:footnote>
  <w:footnote w:id="14">
    <w:p w14:paraId="7956CF53" w14:textId="184CD6A6" w:rsidR="00051569" w:rsidRPr="00051569" w:rsidRDefault="00051569" w:rsidP="006F067A">
      <w:pPr>
        <w:pStyle w:val="NormalWeb"/>
        <w:spacing w:line="360" w:lineRule="auto"/>
        <w:jc w:val="both"/>
        <w:rPr>
          <w:sz w:val="20"/>
          <w:szCs w:val="20"/>
        </w:rPr>
      </w:pPr>
      <w:r w:rsidRPr="006F067A">
        <w:rPr>
          <w:rStyle w:val="FootnoteReference"/>
          <w:sz w:val="20"/>
          <w:szCs w:val="20"/>
        </w:rPr>
        <w:footnoteRef/>
      </w:r>
      <w:r w:rsidRPr="006F067A">
        <w:rPr>
          <w:sz w:val="20"/>
          <w:szCs w:val="20"/>
        </w:rPr>
        <w:t xml:space="preserve"> </w:t>
      </w:r>
      <w:r w:rsidR="006F067A" w:rsidRPr="006F067A">
        <w:rPr>
          <w:sz w:val="20"/>
          <w:szCs w:val="20"/>
        </w:rPr>
        <w:t xml:space="preserve">Foot, P. (2001) </w:t>
      </w:r>
      <w:r w:rsidR="006F067A" w:rsidRPr="006F067A">
        <w:rPr>
          <w:i/>
          <w:iCs/>
          <w:sz w:val="20"/>
          <w:szCs w:val="20"/>
        </w:rPr>
        <w:t>Natural Goodness</w:t>
      </w:r>
      <w:r w:rsidR="006F067A" w:rsidRPr="006F067A">
        <w:rPr>
          <w:sz w:val="20"/>
          <w:szCs w:val="20"/>
        </w:rPr>
        <w:t>. Oxford: Clarendon Press.</w:t>
      </w:r>
    </w:p>
  </w:footnote>
  <w:footnote w:id="15">
    <w:p w14:paraId="2CA72357" w14:textId="6E78F3EF" w:rsidR="00051569" w:rsidRPr="00051569" w:rsidRDefault="00051569" w:rsidP="006F067A">
      <w:pPr>
        <w:pStyle w:val="NormalWeb"/>
        <w:spacing w:line="360" w:lineRule="auto"/>
        <w:jc w:val="both"/>
        <w:rPr>
          <w:sz w:val="20"/>
          <w:szCs w:val="20"/>
        </w:rPr>
      </w:pPr>
      <w:r w:rsidRPr="006F067A">
        <w:rPr>
          <w:rStyle w:val="FootnoteReference"/>
          <w:sz w:val="20"/>
          <w:szCs w:val="20"/>
        </w:rPr>
        <w:footnoteRef/>
      </w:r>
      <w:r w:rsidRPr="006F067A">
        <w:rPr>
          <w:sz w:val="20"/>
          <w:szCs w:val="20"/>
        </w:rPr>
        <w:t xml:space="preserve"> </w:t>
      </w:r>
      <w:r w:rsidR="006F067A" w:rsidRPr="006F067A">
        <w:rPr>
          <w:sz w:val="20"/>
          <w:szCs w:val="20"/>
        </w:rPr>
        <w:t xml:space="preserve">Nussbaum, M. (1993) ‘Non-Relative Virtues’, in </w:t>
      </w:r>
      <w:r w:rsidR="006F067A" w:rsidRPr="006F067A">
        <w:rPr>
          <w:i/>
          <w:iCs/>
          <w:sz w:val="20"/>
          <w:szCs w:val="20"/>
        </w:rPr>
        <w:t>The Quality of Life</w:t>
      </w:r>
      <w:r w:rsidR="006F067A" w:rsidRPr="006F067A">
        <w:rPr>
          <w:sz w:val="20"/>
          <w:szCs w:val="20"/>
        </w:rPr>
        <w:t>. Oxford: Oxford University Press.</w:t>
      </w:r>
    </w:p>
  </w:footnote>
  <w:footnote w:id="16">
    <w:p w14:paraId="716C121E" w14:textId="5EB7A738" w:rsidR="00051569" w:rsidRPr="006B7AF5" w:rsidRDefault="00051569" w:rsidP="006B7AF5">
      <w:pPr>
        <w:pStyle w:val="NormalWeb"/>
        <w:spacing w:line="360" w:lineRule="auto"/>
        <w:jc w:val="both"/>
      </w:pPr>
      <w:r w:rsidRPr="00051569">
        <w:rPr>
          <w:rStyle w:val="FootnoteReference"/>
          <w:sz w:val="20"/>
          <w:szCs w:val="20"/>
        </w:rPr>
        <w:footnoteRef/>
      </w:r>
      <w:r w:rsidRPr="00051569">
        <w:rPr>
          <w:sz w:val="20"/>
          <w:szCs w:val="20"/>
        </w:rPr>
        <w:t xml:space="preserve"> </w:t>
      </w:r>
      <w:r w:rsidR="006F067A" w:rsidRPr="006F067A">
        <w:rPr>
          <w:sz w:val="20"/>
          <w:szCs w:val="20"/>
        </w:rPr>
        <w:t xml:space="preserve">McAleer, S. (2010) ‘Four Solutions to the Alleged Incompleteness of Virtue Ethics’, </w:t>
      </w:r>
      <w:r w:rsidR="006F067A" w:rsidRPr="006F067A">
        <w:rPr>
          <w:i/>
          <w:iCs/>
          <w:sz w:val="20"/>
          <w:szCs w:val="20"/>
        </w:rPr>
        <w:t>Journal of Ethics and Social Philosophy</w:t>
      </w:r>
      <w:r w:rsidR="006F067A" w:rsidRPr="006F067A">
        <w:rPr>
          <w:sz w:val="20"/>
          <w:szCs w:val="20"/>
        </w:rPr>
        <w:t>, 4(3).</w:t>
      </w:r>
    </w:p>
    <w:p w14:paraId="05A64355" w14:textId="59FFF7B7" w:rsidR="00051569" w:rsidRDefault="00051569">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D43E4"/>
    <w:multiLevelType w:val="multilevel"/>
    <w:tmpl w:val="79BE0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8B971A2"/>
    <w:multiLevelType w:val="multilevel"/>
    <w:tmpl w:val="25F20A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8678087">
    <w:abstractNumId w:val="0"/>
  </w:num>
  <w:num w:numId="2" w16cid:durableId="771010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983"/>
    <w:rsid w:val="00051569"/>
    <w:rsid w:val="0006715D"/>
    <w:rsid w:val="000704B5"/>
    <w:rsid w:val="00092570"/>
    <w:rsid w:val="000A7A37"/>
    <w:rsid w:val="00110A30"/>
    <w:rsid w:val="001A2640"/>
    <w:rsid w:val="001A2983"/>
    <w:rsid w:val="001C1219"/>
    <w:rsid w:val="001D4E9E"/>
    <w:rsid w:val="0026570A"/>
    <w:rsid w:val="00350672"/>
    <w:rsid w:val="00385702"/>
    <w:rsid w:val="003A370A"/>
    <w:rsid w:val="003C7244"/>
    <w:rsid w:val="00491668"/>
    <w:rsid w:val="004C234B"/>
    <w:rsid w:val="00502715"/>
    <w:rsid w:val="00527DD4"/>
    <w:rsid w:val="0063526E"/>
    <w:rsid w:val="00686E9F"/>
    <w:rsid w:val="006B17D0"/>
    <w:rsid w:val="006B7AF5"/>
    <w:rsid w:val="006F067A"/>
    <w:rsid w:val="008B2C88"/>
    <w:rsid w:val="008C05E2"/>
    <w:rsid w:val="008E64D1"/>
    <w:rsid w:val="0094185B"/>
    <w:rsid w:val="00950ECD"/>
    <w:rsid w:val="009E5106"/>
    <w:rsid w:val="00A05DDB"/>
    <w:rsid w:val="00A67C40"/>
    <w:rsid w:val="00AD7490"/>
    <w:rsid w:val="00B12687"/>
    <w:rsid w:val="00B2541D"/>
    <w:rsid w:val="00B6451A"/>
    <w:rsid w:val="00B67F4E"/>
    <w:rsid w:val="00B95CF7"/>
    <w:rsid w:val="00C13DF1"/>
    <w:rsid w:val="00C35DC0"/>
    <w:rsid w:val="00CA03AC"/>
    <w:rsid w:val="00CC78C0"/>
    <w:rsid w:val="00D11A2E"/>
    <w:rsid w:val="00D217AC"/>
    <w:rsid w:val="00D46306"/>
    <w:rsid w:val="00DC7671"/>
    <w:rsid w:val="00DD5746"/>
    <w:rsid w:val="00DE4A50"/>
    <w:rsid w:val="00EA0B72"/>
    <w:rsid w:val="00F13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A90567"/>
  <w15:chartTrackingRefBased/>
  <w15:docId w15:val="{57AE173B-C75C-4C78-85D8-4F6999244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9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29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29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29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29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29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29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29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29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9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29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29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29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29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29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29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29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2983"/>
    <w:rPr>
      <w:rFonts w:eastAsiaTheme="majorEastAsia" w:cstheme="majorBidi"/>
      <w:color w:val="272727" w:themeColor="text1" w:themeTint="D8"/>
    </w:rPr>
  </w:style>
  <w:style w:type="paragraph" w:styleId="Title">
    <w:name w:val="Title"/>
    <w:basedOn w:val="Normal"/>
    <w:next w:val="Normal"/>
    <w:link w:val="TitleChar"/>
    <w:uiPriority w:val="10"/>
    <w:qFormat/>
    <w:rsid w:val="001A29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9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9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9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2983"/>
    <w:pPr>
      <w:spacing w:before="160"/>
      <w:jc w:val="center"/>
    </w:pPr>
    <w:rPr>
      <w:i/>
      <w:iCs/>
      <w:color w:val="404040" w:themeColor="text1" w:themeTint="BF"/>
    </w:rPr>
  </w:style>
  <w:style w:type="character" w:customStyle="1" w:styleId="QuoteChar">
    <w:name w:val="Quote Char"/>
    <w:basedOn w:val="DefaultParagraphFont"/>
    <w:link w:val="Quote"/>
    <w:uiPriority w:val="29"/>
    <w:rsid w:val="001A2983"/>
    <w:rPr>
      <w:i/>
      <w:iCs/>
      <w:color w:val="404040" w:themeColor="text1" w:themeTint="BF"/>
    </w:rPr>
  </w:style>
  <w:style w:type="paragraph" w:styleId="ListParagraph">
    <w:name w:val="List Paragraph"/>
    <w:basedOn w:val="Normal"/>
    <w:uiPriority w:val="34"/>
    <w:qFormat/>
    <w:rsid w:val="001A2983"/>
    <w:pPr>
      <w:ind w:left="720"/>
      <w:contextualSpacing/>
    </w:pPr>
  </w:style>
  <w:style w:type="character" w:styleId="IntenseEmphasis">
    <w:name w:val="Intense Emphasis"/>
    <w:basedOn w:val="DefaultParagraphFont"/>
    <w:uiPriority w:val="21"/>
    <w:qFormat/>
    <w:rsid w:val="001A2983"/>
    <w:rPr>
      <w:i/>
      <w:iCs/>
      <w:color w:val="0F4761" w:themeColor="accent1" w:themeShade="BF"/>
    </w:rPr>
  </w:style>
  <w:style w:type="paragraph" w:styleId="IntenseQuote">
    <w:name w:val="Intense Quote"/>
    <w:basedOn w:val="Normal"/>
    <w:next w:val="Normal"/>
    <w:link w:val="IntenseQuoteChar"/>
    <w:uiPriority w:val="30"/>
    <w:qFormat/>
    <w:rsid w:val="001A29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2983"/>
    <w:rPr>
      <w:i/>
      <w:iCs/>
      <w:color w:val="0F4761" w:themeColor="accent1" w:themeShade="BF"/>
    </w:rPr>
  </w:style>
  <w:style w:type="character" w:styleId="IntenseReference">
    <w:name w:val="Intense Reference"/>
    <w:basedOn w:val="DefaultParagraphFont"/>
    <w:uiPriority w:val="32"/>
    <w:qFormat/>
    <w:rsid w:val="001A2983"/>
    <w:rPr>
      <w:b/>
      <w:bCs/>
      <w:smallCaps/>
      <w:color w:val="0F4761" w:themeColor="accent1" w:themeShade="BF"/>
      <w:spacing w:val="5"/>
    </w:rPr>
  </w:style>
  <w:style w:type="paragraph" w:styleId="NormalWeb">
    <w:name w:val="Normal (Web)"/>
    <w:basedOn w:val="Normal"/>
    <w:uiPriority w:val="99"/>
    <w:unhideWhenUsed/>
    <w:rsid w:val="00D217A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26570A"/>
    <w:rPr>
      <w:i/>
      <w:iCs/>
    </w:rPr>
  </w:style>
  <w:style w:type="paragraph" w:styleId="FootnoteText">
    <w:name w:val="footnote text"/>
    <w:basedOn w:val="Normal"/>
    <w:link w:val="FootnoteTextChar"/>
    <w:uiPriority w:val="99"/>
    <w:semiHidden/>
    <w:unhideWhenUsed/>
    <w:rsid w:val="004C234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234B"/>
    <w:rPr>
      <w:sz w:val="20"/>
      <w:szCs w:val="20"/>
    </w:rPr>
  </w:style>
  <w:style w:type="character" w:styleId="FootnoteReference">
    <w:name w:val="footnote reference"/>
    <w:basedOn w:val="DefaultParagraphFont"/>
    <w:uiPriority w:val="99"/>
    <w:semiHidden/>
    <w:unhideWhenUsed/>
    <w:rsid w:val="004C234B"/>
    <w:rPr>
      <w:vertAlign w:val="superscript"/>
    </w:rPr>
  </w:style>
  <w:style w:type="character" w:customStyle="1" w:styleId="url">
    <w:name w:val="url"/>
    <w:basedOn w:val="DefaultParagraphFont"/>
    <w:rsid w:val="00B67F4E"/>
  </w:style>
  <w:style w:type="character" w:styleId="Hyperlink">
    <w:name w:val="Hyperlink"/>
    <w:basedOn w:val="DefaultParagraphFont"/>
    <w:uiPriority w:val="99"/>
    <w:unhideWhenUsed/>
    <w:rsid w:val="00B67F4E"/>
    <w:rPr>
      <w:color w:val="467886" w:themeColor="hyperlink"/>
      <w:u w:val="single"/>
    </w:rPr>
  </w:style>
  <w:style w:type="character" w:styleId="UnresolvedMention">
    <w:name w:val="Unresolved Mention"/>
    <w:basedOn w:val="DefaultParagraphFont"/>
    <w:uiPriority w:val="99"/>
    <w:semiHidden/>
    <w:unhideWhenUsed/>
    <w:rsid w:val="00B67F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9BC9C2-E9F7-49A1-ABFA-61CC3FAD7B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1963</Words>
  <Characters>11193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Lis</dc:creator>
  <cp:keywords/>
  <dc:description/>
  <cp:lastModifiedBy>Alina Lis</cp:lastModifiedBy>
  <cp:revision>2</cp:revision>
  <dcterms:created xsi:type="dcterms:W3CDTF">2026-05-07T18:42:00Z</dcterms:created>
  <dcterms:modified xsi:type="dcterms:W3CDTF">2026-05-07T18:42:00Z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9debf79d-d727-484f-84a0-9912435b2495</vt:lpwstr>
  </property>
</Properties>
</file>