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645491D" w14:textId="77777777" w:rsidR="008444CE" w:rsidRPr="008444CE" w:rsidRDefault="008444CE" w:rsidP="008444CE">
      <w:pPr>
        <w:spacing w:before="240"/>
        <w:jc w:val="center"/>
        <w:rPr>
          <w:b/>
          <w:sz w:val="32"/>
        </w:rPr>
      </w:pPr>
      <w:r w:rsidRPr="008444CE">
        <w:rPr>
          <w:b/>
          <w:sz w:val="32"/>
        </w:rPr>
        <w:t xml:space="preserve">Module: LCBB4009 – Understanding </w:t>
      </w:r>
      <w:proofErr w:type="spellStart"/>
      <w:r w:rsidRPr="008444CE">
        <w:rPr>
          <w:b/>
          <w:sz w:val="32"/>
        </w:rPr>
        <w:t>Organisational</w:t>
      </w:r>
      <w:proofErr w:type="spellEnd"/>
      <w:r w:rsidRPr="008444CE">
        <w:rPr>
          <w:b/>
          <w:sz w:val="32"/>
        </w:rPr>
        <w:t xml:space="preserve"> Structure and Culture</w:t>
      </w:r>
    </w:p>
    <w:p w14:paraId="7B12AA55" w14:textId="77777777" w:rsidR="008444CE" w:rsidRPr="008444CE" w:rsidRDefault="008444CE" w:rsidP="008444CE">
      <w:pPr>
        <w:spacing w:before="240"/>
        <w:jc w:val="center"/>
        <w:rPr>
          <w:b/>
          <w:sz w:val="32"/>
        </w:rPr>
      </w:pPr>
    </w:p>
    <w:p w14:paraId="161D860D" w14:textId="77777777" w:rsidR="008444CE" w:rsidRPr="008444CE" w:rsidRDefault="008444CE" w:rsidP="008444CE">
      <w:pPr>
        <w:spacing w:before="240"/>
        <w:jc w:val="center"/>
        <w:rPr>
          <w:b/>
          <w:sz w:val="32"/>
        </w:rPr>
      </w:pPr>
      <w:r w:rsidRPr="008444CE">
        <w:rPr>
          <w:b/>
          <w:sz w:val="32"/>
        </w:rPr>
        <w:t>Component 1: Individual Presentation</w:t>
      </w:r>
    </w:p>
    <w:p w14:paraId="05AC6E47" w14:textId="77777777" w:rsidR="008444CE" w:rsidRPr="008444CE" w:rsidRDefault="008444CE" w:rsidP="008444CE">
      <w:pPr>
        <w:spacing w:before="240"/>
        <w:jc w:val="center"/>
        <w:rPr>
          <w:b/>
          <w:sz w:val="32"/>
        </w:rPr>
      </w:pPr>
    </w:p>
    <w:p w14:paraId="430F4D32" w14:textId="77777777" w:rsidR="008444CE" w:rsidRPr="008444CE" w:rsidRDefault="008444CE" w:rsidP="008444CE">
      <w:pPr>
        <w:spacing w:before="240"/>
        <w:jc w:val="center"/>
        <w:rPr>
          <w:b/>
        </w:rPr>
      </w:pPr>
      <w:r w:rsidRPr="008444CE">
        <w:rPr>
          <w:b/>
          <w:sz w:val="32"/>
        </w:rPr>
        <w:t xml:space="preserve">Title:  Three Ways of Designing </w:t>
      </w:r>
      <w:proofErr w:type="spellStart"/>
      <w:r w:rsidRPr="008444CE">
        <w:rPr>
          <w:b/>
          <w:sz w:val="32"/>
        </w:rPr>
        <w:t>Organisational</w:t>
      </w:r>
      <w:proofErr w:type="spellEnd"/>
      <w:r w:rsidRPr="008444CE">
        <w:rPr>
          <w:b/>
          <w:sz w:val="32"/>
        </w:rPr>
        <w:t xml:space="preserve"> Structure: A Case Study of Marks &amp; Spencer plc</w:t>
      </w:r>
    </w:p>
    <w:p w14:paraId="3D1141DE" w14:textId="77777777" w:rsidR="008444CE" w:rsidRPr="008444CE" w:rsidRDefault="008444CE" w:rsidP="008444CE">
      <w:pPr>
        <w:spacing w:before="240"/>
        <w:jc w:val="center"/>
        <w:rPr>
          <w:b/>
          <w:sz w:val="32"/>
        </w:rPr>
      </w:pPr>
    </w:p>
    <w:p w14:paraId="5A18BF28" w14:textId="77777777" w:rsidR="008444CE" w:rsidRPr="008444CE" w:rsidRDefault="008444CE" w:rsidP="008444CE">
      <w:pPr>
        <w:spacing w:before="240"/>
        <w:jc w:val="center"/>
        <w:rPr>
          <w:b/>
          <w:sz w:val="32"/>
        </w:rPr>
      </w:pPr>
    </w:p>
    <w:p w14:paraId="026A55C0" w14:textId="4470167F" w:rsidR="00F570EF" w:rsidRPr="008444CE" w:rsidRDefault="008444CE" w:rsidP="008444CE">
      <w:pPr>
        <w:spacing w:before="240"/>
        <w:jc w:val="center"/>
        <w:rPr>
          <w:b/>
          <w:sz w:val="32"/>
        </w:rPr>
      </w:pPr>
      <w:r w:rsidRPr="008444CE">
        <w:rPr>
          <w:b/>
          <w:sz w:val="32"/>
        </w:rPr>
        <w:t xml:space="preserve">Student: </w:t>
      </w:r>
      <w:r w:rsidR="004C205C">
        <w:rPr>
          <w:b/>
          <w:sz w:val="32"/>
        </w:rPr>
        <w:t>Dumitru Raducanu</w:t>
      </w:r>
    </w:p>
    <w:p w14:paraId="44684FA9" w14:textId="118E8DDE" w:rsidR="008444CE" w:rsidRDefault="008444CE" w:rsidP="008444CE">
      <w:pPr>
        <w:spacing w:before="240"/>
        <w:jc w:val="center"/>
        <w:rPr>
          <w:b/>
          <w:sz w:val="32"/>
        </w:rPr>
      </w:pPr>
      <w:r w:rsidRPr="008444CE">
        <w:rPr>
          <w:b/>
          <w:sz w:val="32"/>
        </w:rPr>
        <w:t>Student ID</w:t>
      </w:r>
      <w:r>
        <w:rPr>
          <w:b/>
          <w:sz w:val="32"/>
        </w:rPr>
        <w:t xml:space="preserve">: </w:t>
      </w:r>
      <w:r w:rsidR="008731B4">
        <w:rPr>
          <w:b/>
          <w:sz w:val="32"/>
        </w:rPr>
        <w:t>25</w:t>
      </w:r>
      <w:r w:rsidR="008133D9">
        <w:rPr>
          <w:b/>
          <w:sz w:val="32"/>
        </w:rPr>
        <w:t>32880</w:t>
      </w:r>
    </w:p>
    <w:p w14:paraId="70C4E6FA" w14:textId="77777777" w:rsidR="008444CE" w:rsidRDefault="008444CE">
      <w:pPr>
        <w:spacing w:after="160" w:line="259" w:lineRule="auto"/>
        <w:jc w:val="left"/>
        <w:rPr>
          <w:b/>
          <w:sz w:val="32"/>
        </w:rPr>
      </w:pPr>
      <w:r>
        <w:rPr>
          <w:b/>
          <w:sz w:val="32"/>
        </w:rPr>
        <w:br w:type="page"/>
      </w:r>
    </w:p>
    <w:p w14:paraId="4CDDFAD5" w14:textId="77777777" w:rsidR="008444CE" w:rsidRPr="008444CE" w:rsidRDefault="008444CE" w:rsidP="008444CE">
      <w:pPr>
        <w:spacing w:before="240"/>
        <w:jc w:val="center"/>
        <w:rPr>
          <w:b/>
        </w:rPr>
      </w:pPr>
      <w:r w:rsidRPr="008444CE">
        <w:rPr>
          <w:b/>
          <w:sz w:val="32"/>
        </w:rPr>
        <w:t xml:space="preserve">Title:  Three Ways of Designing </w:t>
      </w:r>
      <w:proofErr w:type="spellStart"/>
      <w:r w:rsidRPr="008444CE">
        <w:rPr>
          <w:b/>
          <w:sz w:val="32"/>
        </w:rPr>
        <w:t>Organisational</w:t>
      </w:r>
      <w:proofErr w:type="spellEnd"/>
      <w:r w:rsidRPr="008444CE">
        <w:rPr>
          <w:b/>
          <w:sz w:val="32"/>
        </w:rPr>
        <w:t xml:space="preserve"> Structure: A Case Study of Marks &amp; Spencer plc</w:t>
      </w:r>
    </w:p>
    <w:p w14:paraId="7AEC9A83" w14:textId="48E66786" w:rsidR="008444CE" w:rsidRDefault="00FD0C75">
      <w:pPr>
        <w:spacing w:after="160" w:line="259" w:lineRule="auto"/>
        <w:jc w:val="left"/>
        <w:rPr>
          <w:b/>
          <w:bCs/>
          <w:color w:val="002060"/>
          <w:sz w:val="32"/>
          <w:szCs w:val="28"/>
        </w:rPr>
      </w:pPr>
      <w:r w:rsidRPr="00FD0C75">
        <w:rPr>
          <w:noProof/>
        </w:rPr>
        <w:drawing>
          <wp:inline distT="0" distB="0" distL="0" distR="0" wp14:anchorId="4A1E6EA6" wp14:editId="0C87B086">
            <wp:extent cx="4572396" cy="25757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572396" cy="2575783"/>
                    </a:xfrm>
                    <a:prstGeom prst="rect">
                      <a:avLst/>
                    </a:prstGeom>
                  </pic:spPr>
                </pic:pic>
              </a:graphicData>
            </a:graphic>
          </wp:inline>
        </w:drawing>
      </w:r>
      <w:r w:rsidR="008444CE">
        <w:br w:type="page"/>
      </w:r>
    </w:p>
    <w:p w14:paraId="61F08B53" w14:textId="77777777" w:rsidR="008444CE" w:rsidRDefault="008444CE" w:rsidP="008444CE">
      <w:pPr>
        <w:pStyle w:val="Titlu1"/>
      </w:pPr>
      <w:r>
        <w:t>Outline</w:t>
      </w:r>
    </w:p>
    <w:p w14:paraId="641DD32E" w14:textId="7DAD40AE" w:rsidR="008444CE" w:rsidRDefault="00FD0C75" w:rsidP="008444CE">
      <w:r w:rsidRPr="00FD0C75">
        <w:rPr>
          <w:noProof/>
        </w:rPr>
        <w:drawing>
          <wp:inline distT="0" distB="0" distL="0" distR="0" wp14:anchorId="7A974D1E" wp14:editId="1976661F">
            <wp:extent cx="4572396" cy="257578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572396" cy="2575783"/>
                    </a:xfrm>
                    <a:prstGeom prst="rect">
                      <a:avLst/>
                    </a:prstGeom>
                  </pic:spPr>
                </pic:pic>
              </a:graphicData>
            </a:graphic>
          </wp:inline>
        </w:drawing>
      </w:r>
    </w:p>
    <w:p w14:paraId="673B785B" w14:textId="77777777" w:rsidR="008444CE" w:rsidRDefault="008444CE" w:rsidP="008444CE">
      <w:r>
        <w:t xml:space="preserve">This slide shows the program of the presentation. The areas covered will be as follows: (1) Definition and importance of </w:t>
      </w:r>
      <w:proofErr w:type="spellStart"/>
      <w:r>
        <w:t>organisational</w:t>
      </w:r>
      <w:proofErr w:type="spellEnd"/>
      <w:r>
        <w:t xml:space="preserve"> structure and </w:t>
      </w:r>
      <w:proofErr w:type="spellStart"/>
      <w:r>
        <w:t>organisation</w:t>
      </w:r>
      <w:proofErr w:type="spellEnd"/>
      <w:r>
        <w:t xml:space="preserve"> charts; (2) functional structure with illustrative org chart for M&amp;S; (3) divisional structure with illustrative org chart for M&amp;S; (4) matrix structure with </w:t>
      </w:r>
      <w:proofErr w:type="spellStart"/>
      <w:r>
        <w:t>visualised</w:t>
      </w:r>
      <w:proofErr w:type="spellEnd"/>
      <w:r>
        <w:t xml:space="preserve"> org chart for M&amp;S and (5) conclusion with a critical evaluation. Key management theories, in the form of </w:t>
      </w:r>
      <w:proofErr w:type="spellStart"/>
      <w:r>
        <w:t>Mintzberg's</w:t>
      </w:r>
      <w:proofErr w:type="spellEnd"/>
      <w:r>
        <w:t xml:space="preserve"> (1979) </w:t>
      </w:r>
      <w:proofErr w:type="spellStart"/>
      <w:r>
        <w:t>organisational</w:t>
      </w:r>
      <w:proofErr w:type="spellEnd"/>
      <w:r>
        <w:t xml:space="preserve"> configurations, are used to evaluate each of the structural designs and are complemented by current empirical evidence collected from M&amp;S' annual report that is freely available, and also peer-reviewed academic literature from the inception of the brand in 2016 onwards.</w:t>
      </w:r>
    </w:p>
    <w:p w14:paraId="6F85236E" w14:textId="77777777" w:rsidR="008444CE" w:rsidRDefault="008444CE" w:rsidP="008444CE"/>
    <w:p w14:paraId="61AD3423" w14:textId="77777777" w:rsidR="008444CE" w:rsidRDefault="008444CE">
      <w:pPr>
        <w:spacing w:after="160" w:line="259" w:lineRule="auto"/>
        <w:jc w:val="left"/>
        <w:rPr>
          <w:b/>
          <w:bCs/>
          <w:color w:val="002060"/>
          <w:sz w:val="32"/>
          <w:szCs w:val="28"/>
        </w:rPr>
      </w:pPr>
      <w:r>
        <w:br w:type="page"/>
      </w:r>
    </w:p>
    <w:p w14:paraId="4CB6023F" w14:textId="77777777" w:rsidR="008444CE" w:rsidRDefault="008444CE" w:rsidP="008444CE">
      <w:pPr>
        <w:pStyle w:val="Titlu1"/>
      </w:pPr>
      <w:r w:rsidRPr="008444CE">
        <w:t xml:space="preserve">Defining </w:t>
      </w:r>
      <w:proofErr w:type="spellStart"/>
      <w:r w:rsidRPr="008444CE">
        <w:t>Organisational</w:t>
      </w:r>
      <w:proofErr w:type="spellEnd"/>
      <w:r w:rsidRPr="008444CE">
        <w:t xml:space="preserve"> Structure and </w:t>
      </w:r>
      <w:proofErr w:type="spellStart"/>
      <w:r w:rsidRPr="008444CE">
        <w:t>Organisation</w:t>
      </w:r>
      <w:proofErr w:type="spellEnd"/>
      <w:r w:rsidRPr="008444CE">
        <w:t xml:space="preserve"> Charts</w:t>
      </w:r>
    </w:p>
    <w:p w14:paraId="7D811B6D" w14:textId="5949A083" w:rsidR="008444CE" w:rsidRDefault="00FD0C75" w:rsidP="008444CE">
      <w:r w:rsidRPr="00FD0C75">
        <w:rPr>
          <w:noProof/>
        </w:rPr>
        <w:drawing>
          <wp:inline distT="0" distB="0" distL="0" distR="0" wp14:anchorId="789FABFC" wp14:editId="2095E00E">
            <wp:extent cx="4572396" cy="257578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72396" cy="2575783"/>
                    </a:xfrm>
                    <a:prstGeom prst="rect">
                      <a:avLst/>
                    </a:prstGeom>
                  </pic:spPr>
                </pic:pic>
              </a:graphicData>
            </a:graphic>
          </wp:inline>
        </w:drawing>
      </w:r>
    </w:p>
    <w:p w14:paraId="5D061E0E" w14:textId="77777777" w:rsidR="008444CE" w:rsidRDefault="008444CE" w:rsidP="008444CE">
      <w:proofErr w:type="spellStart"/>
      <w:r>
        <w:t>Organisational</w:t>
      </w:r>
      <w:proofErr w:type="spellEnd"/>
      <w:r>
        <w:t xml:space="preserve"> structure is also defined as the formal structure through which tasks, roles, authority and communication are coordinated in an </w:t>
      </w:r>
      <w:proofErr w:type="spellStart"/>
      <w:r>
        <w:t>organisation</w:t>
      </w:r>
      <w:proofErr w:type="spellEnd"/>
      <w:r>
        <w:t xml:space="preserve"> (Robbins, Judge and Campbell, 2017). It dictates the partition, aggregation and interdependence of tasks within departments. The hierarchy can be presented in an </w:t>
      </w:r>
      <w:proofErr w:type="spellStart"/>
      <w:r>
        <w:t>organisation</w:t>
      </w:r>
      <w:proofErr w:type="spellEnd"/>
      <w:r>
        <w:t xml:space="preserve"> chart either as a representation of reporting lines, spans of control and interdepartmental relationship. A good structural design is important to have because it dictates the efficiency of operations, speeds response in the making of decisions and holds people responsible for their jobs. Burton (2020) provides an early indication that top up to twenty-five percent of the world's </w:t>
      </w:r>
      <w:proofErr w:type="spellStart"/>
      <w:r>
        <w:t>organisations</w:t>
      </w:r>
      <w:proofErr w:type="spellEnd"/>
      <w:r>
        <w:t xml:space="preserve"> underperform due to issues in alignment with strategy and structure. In the case of M&amp;S, the company's revenue in FY2023/24 rose to £ 13.04 billion, which represents a supporting consider their intricate retail business structure (Marks and Spencer Group plc, 2024).</w:t>
      </w:r>
    </w:p>
    <w:p w14:paraId="4EBBE9DC" w14:textId="77777777" w:rsidR="008444CE" w:rsidRDefault="008444CE" w:rsidP="008444CE"/>
    <w:p w14:paraId="1A07708B" w14:textId="77777777" w:rsidR="008444CE" w:rsidRDefault="008444CE">
      <w:pPr>
        <w:spacing w:after="160" w:line="259" w:lineRule="auto"/>
        <w:jc w:val="left"/>
      </w:pPr>
      <w:r>
        <w:br w:type="page"/>
      </w:r>
    </w:p>
    <w:p w14:paraId="2A75533F" w14:textId="77777777" w:rsidR="008444CE" w:rsidRDefault="008444CE" w:rsidP="008444CE">
      <w:pPr>
        <w:pStyle w:val="Titlu1"/>
      </w:pPr>
      <w:r>
        <w:t>Functional Structure</w:t>
      </w:r>
    </w:p>
    <w:p w14:paraId="72076E0D" w14:textId="604CE2F2" w:rsidR="008444CE" w:rsidRDefault="00FD0C75" w:rsidP="008444CE">
      <w:r w:rsidRPr="00FD0C75">
        <w:rPr>
          <w:noProof/>
        </w:rPr>
        <w:drawing>
          <wp:inline distT="0" distB="0" distL="0" distR="0" wp14:anchorId="00AB4B63" wp14:editId="4677D6E7">
            <wp:extent cx="4572396" cy="257578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72396" cy="2575783"/>
                    </a:xfrm>
                    <a:prstGeom prst="rect">
                      <a:avLst/>
                    </a:prstGeom>
                  </pic:spPr>
                </pic:pic>
              </a:graphicData>
            </a:graphic>
          </wp:inline>
        </w:drawing>
      </w:r>
    </w:p>
    <w:p w14:paraId="2215E495" w14:textId="77777777" w:rsidR="008444CE" w:rsidRDefault="008444CE" w:rsidP="008444CE">
      <w:r>
        <w:t xml:space="preserve">A functional structure </w:t>
      </w:r>
      <w:proofErr w:type="spellStart"/>
      <w:r>
        <w:t>organises</w:t>
      </w:r>
      <w:proofErr w:type="spellEnd"/>
      <w:r>
        <w:t xml:space="preserve"> employees by </w:t>
      </w:r>
      <w:proofErr w:type="spellStart"/>
      <w:r>
        <w:t>specialised</w:t>
      </w:r>
      <w:proofErr w:type="spellEnd"/>
      <w:r>
        <w:t xml:space="preserve"> business functions -- such as finance, marketing, HR, IT, and operations -- each led by a functional head reporting to the CEO. M&amp;S' most common form for many years. Its major benefit is increased operational efficiency due to </w:t>
      </w:r>
      <w:proofErr w:type="spellStart"/>
      <w:r>
        <w:t>specialisation</w:t>
      </w:r>
      <w:proofErr w:type="spellEnd"/>
      <w:r>
        <w:t xml:space="preserve"> and economies of scale; however, it can lead to a ‘silo mentality', thus hampering cross-functional working relationships (Daft, 2021). In practice a strategic problem suffered by M&amp;S since 2000 was that buying and marketing were two departments that had very few common interests and took too long to react to the changes in fashion. The organizational chart of this structure is a horizontal line with functional departments with lines of command down from the CEO. According to Mintzberg (1979), the appellation is ‘machine bureaucracy’ appropriate for stable, large scale environment.</w:t>
      </w:r>
    </w:p>
    <w:p w14:paraId="3CEEE559" w14:textId="77777777" w:rsidR="008444CE" w:rsidRDefault="008444CE" w:rsidP="008444CE"/>
    <w:p w14:paraId="33E14A2B" w14:textId="77777777" w:rsidR="008444CE" w:rsidRDefault="008444CE">
      <w:pPr>
        <w:spacing w:after="160" w:line="259" w:lineRule="auto"/>
        <w:jc w:val="left"/>
      </w:pPr>
      <w:r>
        <w:br w:type="page"/>
      </w:r>
    </w:p>
    <w:p w14:paraId="64E72E5B" w14:textId="77777777" w:rsidR="008444CE" w:rsidRDefault="008444CE" w:rsidP="008444CE">
      <w:pPr>
        <w:pStyle w:val="Titlu1"/>
      </w:pPr>
      <w:r>
        <w:t>Divisional Structure</w:t>
      </w:r>
    </w:p>
    <w:p w14:paraId="13EA57FD" w14:textId="6B423C3F" w:rsidR="008444CE" w:rsidRDefault="00FD0C75" w:rsidP="008444CE">
      <w:r w:rsidRPr="00FD0C75">
        <w:rPr>
          <w:noProof/>
        </w:rPr>
        <w:drawing>
          <wp:inline distT="0" distB="0" distL="0" distR="0" wp14:anchorId="670E39CA" wp14:editId="27CBF2CB">
            <wp:extent cx="4572396" cy="257578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2396" cy="2575783"/>
                    </a:xfrm>
                    <a:prstGeom prst="rect">
                      <a:avLst/>
                    </a:prstGeom>
                  </pic:spPr>
                </pic:pic>
              </a:graphicData>
            </a:graphic>
          </wp:inline>
        </w:drawing>
      </w:r>
    </w:p>
    <w:p w14:paraId="203E5336" w14:textId="77777777" w:rsidR="008444CE" w:rsidRDefault="008444CE" w:rsidP="008444CE">
      <w:r>
        <w:t xml:space="preserve">Divisional Structure involves grouping product, geography or customer lines with each division having semi-autonomous functional resources. M&amp;S's divisional principles are located in the Food, Clothing &amp; Home division along with the International division. This structure allows for quicker response to market requirements, such as M&amp;S Food, whose revenue of £ 7.6 billion in FY2023/24 represents almost 58% of total group revenue and calls for a distinctive leadership. There is a human resource sub-function and others, including marketing and finance, within each division, with the CEO at the top of the tree. One major setback, as identified by Daft (2021), is duplication of resources, which also adds to the operational cost, a challenge that M&amp;S have been facing where shared services have been </w:t>
      </w:r>
      <w:proofErr w:type="spellStart"/>
      <w:r>
        <w:t>centralised</w:t>
      </w:r>
      <w:proofErr w:type="spellEnd"/>
      <w:r>
        <w:t xml:space="preserve"> over the years.</w:t>
      </w:r>
    </w:p>
    <w:p w14:paraId="120B1157" w14:textId="77777777" w:rsidR="008444CE" w:rsidRDefault="008444CE" w:rsidP="008444CE"/>
    <w:p w14:paraId="4DA4FE76" w14:textId="77777777" w:rsidR="008444CE" w:rsidRDefault="008444CE">
      <w:pPr>
        <w:spacing w:after="160" w:line="259" w:lineRule="auto"/>
        <w:jc w:val="left"/>
      </w:pPr>
      <w:r>
        <w:br w:type="page"/>
      </w:r>
    </w:p>
    <w:p w14:paraId="4DC2D620" w14:textId="77777777" w:rsidR="008444CE" w:rsidRDefault="008444CE" w:rsidP="008444CE">
      <w:pPr>
        <w:pStyle w:val="Titlu1"/>
      </w:pPr>
      <w:r>
        <w:t>Matrix Structure</w:t>
      </w:r>
    </w:p>
    <w:p w14:paraId="469D5A9F" w14:textId="732D71A8" w:rsidR="008444CE" w:rsidRDefault="00FD0C75" w:rsidP="008444CE">
      <w:r w:rsidRPr="00FD0C75">
        <w:rPr>
          <w:noProof/>
        </w:rPr>
        <w:drawing>
          <wp:inline distT="0" distB="0" distL="0" distR="0" wp14:anchorId="316E2F5F" wp14:editId="6B1C145E">
            <wp:extent cx="4572396" cy="257578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72396" cy="2575783"/>
                    </a:xfrm>
                    <a:prstGeom prst="rect">
                      <a:avLst/>
                    </a:prstGeom>
                  </pic:spPr>
                </pic:pic>
              </a:graphicData>
            </a:graphic>
          </wp:inline>
        </w:drawing>
      </w:r>
    </w:p>
    <w:p w14:paraId="1DAA6D2A" w14:textId="77777777" w:rsidR="008444CE" w:rsidRDefault="008444CE" w:rsidP="008444CE">
      <w:r>
        <w:t xml:space="preserve">The matrix structure is a combination of functional and divisional structure; in this, all work units report to both functional and project or divisional managers. This two-in-charge format enables cross-functional team working and helps to manage. M&amp;S has adopted the matrix-like working in its technology and transformation </w:t>
      </w:r>
      <w:proofErr w:type="spellStart"/>
      <w:r>
        <w:t>programmes</w:t>
      </w:r>
      <w:proofErr w:type="spellEnd"/>
      <w:r>
        <w:t xml:space="preserve">, especially since it has announced a huge investment of £ 480 million on its digital infrastructure back in 2022 (M&amp;S Annual Report, 2023). An org chart will reveal that there are certain employees who are in the cross-section of the vertical functional lines and the horizontal divisional lines. Although </w:t>
      </w:r>
      <w:proofErr w:type="spellStart"/>
      <w:r>
        <w:t>maximising</w:t>
      </w:r>
      <w:proofErr w:type="spellEnd"/>
      <w:r>
        <w:t xml:space="preserve"> flexibility, this gives rise to role ambiguity and conflict as a result of dual reporting relationships (Robbins, Judge and Campbell, 2017). Sy and Cote (2004) (as noted by Burton et al., 2020) discovered that there was a greater amount of matrix stress in </w:t>
      </w:r>
      <w:proofErr w:type="spellStart"/>
      <w:r>
        <w:t>organisations</w:t>
      </w:r>
      <w:proofErr w:type="spellEnd"/>
      <w:r>
        <w:t xml:space="preserve"> that do not have clear governance procedures in place, which is something that M&amp;S have to manage as it would be detrimental for the business to have defined accountability.</w:t>
      </w:r>
    </w:p>
    <w:p w14:paraId="2E2AB136" w14:textId="77777777" w:rsidR="008444CE" w:rsidRDefault="008444CE" w:rsidP="008444CE"/>
    <w:p w14:paraId="36DD2D00" w14:textId="77777777" w:rsidR="008444CE" w:rsidRDefault="008444CE">
      <w:pPr>
        <w:spacing w:after="160" w:line="259" w:lineRule="auto"/>
        <w:jc w:val="left"/>
      </w:pPr>
      <w:r>
        <w:br w:type="page"/>
      </w:r>
    </w:p>
    <w:p w14:paraId="5E141E4F" w14:textId="77777777" w:rsidR="008444CE" w:rsidRDefault="008444CE" w:rsidP="008444CE">
      <w:pPr>
        <w:pStyle w:val="Titlu1"/>
      </w:pPr>
      <w:r>
        <w:t>Critical comparison of the three structures</w:t>
      </w:r>
    </w:p>
    <w:p w14:paraId="44DB9736" w14:textId="247CEA72" w:rsidR="008444CE" w:rsidRDefault="00FD0C75" w:rsidP="008444CE">
      <w:r w:rsidRPr="00FD0C75">
        <w:rPr>
          <w:noProof/>
        </w:rPr>
        <w:drawing>
          <wp:inline distT="0" distB="0" distL="0" distR="0" wp14:anchorId="673AE689" wp14:editId="59AB0EC7">
            <wp:extent cx="4572396" cy="257578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72396" cy="2575783"/>
                    </a:xfrm>
                    <a:prstGeom prst="rect">
                      <a:avLst/>
                    </a:prstGeom>
                  </pic:spPr>
                </pic:pic>
              </a:graphicData>
            </a:graphic>
          </wp:inline>
        </w:drawing>
      </w:r>
    </w:p>
    <w:p w14:paraId="3744DCA4" w14:textId="77777777" w:rsidR="008444CE" w:rsidRDefault="008444CE" w:rsidP="008444CE">
      <w:r>
        <w:t xml:space="preserve">An analysis of the three designs suggests that there are no universal best designs as they each would be suitable for an </w:t>
      </w:r>
      <w:proofErr w:type="spellStart"/>
      <w:r>
        <w:t>organisation</w:t>
      </w:r>
      <w:proofErr w:type="spellEnd"/>
      <w:r>
        <w:t xml:space="preserve"> depending on its size, strategy and environment (Burton, </w:t>
      </w:r>
      <w:proofErr w:type="spellStart"/>
      <w:r>
        <w:t>Obel</w:t>
      </w:r>
      <w:proofErr w:type="spellEnd"/>
      <w:r>
        <w:t xml:space="preserve"> and </w:t>
      </w:r>
      <w:proofErr w:type="spellStart"/>
      <w:r>
        <w:t>Hakonsson</w:t>
      </w:r>
      <w:proofErr w:type="spellEnd"/>
      <w:r>
        <w:t xml:space="preserve">, 2020). Stable, efficiency-oriented operations are best served by functional structures, which inhibit innovation. Divisional structures go hand-in-hand with market differentiation strategies, but can also lead to costs due to dispersion of resources -- a conflicting issue M&amp;S can resolve by introducing shared services. Matrix structures provide the greatest levels of flexibility and integration of knowledge, but also result in the highest levels of management complexity. Galbraith (2014) argues that </w:t>
      </w:r>
      <w:proofErr w:type="spellStart"/>
      <w:r>
        <w:t>organisations</w:t>
      </w:r>
      <w:proofErr w:type="spellEnd"/>
      <w:r>
        <w:t xml:space="preserve"> are increasingly using hybrid design that combines functional efficiency and division responsive designs. This combination of </w:t>
      </w:r>
      <w:proofErr w:type="spellStart"/>
      <w:r>
        <w:t>centralised</w:t>
      </w:r>
      <w:proofErr w:type="spellEnd"/>
      <w:r>
        <w:t xml:space="preserve"> shared services with divisional teams being given more autonomy and flexibility to react more quickly to consumer trends is a strategic change taken by M&amp;S since 2022 under CEO Stuart Machin, with contingency theory arguing that a combination of structures is best suited according to their contextual variables (Daft, 2021).</w:t>
      </w:r>
    </w:p>
    <w:p w14:paraId="67D15A3D" w14:textId="77777777" w:rsidR="008444CE" w:rsidRDefault="008444CE" w:rsidP="008444CE"/>
    <w:p w14:paraId="657FCE1E" w14:textId="77777777" w:rsidR="008444CE" w:rsidRDefault="008444CE">
      <w:pPr>
        <w:spacing w:after="160" w:line="259" w:lineRule="auto"/>
        <w:jc w:val="left"/>
      </w:pPr>
      <w:r>
        <w:br w:type="page"/>
      </w:r>
    </w:p>
    <w:p w14:paraId="73134DAE" w14:textId="77777777" w:rsidR="008444CE" w:rsidRDefault="008444CE" w:rsidP="008444CE">
      <w:pPr>
        <w:pStyle w:val="Titlu1"/>
      </w:pPr>
      <w:r>
        <w:t>Conclusion</w:t>
      </w:r>
    </w:p>
    <w:p w14:paraId="469804EC" w14:textId="76BA399E" w:rsidR="008444CE" w:rsidRDefault="00FD0C75" w:rsidP="008444CE">
      <w:r w:rsidRPr="00FD0C75">
        <w:rPr>
          <w:noProof/>
        </w:rPr>
        <w:drawing>
          <wp:inline distT="0" distB="0" distL="0" distR="0" wp14:anchorId="61414860" wp14:editId="20826CF5">
            <wp:extent cx="4572396" cy="257578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2396" cy="2575783"/>
                    </a:xfrm>
                    <a:prstGeom prst="rect">
                      <a:avLst/>
                    </a:prstGeom>
                  </pic:spPr>
                </pic:pic>
              </a:graphicData>
            </a:graphic>
          </wp:inline>
        </w:drawing>
      </w:r>
    </w:p>
    <w:p w14:paraId="51019D30" w14:textId="77777777" w:rsidR="008444CE" w:rsidRDefault="008444CE" w:rsidP="008444CE">
      <w:r>
        <w:t xml:space="preserve">To conclude, </w:t>
      </w:r>
      <w:proofErr w:type="spellStart"/>
      <w:r>
        <w:t>organisational</w:t>
      </w:r>
      <w:proofErr w:type="spellEnd"/>
      <w:r>
        <w:t xml:space="preserve"> structure is an integral part of how an </w:t>
      </w:r>
      <w:proofErr w:type="spellStart"/>
      <w:r>
        <w:t>organisation</w:t>
      </w:r>
      <w:proofErr w:type="spellEnd"/>
      <w:r>
        <w:t xml:space="preserve"> such as Marks &amp; Spencer works, how tasks are co-ordinated, communication occurs and how they react to strategic issues. All three types of structure, functional, divisional and matrix, have their respective strengths and weaknesses. M&amp;S exemplifies the deployment of all three: a purposeful lineage, a divisional product-focused business model that had revenue of £ 13.04 billion in 2024 (Marks and Spencer Group plc, 2024) and a new matrix model for technology-led transformation. According to the contingency theory and the models of Mintzberg, the structure needs to change as per its strategy and environment. The decision with regards to the effectiveness of the structure are not one-shot but are always a managerial responsibility that belongs to the present and needs to be evaluated. By grasping these designs, managing a clear grasp of accountability, response and high performance </w:t>
      </w:r>
      <w:proofErr w:type="spellStart"/>
      <w:r>
        <w:t>organisations</w:t>
      </w:r>
      <w:proofErr w:type="spellEnd"/>
      <w:r>
        <w:t xml:space="preserve"> can be created.</w:t>
      </w:r>
    </w:p>
    <w:p w14:paraId="45F810E8" w14:textId="77777777" w:rsidR="008444CE" w:rsidRDefault="008444CE">
      <w:pPr>
        <w:spacing w:after="160" w:line="259" w:lineRule="auto"/>
        <w:jc w:val="left"/>
      </w:pPr>
      <w:r>
        <w:br w:type="page"/>
      </w:r>
    </w:p>
    <w:p w14:paraId="58AD5F49" w14:textId="77777777" w:rsidR="008444CE" w:rsidRDefault="008444CE" w:rsidP="008444CE">
      <w:pPr>
        <w:pStyle w:val="Titlu1"/>
      </w:pPr>
      <w:r w:rsidRPr="008444CE">
        <w:t>References</w:t>
      </w:r>
    </w:p>
    <w:p w14:paraId="0E2D468B" w14:textId="6B4EF427" w:rsidR="008444CE" w:rsidRPr="008444CE" w:rsidRDefault="00FD0C75" w:rsidP="008444CE">
      <w:pPr>
        <w:pStyle w:val="Titlu1"/>
      </w:pPr>
      <w:r w:rsidRPr="00FD0C75">
        <w:rPr>
          <w:noProof/>
        </w:rPr>
        <w:drawing>
          <wp:inline distT="0" distB="0" distL="0" distR="0" wp14:anchorId="4EF97E05" wp14:editId="5464576A">
            <wp:extent cx="4572396" cy="257578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72396" cy="2575783"/>
                    </a:xfrm>
                    <a:prstGeom prst="rect">
                      <a:avLst/>
                    </a:prstGeom>
                  </pic:spPr>
                </pic:pic>
              </a:graphicData>
            </a:graphic>
          </wp:inline>
        </w:drawing>
      </w:r>
    </w:p>
    <w:p w14:paraId="79F7FFDC" w14:textId="77777777" w:rsidR="008444CE" w:rsidRPr="008444CE" w:rsidRDefault="008444CE" w:rsidP="008444CE">
      <w:pPr>
        <w:spacing w:before="240"/>
      </w:pPr>
      <w:r w:rsidRPr="008444CE">
        <w:t xml:space="preserve">Burton, R.M., </w:t>
      </w:r>
      <w:proofErr w:type="spellStart"/>
      <w:r w:rsidRPr="008444CE">
        <w:t>Obel</w:t>
      </w:r>
      <w:proofErr w:type="spellEnd"/>
      <w:r w:rsidRPr="008444CE">
        <w:t xml:space="preserve">, B. and </w:t>
      </w:r>
      <w:proofErr w:type="spellStart"/>
      <w:r w:rsidRPr="008444CE">
        <w:t>Håkonsson</w:t>
      </w:r>
      <w:proofErr w:type="spellEnd"/>
      <w:r w:rsidRPr="008444CE">
        <w:t xml:space="preserve">, D.D. (2020) </w:t>
      </w:r>
      <w:proofErr w:type="spellStart"/>
      <w:r w:rsidRPr="008444CE">
        <w:t>Organisational</w:t>
      </w:r>
      <w:proofErr w:type="spellEnd"/>
      <w:r w:rsidRPr="008444CE">
        <w:t xml:space="preserve"> Design: A Step-by-Step Approach. 4th </w:t>
      </w:r>
      <w:proofErr w:type="spellStart"/>
      <w:r w:rsidRPr="008444CE">
        <w:t>edn</w:t>
      </w:r>
      <w:proofErr w:type="spellEnd"/>
      <w:r w:rsidRPr="008444CE">
        <w:t>. Cambridge: Cambridge University Press. Available at: https://doi.org/10.1017/9781108674195</w:t>
      </w:r>
    </w:p>
    <w:p w14:paraId="3A1F920F" w14:textId="77777777" w:rsidR="008444CE" w:rsidRPr="008444CE" w:rsidRDefault="008444CE" w:rsidP="008444CE">
      <w:pPr>
        <w:spacing w:before="240"/>
      </w:pPr>
      <w:r w:rsidRPr="008444CE">
        <w:t xml:space="preserve">Daft, R.L. (2021) </w:t>
      </w:r>
      <w:proofErr w:type="spellStart"/>
      <w:r w:rsidRPr="008444CE">
        <w:t>Organisation</w:t>
      </w:r>
      <w:proofErr w:type="spellEnd"/>
      <w:r w:rsidRPr="008444CE">
        <w:t xml:space="preserve"> Theory and Design. 13th </w:t>
      </w:r>
      <w:proofErr w:type="spellStart"/>
      <w:r w:rsidRPr="008444CE">
        <w:t>edn</w:t>
      </w:r>
      <w:proofErr w:type="spellEnd"/>
      <w:r w:rsidRPr="008444CE">
        <w:t>. Boston: Cengage Learning. Available at: https://www.cengage.com/c/organization-theory-and-design-13e-daft/9780357445143/</w:t>
      </w:r>
    </w:p>
    <w:p w14:paraId="68331C18" w14:textId="77777777" w:rsidR="008444CE" w:rsidRPr="008444CE" w:rsidRDefault="008444CE" w:rsidP="008444CE">
      <w:pPr>
        <w:spacing w:before="240"/>
      </w:pPr>
      <w:r w:rsidRPr="008444CE">
        <w:t xml:space="preserve">Galbraith, J.R. (2014) Designing Organizations: Strategy, Structure, and Process at the Business Unit and Enterprise Levels. 3rd </w:t>
      </w:r>
      <w:proofErr w:type="spellStart"/>
      <w:r w:rsidRPr="008444CE">
        <w:t>edn</w:t>
      </w:r>
      <w:proofErr w:type="spellEnd"/>
      <w:r w:rsidRPr="008444CE">
        <w:t>. San Francisco: Jossey-Bass. Available at: https://doi.org/10.1002/9781119204213</w:t>
      </w:r>
    </w:p>
    <w:p w14:paraId="0BC9ABF9" w14:textId="77777777" w:rsidR="008444CE" w:rsidRPr="008444CE" w:rsidRDefault="008444CE" w:rsidP="008444CE">
      <w:pPr>
        <w:spacing w:before="240"/>
      </w:pPr>
      <w:r w:rsidRPr="008444CE">
        <w:t>Marks and Spencer Group plc (2024) Annual Report and Financial Statements 2024. London: M&amp;S. Available at: https://corporate.marksandspencer.com/investors/annual-report</w:t>
      </w:r>
    </w:p>
    <w:p w14:paraId="52D72E79" w14:textId="77777777" w:rsidR="008444CE" w:rsidRPr="008444CE" w:rsidRDefault="008444CE" w:rsidP="008444CE">
      <w:pPr>
        <w:spacing w:before="240"/>
      </w:pPr>
      <w:r w:rsidRPr="008444CE">
        <w:t>Mintzberg, H. (1979) The Structuring of Organizations. Englewood Cliffs, NJ: Prentice-Hall. [Seminal work; editions and citations widely used in contemporary management syllabi — cited via Burton et al., 2020.]</w:t>
      </w:r>
    </w:p>
    <w:p w14:paraId="241EA895" w14:textId="77777777" w:rsidR="008444CE" w:rsidRPr="008444CE" w:rsidRDefault="008444CE" w:rsidP="008444CE">
      <w:pPr>
        <w:spacing w:before="240"/>
      </w:pPr>
      <w:proofErr w:type="spellStart"/>
      <w:r w:rsidRPr="008444CE">
        <w:t>Mushaathoni</w:t>
      </w:r>
      <w:proofErr w:type="spellEnd"/>
      <w:r w:rsidRPr="008444CE">
        <w:t xml:space="preserve">, M. (2025) 'Intercultural communication management frameworks in multicultural retail </w:t>
      </w:r>
      <w:proofErr w:type="spellStart"/>
      <w:r w:rsidRPr="008444CE">
        <w:t>organisations</w:t>
      </w:r>
      <w:proofErr w:type="spellEnd"/>
      <w:r w:rsidRPr="008444CE">
        <w:t>', Journal of Intercultural Communication, 25(1), pp. 45–62. Available at: https://doi.org/10.36923/jicc.v25i1.1027</w:t>
      </w:r>
    </w:p>
    <w:p w14:paraId="473620B0" w14:textId="77777777" w:rsidR="008444CE" w:rsidRPr="008444CE" w:rsidRDefault="008444CE" w:rsidP="008444CE">
      <w:pPr>
        <w:spacing w:before="240"/>
      </w:pPr>
      <w:r w:rsidRPr="008444CE">
        <w:t xml:space="preserve">Nguyen, T., Chen, H. and Li, Z. (2022) 'Digital communication channel governance and </w:t>
      </w:r>
      <w:proofErr w:type="spellStart"/>
      <w:r w:rsidRPr="008444CE">
        <w:t>organisational</w:t>
      </w:r>
      <w:proofErr w:type="spellEnd"/>
      <w:r w:rsidRPr="008444CE">
        <w:t xml:space="preserve"> effectiveness', Journal of Organizational Behavior, 43(4), pp. 612–631. Available at: https://doi.org/10.1002/job.2601</w:t>
      </w:r>
    </w:p>
    <w:p w14:paraId="0290E180" w14:textId="77777777" w:rsidR="008444CE" w:rsidRPr="008444CE" w:rsidRDefault="008444CE" w:rsidP="008444CE">
      <w:pPr>
        <w:spacing w:before="240"/>
      </w:pPr>
      <w:r w:rsidRPr="008444CE">
        <w:t xml:space="preserve">Robbins, S.P., Judge, T.A. and Campbell, T.T. (2017) Organizational </w:t>
      </w:r>
      <w:proofErr w:type="spellStart"/>
      <w:r w:rsidRPr="008444CE">
        <w:t>Behaviour</w:t>
      </w:r>
      <w:proofErr w:type="spellEnd"/>
      <w:r w:rsidRPr="008444CE">
        <w:t xml:space="preserve">. 2nd </w:t>
      </w:r>
      <w:proofErr w:type="spellStart"/>
      <w:r w:rsidRPr="008444CE">
        <w:t>edn</w:t>
      </w:r>
      <w:proofErr w:type="spellEnd"/>
      <w:r w:rsidRPr="008444CE">
        <w:t>. Harlow: Pearson Education. Available at: https://www.pearson.com/en-gb/subject-catalog/p/organizational-behaviour/P200000005489</w:t>
      </w:r>
    </w:p>
    <w:p w14:paraId="0B278BA6" w14:textId="77777777" w:rsidR="008444CE" w:rsidRPr="008444CE" w:rsidRDefault="008444CE" w:rsidP="008444CE"/>
    <w:sectPr w:rsidR="008444CE" w:rsidRPr="008444CE">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66ECFCE" w14:textId="77777777" w:rsidR="00FB73A3" w:rsidRDefault="00FB73A3" w:rsidP="006711E9">
      <w:pPr>
        <w:spacing w:line="240" w:lineRule="auto"/>
      </w:pPr>
      <w:r>
        <w:separator/>
      </w:r>
    </w:p>
  </w:endnote>
  <w:endnote w:type="continuationSeparator" w:id="0">
    <w:p w14:paraId="3F5820A2" w14:textId="77777777" w:rsidR="00FB73A3" w:rsidRDefault="00FB73A3" w:rsidP="006711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960457699"/>
      <w:docPartObj>
        <w:docPartGallery w:val="Page Numbers (Bottom of Page)"/>
        <w:docPartUnique/>
      </w:docPartObj>
    </w:sdtPr>
    <w:sdtEndPr>
      <w:rPr>
        <w:noProof/>
      </w:rPr>
    </w:sdtEndPr>
    <w:sdtContent>
      <w:p w14:paraId="47B18E8E" w14:textId="77777777" w:rsidR="006711E9" w:rsidRDefault="006711E9">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01B6AB4A" w14:textId="77777777" w:rsidR="006711E9" w:rsidRDefault="006711E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9B3AC6B" w14:textId="77777777" w:rsidR="00FB73A3" w:rsidRDefault="00FB73A3" w:rsidP="006711E9">
      <w:pPr>
        <w:spacing w:line="240" w:lineRule="auto"/>
      </w:pPr>
      <w:r>
        <w:separator/>
      </w:r>
    </w:p>
  </w:footnote>
  <w:footnote w:type="continuationSeparator" w:id="0">
    <w:p w14:paraId="49D8147B" w14:textId="77777777" w:rsidR="00FB73A3" w:rsidRDefault="00FB73A3" w:rsidP="006711E9">
      <w:pPr>
        <w:spacing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4CE"/>
    <w:rsid w:val="00074D9A"/>
    <w:rsid w:val="00112DCC"/>
    <w:rsid w:val="001C4FBB"/>
    <w:rsid w:val="00224243"/>
    <w:rsid w:val="002B75B7"/>
    <w:rsid w:val="003A2122"/>
    <w:rsid w:val="00482F3A"/>
    <w:rsid w:val="004C205C"/>
    <w:rsid w:val="004C646C"/>
    <w:rsid w:val="004E477D"/>
    <w:rsid w:val="00667E24"/>
    <w:rsid w:val="006711E9"/>
    <w:rsid w:val="00687FB5"/>
    <w:rsid w:val="006A4583"/>
    <w:rsid w:val="00796BDC"/>
    <w:rsid w:val="008133D9"/>
    <w:rsid w:val="008444CE"/>
    <w:rsid w:val="008731B4"/>
    <w:rsid w:val="008B0110"/>
    <w:rsid w:val="008B2E75"/>
    <w:rsid w:val="009C7992"/>
    <w:rsid w:val="00A15FCE"/>
    <w:rsid w:val="00A24D39"/>
    <w:rsid w:val="00A31BDE"/>
    <w:rsid w:val="00C22C8A"/>
    <w:rsid w:val="00D0127E"/>
    <w:rsid w:val="00D47B14"/>
    <w:rsid w:val="00E13C77"/>
    <w:rsid w:val="00E60408"/>
    <w:rsid w:val="00E73538"/>
    <w:rsid w:val="00E8703B"/>
    <w:rsid w:val="00ED2CC1"/>
    <w:rsid w:val="00F26BAC"/>
    <w:rsid w:val="00F50563"/>
    <w:rsid w:val="00F570EF"/>
    <w:rsid w:val="00FB73A3"/>
    <w:rsid w:val="00FD0C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71835"/>
  <w15:chartTrackingRefBased/>
  <w15:docId w15:val="{FCE38E57-642D-4BCF-9B35-DF527B03B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44CE"/>
    <w:pPr>
      <w:spacing w:after="0" w:line="360" w:lineRule="auto"/>
      <w:jc w:val="both"/>
    </w:pPr>
    <w:rPr>
      <w:rFonts w:ascii="Times New Roman" w:eastAsia="Times New Roman" w:hAnsi="Times New Roman" w:cs="Times New Roman"/>
      <w:sz w:val="24"/>
      <w:szCs w:val="20"/>
    </w:rPr>
  </w:style>
  <w:style w:type="paragraph" w:styleId="Titlu1">
    <w:name w:val="heading 1"/>
    <w:link w:val="Titlu1Caracter"/>
    <w:autoRedefine/>
    <w:uiPriority w:val="9"/>
    <w:qFormat/>
    <w:rsid w:val="00074D9A"/>
    <w:pPr>
      <w:spacing w:after="0" w:line="360" w:lineRule="auto"/>
      <w:jc w:val="both"/>
      <w:outlineLvl w:val="0"/>
    </w:pPr>
    <w:rPr>
      <w:rFonts w:ascii="Times New Roman" w:eastAsia="Times New Roman" w:hAnsi="Times New Roman" w:cs="Times New Roman"/>
      <w:b/>
      <w:bCs/>
      <w:color w:val="002060"/>
      <w:sz w:val="32"/>
      <w:szCs w:val="28"/>
    </w:rPr>
  </w:style>
  <w:style w:type="paragraph" w:styleId="Titlu2">
    <w:name w:val="heading 2"/>
    <w:basedOn w:val="Normal"/>
    <w:next w:val="Normal"/>
    <w:link w:val="Titlu2Caracter"/>
    <w:autoRedefine/>
    <w:uiPriority w:val="9"/>
    <w:unhideWhenUsed/>
    <w:qFormat/>
    <w:rsid w:val="002B75B7"/>
    <w:pPr>
      <w:keepNext/>
      <w:keepLines/>
      <w:outlineLvl w:val="1"/>
    </w:pPr>
    <w:rPr>
      <w:rFonts w:eastAsiaTheme="majorEastAsia" w:cstheme="majorBidi"/>
      <w:b/>
      <w:color w:val="4472C4" w:themeColor="accent1"/>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74D9A"/>
    <w:rPr>
      <w:rFonts w:ascii="Times New Roman" w:eastAsia="Times New Roman" w:hAnsi="Times New Roman" w:cs="Times New Roman"/>
      <w:b/>
      <w:bCs/>
      <w:color w:val="002060"/>
      <w:sz w:val="32"/>
      <w:szCs w:val="28"/>
    </w:rPr>
  </w:style>
  <w:style w:type="character" w:customStyle="1" w:styleId="Titlu2Caracter">
    <w:name w:val="Titlu 2 Caracter"/>
    <w:basedOn w:val="Fontdeparagrafimplicit"/>
    <w:link w:val="Titlu2"/>
    <w:uiPriority w:val="9"/>
    <w:rsid w:val="002B75B7"/>
    <w:rPr>
      <w:rFonts w:ascii="Arial" w:eastAsiaTheme="majorEastAsia" w:hAnsi="Arial" w:cstheme="majorBidi"/>
      <w:b/>
      <w:color w:val="4472C4" w:themeColor="accent1"/>
      <w:sz w:val="28"/>
      <w:szCs w:val="26"/>
    </w:rPr>
  </w:style>
  <w:style w:type="paragraph" w:styleId="Antet">
    <w:name w:val="header"/>
    <w:basedOn w:val="Normal"/>
    <w:link w:val="AntetCaracter"/>
    <w:uiPriority w:val="99"/>
    <w:unhideWhenUsed/>
    <w:rsid w:val="006711E9"/>
    <w:pPr>
      <w:tabs>
        <w:tab w:val="center" w:pos="4680"/>
        <w:tab w:val="right" w:pos="9360"/>
      </w:tabs>
      <w:spacing w:line="240" w:lineRule="auto"/>
    </w:pPr>
  </w:style>
  <w:style w:type="character" w:customStyle="1" w:styleId="AntetCaracter">
    <w:name w:val="Antet Caracter"/>
    <w:basedOn w:val="Fontdeparagrafimplicit"/>
    <w:link w:val="Antet"/>
    <w:uiPriority w:val="99"/>
    <w:rsid w:val="006711E9"/>
    <w:rPr>
      <w:rFonts w:ascii="Times New Roman" w:eastAsia="Times New Roman" w:hAnsi="Times New Roman" w:cs="Times New Roman"/>
      <w:sz w:val="24"/>
      <w:szCs w:val="20"/>
    </w:rPr>
  </w:style>
  <w:style w:type="paragraph" w:styleId="Subsol">
    <w:name w:val="footer"/>
    <w:basedOn w:val="Normal"/>
    <w:link w:val="SubsolCaracter"/>
    <w:uiPriority w:val="99"/>
    <w:unhideWhenUsed/>
    <w:rsid w:val="006711E9"/>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6711E9"/>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Pages>
  <Words>1318</Words>
  <Characters>7648</Characters>
  <Application>Microsoft Office Word</Application>
  <DocSecurity>0</DocSecurity>
  <Lines>63</Lines>
  <Paragraphs>17</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Outline</vt:lpstr>
      <vt:lpstr>Defining Organisational Structure and Organisation Charts</vt:lpstr>
      <vt:lpstr>Functional Structure</vt:lpstr>
      <vt:lpstr>Divisional Structure</vt:lpstr>
      <vt:lpstr>Matrix Structure</vt:lpstr>
      <vt:lpstr>Critical comparison of the three structures</vt:lpstr>
      <vt:lpstr>Conclusion</vt:lpstr>
      <vt:lpstr>References</vt:lpstr>
      <vt:lpstr/>
    </vt:vector>
  </TitlesOfParts>
  <Company/>
  <LinksUpToDate>false</LinksUpToDate>
  <CharactersWithSpaces>8949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Raducanu Dumitru</cp:lastModifiedBy>
  <cp:revision>5</cp:revision>
  <dcterms:created xsi:type="dcterms:W3CDTF">2026-08-13T00:22:00Z</dcterms:created>
  <dcterms:modified xsi:type="dcterms:W3CDTF">2026-08-13T23:53:00Z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655e4e6c-c3f6-430d-a937-7eedc85f2c00</vt:lpwstr>
  </property>
</Properties>
</file>