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A20218" w:rsidP="6D476394" w:rsidRDefault="00A20218" w14:paraId="28EC63E2" w14:textId="08A85AE0">
      <w:pPr>
        <w:pStyle w:val="Normal"/>
        <w:spacing w:after="200" w:line="360" w:lineRule="auto"/>
      </w:pPr>
      <w:r w:rsidR="51D80A08">
        <w:drawing>
          <wp:inline wp14:editId="7DDF83C7" wp14:anchorId="12EA41E2">
            <wp:extent cx="5495925" cy="2743200"/>
            <wp:effectExtent l="0" t="0" r="0" b="0"/>
            <wp:docPr id="493830788" name="drawing" title="Current Students | University of Wales Trinity Saint Davi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93830788" name="Picture 493830788"/>
                    <pic:cNvPicPr/>
                  </pic:nvPicPr>
                  <pic:blipFill>
                    <a:blip xmlns:r="http://schemas.openxmlformats.org/officeDocument/2006/relationships" r:embed="rId573044162">
                      <a:extLst>
                        <a:ext uri="{28A0092B-C50C-407E-A947-70E740481C1C}">
                          <a14:useLocalDpi xmlns:a14="http://schemas.microsoft.com/office/drawing/2010/main"/>
                        </a:ext>
                      </a:extLst>
                    </a:blip>
                    <a:stretch>
                      <a:fillRect/>
                    </a:stretch>
                  </pic:blipFill>
                  <pic:spPr>
                    <a:xfrm>
                      <a:off x="0" y="0"/>
                      <a:ext cx="5495925" cy="2743200"/>
                    </a:xfrm>
                    <a:prstGeom prst="rect">
                      <a:avLst/>
                    </a:prstGeom>
                  </pic:spPr>
                </pic:pic>
              </a:graphicData>
            </a:graphic>
          </wp:inline>
        </w:drawing>
      </w:r>
    </w:p>
    <w:p w:rsidR="00A20218" w:rsidP="009550A6" w:rsidRDefault="00AF6321" w14:paraId="3F647CEC" w14:textId="6E81CE76">
      <w:pPr>
        <w:spacing w:after="200"/>
        <w:rPr>
          <w:b w:val="1"/>
          <w:bCs w:val="1"/>
          <w:sz w:val="28"/>
          <w:szCs w:val="28"/>
        </w:rPr>
      </w:pPr>
    </w:p>
    <w:p w:rsidR="00C058F1" w:rsidP="003B3695" w:rsidRDefault="00C058F1" w14:paraId="6F55CBE9" w14:textId="77777777">
      <w:pPr>
        <w:spacing w:after="200"/>
        <w:jc w:val="center"/>
        <w:rPr>
          <w:b/>
          <w:bCs/>
          <w:sz w:val="28"/>
          <w:szCs w:val="28"/>
        </w:rPr>
      </w:pPr>
    </w:p>
    <w:p w:rsidR="00C058F1" w:rsidP="6D476394" w:rsidRDefault="00C058F1" w14:paraId="4BACDCB0" w14:textId="6910B7D6">
      <w:pPr>
        <w:pStyle w:val="Normal"/>
        <w:spacing w:after="200"/>
        <w:rPr>
          <w:b w:val="1"/>
          <w:bCs w:val="1"/>
          <w:sz w:val="28"/>
          <w:szCs w:val="28"/>
        </w:rPr>
      </w:pPr>
      <w:r w:rsidRPr="6D476394" w:rsidR="3BD139D3">
        <w:rPr>
          <w:b w:val="1"/>
          <w:bCs w:val="1"/>
          <w:sz w:val="28"/>
          <w:szCs w:val="28"/>
        </w:rPr>
        <w:t>Name: Ka</w:t>
      </w:r>
      <w:r w:rsidRPr="6D476394" w:rsidR="720BE598">
        <w:rPr>
          <w:b w:val="1"/>
          <w:bCs w:val="1"/>
          <w:sz w:val="28"/>
          <w:szCs w:val="28"/>
        </w:rPr>
        <w:t xml:space="preserve">y-Ann Lambert </w:t>
      </w:r>
    </w:p>
    <w:p w:rsidR="00486C0D" w:rsidP="00CF0503" w:rsidRDefault="00486C0D" w14:paraId="5C932BD4" w14:textId="7FE4805A">
      <w:pPr>
        <w:spacing w:after="200"/>
        <w:rPr>
          <w:b/>
          <w:bCs/>
          <w:sz w:val="28"/>
          <w:szCs w:val="28"/>
        </w:rPr>
      </w:pPr>
      <w:r>
        <w:rPr>
          <w:b/>
          <w:bCs/>
          <w:sz w:val="28"/>
          <w:szCs w:val="28"/>
        </w:rPr>
        <w:t>ID: 2406927</w:t>
      </w:r>
    </w:p>
    <w:p w:rsidR="00486C0D" w:rsidP="00CF0503" w:rsidRDefault="00486C0D" w14:paraId="7FABAEE3" w14:textId="4A7FE632">
      <w:pPr>
        <w:spacing w:after="200"/>
        <w:rPr>
          <w:b/>
          <w:bCs/>
          <w:sz w:val="28"/>
          <w:szCs w:val="28"/>
        </w:rPr>
      </w:pPr>
      <w:r>
        <w:rPr>
          <w:b/>
          <w:bCs/>
          <w:sz w:val="28"/>
          <w:szCs w:val="28"/>
        </w:rPr>
        <w:t>Mo</w:t>
      </w:r>
      <w:r w:rsidR="007322BD">
        <w:rPr>
          <w:b/>
          <w:bCs/>
          <w:sz w:val="28"/>
          <w:szCs w:val="28"/>
        </w:rPr>
        <w:t>dule Code</w:t>
      </w:r>
      <w:r w:rsidR="002274F1">
        <w:rPr>
          <w:b/>
          <w:bCs/>
          <w:sz w:val="28"/>
          <w:szCs w:val="28"/>
        </w:rPr>
        <w:t>: LCBB4014</w:t>
      </w:r>
    </w:p>
    <w:p w:rsidR="002274F1" w:rsidP="00CF0503" w:rsidRDefault="00B14F73" w14:paraId="7CC2FA22" w14:textId="5130ADF2">
      <w:pPr>
        <w:spacing w:after="200"/>
        <w:rPr>
          <w:b/>
          <w:bCs/>
          <w:sz w:val="28"/>
          <w:szCs w:val="28"/>
        </w:rPr>
      </w:pPr>
      <w:r>
        <w:rPr>
          <w:b/>
          <w:bCs/>
          <w:sz w:val="28"/>
          <w:szCs w:val="28"/>
        </w:rPr>
        <w:t>Module Title: Introduction</w:t>
      </w:r>
      <w:r w:rsidR="00575CBF">
        <w:rPr>
          <w:b/>
          <w:bCs/>
          <w:sz w:val="28"/>
          <w:szCs w:val="28"/>
        </w:rPr>
        <w:t xml:space="preserve"> to Business </w:t>
      </w:r>
    </w:p>
    <w:p w:rsidR="00575CBF" w:rsidP="00CF0503" w:rsidRDefault="00575CBF" w14:paraId="07ECBF8A" w14:textId="5430DABA">
      <w:pPr>
        <w:spacing w:after="200"/>
        <w:rPr>
          <w:b w:val="1"/>
          <w:bCs w:val="1"/>
          <w:sz w:val="28"/>
          <w:szCs w:val="28"/>
        </w:rPr>
      </w:pPr>
      <w:r w:rsidRPr="6D476394" w:rsidR="4D2BD94D">
        <w:rPr>
          <w:b w:val="1"/>
          <w:bCs w:val="1"/>
          <w:sz w:val="28"/>
          <w:szCs w:val="28"/>
        </w:rPr>
        <w:t xml:space="preserve">Assignment </w:t>
      </w:r>
      <w:r w:rsidRPr="6D476394" w:rsidR="797F043D">
        <w:rPr>
          <w:b w:val="1"/>
          <w:bCs w:val="1"/>
          <w:sz w:val="28"/>
          <w:szCs w:val="28"/>
        </w:rPr>
        <w:t xml:space="preserve">Title: </w:t>
      </w:r>
      <w:r w:rsidRPr="6D476394" w:rsidR="2B98D1B5">
        <w:rPr>
          <w:b w:val="1"/>
          <w:bCs w:val="1"/>
          <w:sz w:val="28"/>
          <w:szCs w:val="28"/>
        </w:rPr>
        <w:t>Component</w:t>
      </w:r>
      <w:r w:rsidRPr="6D476394" w:rsidR="2B98D1B5">
        <w:rPr>
          <w:b w:val="1"/>
          <w:bCs w:val="1"/>
          <w:sz w:val="28"/>
          <w:szCs w:val="28"/>
        </w:rPr>
        <w:t xml:space="preserve"> 2</w:t>
      </w:r>
      <w:r w:rsidRPr="6D476394" w:rsidR="2131A500">
        <w:rPr>
          <w:b w:val="1"/>
          <w:bCs w:val="1"/>
          <w:sz w:val="28"/>
          <w:szCs w:val="28"/>
        </w:rPr>
        <w:t xml:space="preserve">: </w:t>
      </w:r>
      <w:r w:rsidRPr="6D476394" w:rsidR="6FA9C9CC">
        <w:rPr>
          <w:b w:val="1"/>
          <w:bCs w:val="1"/>
          <w:sz w:val="28"/>
          <w:szCs w:val="28"/>
        </w:rPr>
        <w:t xml:space="preserve">Coursework: </w:t>
      </w:r>
      <w:r w:rsidRPr="6D476394" w:rsidR="2131A500">
        <w:rPr>
          <w:b w:val="1"/>
          <w:bCs w:val="1"/>
          <w:sz w:val="28"/>
          <w:szCs w:val="28"/>
        </w:rPr>
        <w:t xml:space="preserve">Essay </w:t>
      </w:r>
    </w:p>
    <w:p w:rsidR="009E7D62" w:rsidP="00CF0503" w:rsidRDefault="00823BA6" w14:paraId="0D30D219" w14:textId="3FB696DA">
      <w:pPr>
        <w:spacing w:after="200"/>
        <w:rPr>
          <w:b/>
          <w:bCs/>
          <w:sz w:val="28"/>
          <w:szCs w:val="28"/>
        </w:rPr>
      </w:pPr>
      <w:r>
        <w:rPr>
          <w:b/>
          <w:bCs/>
          <w:sz w:val="28"/>
          <w:szCs w:val="28"/>
        </w:rPr>
        <w:t xml:space="preserve">Lecturer: Dr Liyanage </w:t>
      </w:r>
      <w:r w:rsidR="007B3CF2">
        <w:rPr>
          <w:b/>
          <w:bCs/>
          <w:sz w:val="28"/>
          <w:szCs w:val="28"/>
        </w:rPr>
        <w:t xml:space="preserve">Rodrigo </w:t>
      </w:r>
    </w:p>
    <w:p w:rsidR="007B3CF2" w:rsidP="00CF0503" w:rsidRDefault="007B3CF2" w14:paraId="776F98F5" w14:textId="0D41EB3C">
      <w:pPr>
        <w:spacing w:after="200"/>
      </w:pPr>
      <w:r>
        <w:rPr>
          <w:b/>
          <w:bCs/>
          <w:sz w:val="28"/>
          <w:szCs w:val="28"/>
        </w:rPr>
        <w:t>Date: 29</w:t>
      </w:r>
      <w:r w:rsidRPr="007B3CF2">
        <w:rPr>
          <w:b/>
          <w:bCs/>
          <w:sz w:val="28"/>
          <w:szCs w:val="28"/>
          <w:vertAlign w:val="superscript"/>
        </w:rPr>
        <w:t>th</w:t>
      </w:r>
      <w:r>
        <w:rPr>
          <w:b/>
          <w:bCs/>
          <w:sz w:val="28"/>
          <w:szCs w:val="28"/>
        </w:rPr>
        <w:t xml:space="preserve"> March </w:t>
      </w:r>
      <w:r w:rsidR="00B17B6A">
        <w:rPr>
          <w:b/>
          <w:bCs/>
          <w:sz w:val="28"/>
          <w:szCs w:val="28"/>
        </w:rPr>
        <w:t>2026</w:t>
      </w:r>
    </w:p>
    <w:p w:rsidR="00A20218" w:rsidRDefault="00A20218" w14:paraId="0D19478C" w14:textId="77777777">
      <w:pPr>
        <w:spacing w:after="200"/>
      </w:pPr>
    </w:p>
    <w:p w:rsidR="00A20218" w:rsidRDefault="00A20218" w14:paraId="1DDA8939" w14:textId="77777777">
      <w:pPr>
        <w:spacing w:after="200"/>
      </w:pPr>
    </w:p>
    <w:p w:rsidR="00A20218" w:rsidRDefault="00A20218" w14:paraId="63CF0E7F" w14:textId="77777777">
      <w:pPr>
        <w:spacing w:after="200"/>
      </w:pPr>
    </w:p>
    <w:p w:rsidR="00B17B6A" w:rsidRDefault="00B17B6A" w14:paraId="15FD2DE1" w14:textId="77777777">
      <w:pPr>
        <w:spacing w:after="200"/>
        <w:jc w:val="center"/>
        <w:rPr>
          <w:b/>
          <w:bCs/>
          <w:sz w:val="28"/>
          <w:szCs w:val="28"/>
        </w:rPr>
      </w:pPr>
    </w:p>
    <w:p w:rsidR="00B17B6A" w:rsidRDefault="00B17B6A" w14:paraId="1F863736" w14:textId="77777777">
      <w:pPr>
        <w:spacing w:after="200"/>
        <w:jc w:val="center"/>
        <w:rPr>
          <w:b/>
          <w:bCs/>
          <w:sz w:val="28"/>
          <w:szCs w:val="28"/>
        </w:rPr>
      </w:pPr>
    </w:p>
    <w:p w:rsidR="00B17B6A" w:rsidRDefault="00B17B6A" w14:paraId="6A476B19" w14:textId="77777777">
      <w:pPr>
        <w:spacing w:after="200"/>
        <w:jc w:val="center"/>
        <w:rPr>
          <w:b/>
          <w:bCs/>
          <w:sz w:val="28"/>
          <w:szCs w:val="28"/>
        </w:rPr>
      </w:pPr>
    </w:p>
    <w:p w:rsidR="00B17B6A" w:rsidRDefault="00B17B6A" w14:paraId="68C51FCD" w14:textId="77777777">
      <w:pPr>
        <w:spacing w:after="200"/>
        <w:jc w:val="center"/>
        <w:rPr>
          <w:b/>
          <w:bCs/>
          <w:sz w:val="28"/>
          <w:szCs w:val="28"/>
        </w:rPr>
      </w:pPr>
    </w:p>
    <w:p w:rsidR="6D476394" w:rsidP="6D476394" w:rsidRDefault="6D476394" w14:paraId="49D0A821" w14:textId="42709BE0">
      <w:pPr>
        <w:pStyle w:val="Normal"/>
        <w:spacing w:after="200"/>
        <w:jc w:val="center"/>
        <w:rPr>
          <w:b w:val="1"/>
          <w:bCs w:val="1"/>
          <w:sz w:val="28"/>
          <w:szCs w:val="28"/>
        </w:rPr>
      </w:pPr>
    </w:p>
    <w:p w:rsidR="6D476394" w:rsidP="6D476394" w:rsidRDefault="6D476394" w14:paraId="4E179D0D" w14:textId="1F24CF78">
      <w:pPr>
        <w:pStyle w:val="Normal"/>
        <w:spacing w:after="200"/>
        <w:jc w:val="center"/>
        <w:rPr>
          <w:b w:val="1"/>
          <w:bCs w:val="1"/>
          <w:sz w:val="28"/>
          <w:szCs w:val="28"/>
        </w:rPr>
      </w:pPr>
    </w:p>
    <w:p w:rsidR="00A20218" w:rsidP="6D476394" w:rsidRDefault="00AF6321" w14:paraId="196C0038" w14:textId="62FEC4F8">
      <w:pPr>
        <w:pStyle w:val="Normal"/>
        <w:spacing w:after="200"/>
        <w:jc w:val="center"/>
        <w:rPr>
          <w:b w:val="1"/>
          <w:bCs w:val="1"/>
          <w:sz w:val="28"/>
          <w:szCs w:val="28"/>
        </w:rPr>
      </w:pPr>
      <w:r w:rsidRPr="6D476394" w:rsidR="22B96609">
        <w:rPr>
          <w:b w:val="1"/>
          <w:bCs w:val="1"/>
          <w:sz w:val="28"/>
          <w:szCs w:val="28"/>
        </w:rPr>
        <w:t>Business Ethics and Corporate Social Responsibility:</w:t>
      </w:r>
    </w:p>
    <w:p w:rsidR="00A20218" w:rsidP="00BE0F12" w:rsidRDefault="00603B6F" w14:paraId="5F513544" w14:textId="4BA35FBF">
      <w:pPr>
        <w:spacing w:after="200"/>
      </w:pPr>
      <w:r>
        <w:rPr>
          <w:b/>
          <w:bCs/>
          <w:sz w:val="28"/>
          <w:szCs w:val="28"/>
        </w:rPr>
        <w:t xml:space="preserve">                     </w:t>
      </w:r>
      <w:r w:rsidR="00AF6321">
        <w:rPr>
          <w:b/>
          <w:bCs/>
          <w:sz w:val="26"/>
          <w:szCs w:val="26"/>
        </w:rPr>
        <w:t xml:space="preserve">Concepts, Models, and </w:t>
      </w:r>
      <w:r w:rsidR="00B31676">
        <w:rPr>
          <w:b/>
          <w:bCs/>
          <w:sz w:val="26"/>
          <w:szCs w:val="26"/>
        </w:rPr>
        <w:t>Organizational</w:t>
      </w:r>
      <w:r w:rsidR="00AF6321">
        <w:rPr>
          <w:b/>
          <w:bCs/>
          <w:sz w:val="26"/>
          <w:szCs w:val="26"/>
        </w:rPr>
        <w:t xml:space="preserve"> Performance</w:t>
      </w:r>
    </w:p>
    <w:p w:rsidR="0003464C" w:rsidP="00F837C4" w:rsidRDefault="0003464C" w14:paraId="1002AB4F" w14:textId="77777777"/>
    <w:p w:rsidR="00106017" w:rsidP="00F837C4" w:rsidRDefault="00106017" w14:paraId="35AD8082" w14:textId="77777777"/>
    <w:p w:rsidR="00106017" w:rsidP="00F837C4" w:rsidRDefault="00106017" w14:paraId="7C402036" w14:textId="77777777"/>
    <w:p w:rsidR="00A20218" w:rsidP="4D1C35D7" w:rsidRDefault="00AF6321" w14:paraId="00E0DB44" w14:textId="5C27C1BC">
      <w:pPr>
        <w:spacing w:line="360" w:lineRule="auto"/>
        <w:jc w:val="both"/>
      </w:pPr>
      <w:r>
        <w:t xml:space="preserve">Business ethics and corporate social responsibility (CSR) have emerged as </w:t>
      </w:r>
      <w:r w:rsidR="00444F68">
        <w:t>defined</w:t>
      </w:r>
      <w:r>
        <w:t xml:space="preserve"> features of contemporary </w:t>
      </w:r>
      <w:r w:rsidR="00606555">
        <w:t>organizational</w:t>
      </w:r>
      <w:r>
        <w:t xml:space="preserve"> management, shaping strategic priorities and stakeholder relationships across all sectors. Needle and Jane (2023, p. 1) assert that “business ethics and CSR are both conducting business in an ethical manner and acting responsibly towards stakeholders and looking after the environment,” capturing the moral and strategic character of both concepts. This essay defines and explains business ethics and CSR through Carroll’s (1991) Pyramid of CSR and Elkington’s (1997) Triple Bottom Line before critically assessing their relationship with business performance. </w:t>
      </w:r>
      <w:r w:rsidR="00606555">
        <w:t>Organizational</w:t>
      </w:r>
      <w:r>
        <w:t xml:space="preserve"> examples from Unilever, Patagonia, and Tesco ground theoretical principles in practice, and the analysis engages critically with Friedman’s (1970) shareholder primacy </w:t>
      </w:r>
      <w:r w:rsidR="00CC4990">
        <w:t>argument, Donaldson,</w:t>
      </w:r>
      <w:r>
        <w:t xml:space="preserve"> and Preston’s (1995) stakeholder framework.</w:t>
      </w:r>
    </w:p>
    <w:p w:rsidR="00A20218" w:rsidP="2DE9460A" w:rsidRDefault="00AF6321" w14:paraId="4D48652B" w14:textId="72FF6947">
      <w:pPr>
        <w:spacing w:line="360" w:lineRule="auto"/>
        <w:ind w:firstLine="720"/>
        <w:jc w:val="both"/>
      </w:pPr>
      <w:r>
        <w:t xml:space="preserve">Business ethics refers to the application of moral principles to commercial decision-making and </w:t>
      </w:r>
      <w:r w:rsidR="00606555">
        <w:t>organizational</w:t>
      </w:r>
      <w:r>
        <w:t xml:space="preserve"> conduct (Crane and Matten, 2016). Crane and Matten (2016, p. 5) define it as “the study of business situations, activities and decisions where issues of right and wrong are addressed,” demonstrating that ethical behaviour extends </w:t>
      </w:r>
      <w:r w:rsidR="00596AED">
        <w:t>beyond</w:t>
      </w:r>
      <w:r>
        <w:t xml:space="preserve"> legislative compliance. Blowfield and Murray (2014) argue that ethics operates across individual, </w:t>
      </w:r>
      <w:r w:rsidR="00DC3DC8">
        <w:t>organizational</w:t>
      </w:r>
      <w:r>
        <w:t xml:space="preserve">, and societal levels, encompassing values of fairness, transparency, and accountability in all stakeholder dealings. Ferrell et al. (2019) illustrate this through </w:t>
      </w:r>
      <w:r w:rsidR="00DC3DC8">
        <w:t>organizations</w:t>
      </w:r>
      <w:r>
        <w:t xml:space="preserve"> that voluntarily disclose supply chain labour conditions without regulatory obligation, identifying such transparency as substantive ethical commitment. Nickels et al. (2019) contend that ethical values are most sustainably embedded through </w:t>
      </w:r>
      <w:r w:rsidR="00DC3DC8">
        <w:t>organizational</w:t>
      </w:r>
      <w:r>
        <w:t xml:space="preserve"> culture and leadership rather than compliance mechanisms alone.</w:t>
      </w:r>
    </w:p>
    <w:p w:rsidR="00A20218" w:rsidP="2DE9460A" w:rsidRDefault="00AF6321" w14:paraId="6D5DF591" w14:textId="6BB171B0">
      <w:pPr>
        <w:spacing w:line="360" w:lineRule="auto"/>
        <w:ind w:firstLine="720"/>
        <w:jc w:val="both"/>
      </w:pPr>
      <w:r>
        <w:t xml:space="preserve">CSR extends the ethical foundation of business conduct to encompass voluntary commitments to social and environmental welfare beyond regulatory requirements (Werther and Chandler, 2011). Carroll (1991) conceptualises CSR through a four-tier pyramid comprising economic, legal, ethical, and philanthropic responsibilities, arguing that all four must be discharged simultaneously for an </w:t>
      </w:r>
      <w:r w:rsidR="00C2793D">
        <w:t>organization</w:t>
      </w:r>
      <w:r>
        <w:t xml:space="preserve"> to be genuinely socially responsible, as illustrated in Figure 1 below.</w:t>
      </w:r>
    </w:p>
    <w:p w:rsidR="00A20218" w:rsidP="2DE9460A" w:rsidRDefault="00AF6321" w14:paraId="48A2A3E7" w14:textId="77777777">
      <w:pPr>
        <w:spacing w:before="200" w:after="80" w:line="360" w:lineRule="auto"/>
        <w:jc w:val="center"/>
      </w:pPr>
      <w:r>
        <w:rPr>
          <w:noProof/>
        </w:rPr>
        <w:drawing>
          <wp:inline distT="0" distB="0" distL="0" distR="0" wp14:anchorId="54880A0B" wp14:editId="7FCF9576">
            <wp:extent cx="4000500" cy="3143250"/>
            <wp:effectExtent l="0" t="0" r="0" b="0"/>
            <wp:docPr id="1" name="CarrollPyramid" descr="Carroll's (1991) four-tier CSR pyramid" title="Carroll's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4000500" cy="3143250"/>
                    </a:xfrm>
                    <a:prstGeom prst="rect">
                      <a:avLst/>
                    </a:prstGeom>
                  </pic:spPr>
                </pic:pic>
              </a:graphicData>
            </a:graphic>
          </wp:inline>
        </w:drawing>
      </w:r>
    </w:p>
    <w:p w:rsidR="00A20218" w:rsidP="2DE9460A" w:rsidRDefault="00AF6321" w14:paraId="2276A1DF" w14:textId="77777777">
      <w:pPr>
        <w:spacing w:before="80" w:after="200" w:line="360" w:lineRule="auto"/>
        <w:jc w:val="center"/>
      </w:pPr>
      <w:r w:rsidRPr="2DE9460A">
        <w:rPr>
          <w:i/>
          <w:iCs/>
          <w:sz w:val="20"/>
          <w:szCs w:val="20"/>
        </w:rPr>
        <w:t>Figure 1: Carroll’s (1991) Pyramid of Corporate Social Responsibility (Source: Carroll, 1991)</w:t>
      </w:r>
    </w:p>
    <w:p w:rsidR="00A20218" w:rsidP="2DE9460A" w:rsidRDefault="00AF6321" w14:paraId="3C2CB065" w14:textId="0A4C3103">
      <w:pPr>
        <w:spacing w:line="360" w:lineRule="auto"/>
        <w:ind w:firstLine="720"/>
        <w:jc w:val="both"/>
      </w:pPr>
      <w:r>
        <w:t xml:space="preserve">The economic tier is foundational—without financial </w:t>
      </w:r>
      <w:r w:rsidR="2BC08B55">
        <w:t>viability;</w:t>
      </w:r>
      <w:r>
        <w:t xml:space="preserve"> higher-order responsibilities cannot be sustained—yet Carroll (1991) insists that profitability must not be pursued at the expense of ethical integrity. This model critically refutes any binary opposition between profit and ethics, demonstrating that they are hierarchically interdependent (Blowfield and Murray, 2014). Kotler and Lee (2005) reinforce this view, finding that strategically embedded CSR builds consumer trust and brand loyalty, thereby enhancing rather than undermining commercial performance.</w:t>
      </w:r>
    </w:p>
    <w:p w:rsidR="00A20218" w:rsidP="2DE9460A" w:rsidRDefault="00AF6321" w14:paraId="1977D801" w14:textId="54873937">
      <w:pPr>
        <w:spacing w:line="360" w:lineRule="auto"/>
        <w:ind w:firstLine="720"/>
        <w:jc w:val="both"/>
      </w:pPr>
      <w:r>
        <w:t xml:space="preserve">Elkington’s (1997) Triple Bottom Line (TBL) framework proposes that </w:t>
      </w:r>
      <w:r w:rsidR="5FB3417A">
        <w:t>organizational</w:t>
      </w:r>
      <w:r>
        <w:t xml:space="preserve"> performance be evaluated across three dimensions—economic, social, and environmental—commonly expressed as “People, Planet, and Profit.” Each dimension carries distinct </w:t>
      </w:r>
      <w:r w:rsidR="5BC363D5">
        <w:t>organizational</w:t>
      </w:r>
      <w:r>
        <w:t xml:space="preserve"> obligations. </w:t>
      </w:r>
      <w:r w:rsidRPr="2DE9460A">
        <w:rPr>
          <w:b/>
          <w:bCs/>
        </w:rPr>
        <w:t>People</w:t>
      </w:r>
      <w:r>
        <w:t xml:space="preserve"> </w:t>
      </w:r>
      <w:r w:rsidR="0022100C">
        <w:t>refer</w:t>
      </w:r>
      <w:r>
        <w:t xml:space="preserve"> to an </w:t>
      </w:r>
      <w:r w:rsidR="00915F7F">
        <w:t>organization’s</w:t>
      </w:r>
      <w:r w:rsidR="00050811">
        <w:t xml:space="preserve"> </w:t>
      </w:r>
      <w:r>
        <w:t xml:space="preserve">social responsibilities towards employees, communities, and supply chain workers, encompassing fair wages, safe working conditions, and community investment (Elkington, 1997). </w:t>
      </w:r>
      <w:r w:rsidRPr="2DE9460A">
        <w:rPr>
          <w:b/>
          <w:bCs/>
        </w:rPr>
        <w:t>Planet</w:t>
      </w:r>
      <w:r>
        <w:t xml:space="preserve"> concerns environmental stewardship—an </w:t>
      </w:r>
      <w:r w:rsidR="09B0F081">
        <w:t>organization's</w:t>
      </w:r>
      <w:r>
        <w:t xml:space="preserve"> obligation to minimise ecological damage, reduce carbon emissions, and manage waste responsibly </w:t>
      </w:r>
      <w:r w:rsidR="00984380">
        <w:t>to</w:t>
      </w:r>
      <w:r>
        <w:t xml:space="preserve"> operate within sustainable ecological limits (Blowfield and Murray, 2014). </w:t>
      </w:r>
      <w:r w:rsidRPr="2DE9460A">
        <w:rPr>
          <w:b/>
          <w:bCs/>
        </w:rPr>
        <w:t>Profit</w:t>
      </w:r>
      <w:r>
        <w:t xml:space="preserve"> within the TBL is reframed critically: rather than denoting shareholder wealth maximisation as Friedman (1970) advocates, it signifies the generation of sustainable economic value that enables ongoing investment in social and environmental responsibilities (Elkington, 1997). Together, these three pillars challenge Friedman’s (1970) shareholder-only position, demonstrating that long-run performance demands accountability across all three simultaneously (Needle and Jane, 2023).</w:t>
      </w:r>
    </w:p>
    <w:p w:rsidR="00A20218" w:rsidP="2DE9460A" w:rsidRDefault="00AF6321" w14:paraId="25A65284" w14:textId="287EEDA5">
      <w:pPr>
        <w:spacing w:line="360" w:lineRule="auto"/>
        <w:ind w:firstLine="720"/>
        <w:jc w:val="both"/>
      </w:pPr>
      <w:r>
        <w:t xml:space="preserve">Donaldson and Preston (1995) argue that stakeholder theory is simultaneously descriptive, instrumental, and normative: </w:t>
      </w:r>
      <w:r w:rsidR="00F25CC1">
        <w:t>organizations</w:t>
      </w:r>
      <w:r>
        <w:t xml:space="preserve"> that </w:t>
      </w:r>
      <w:r w:rsidR="0015250E">
        <w:t>address</w:t>
      </w:r>
      <w:r>
        <w:t xml:space="preserve"> the legitimate interests of all stakeholder </w:t>
      </w:r>
      <w:r w:rsidR="00077879">
        <w:t xml:space="preserve">groups, </w:t>
      </w:r>
      <w:r>
        <w:t xml:space="preserve">employees, customers, suppliers, communities, and the environment—consistently outperform those focused solely on shareholders across multiple measures of long-run performance. Porter and Kramer (2006) develop this view, contending that a company’s competitive position and community vitality are deeply interconnected, such that long-term profitability depends upon the social and reputational capital that responsible conduct generates. Unilever exemplifies these principles through its Sustainable Living Plan, committing to </w:t>
      </w:r>
      <w:r w:rsidR="0FDB85BB">
        <w:t>halving</w:t>
      </w:r>
      <w:r>
        <w:t xml:space="preserve"> its environmental footprint, </w:t>
      </w:r>
      <w:r w:rsidR="23AA5070">
        <w:t>improving</w:t>
      </w:r>
      <w:r>
        <w:t xml:space="preserve"> the health of one billion people, and </w:t>
      </w:r>
      <w:r w:rsidR="0D66E1DE">
        <w:t>enhancing</w:t>
      </w:r>
      <w:r>
        <w:t xml:space="preserve"> supply chain livelihoods (Blowfield and Murray, 2014). Nickels et al. (2019) report that Unilever’s sustainable brands grew fifty per cent faster than the remainder of its portfolio, providing significant empirical evidence that integrating Carroll’s (1991) higher-order CSR responsibilities into strategy enhances rather than compromises economic performance.</w:t>
      </w:r>
    </w:p>
    <w:p w:rsidR="00A20218" w:rsidP="2DE9460A" w:rsidRDefault="00AF6321" w14:paraId="78B8559C" w14:textId="044A0C73">
      <w:pPr>
        <w:spacing w:line="360" w:lineRule="auto"/>
        <w:ind w:firstLine="720"/>
        <w:jc w:val="both"/>
      </w:pPr>
      <w:r>
        <w:t xml:space="preserve">Patagonia provides a compelling case study </w:t>
      </w:r>
      <w:r w:rsidR="3811B3FF">
        <w:t>with</w:t>
      </w:r>
      <w:r>
        <w:t xml:space="preserve"> ethics-driven competitive advantage. The company donates one per cent of annual sales to environmental causes, employs recycled and organic materials throughout its supply chain, and encourages customers to repair products rather than purchase replacements (Werther and Chandler, 2011). In 2022, founder Yvon Chouinard transferred corporate ownership to an environmental trust, institutionalising philanthropic values at the highest governance level and realising Carroll’s (1991) philanthropic tier in its most substantive form (Needle and Jane, 2023). Kotler and Lee (2005) identify such ethics-embedded identity as capable of generating premium pricing power and durable consumer loyalty, demonstrating that Elkington’s (1997) “Planet” pillar is entirely compatible with sustained profitability.</w:t>
      </w:r>
    </w:p>
    <w:p w:rsidR="00A20218" w:rsidP="2DE9460A" w:rsidRDefault="00AF6321" w14:paraId="52B942B3" w14:textId="77777777">
      <w:pPr>
        <w:spacing w:line="360" w:lineRule="auto"/>
        <w:ind w:firstLine="720"/>
        <w:jc w:val="both"/>
      </w:pPr>
      <w:r>
        <w:t>Tesco illustrates both the strategic opportunities and structural risks associated with CSR in a mainstream commercial context. Its “Little Helps Plan” addresses both Elkington’s (1997) “People” and “Planet” dimensions through commitments to reduce food waste, achieve net-zero carbon emissions by 2050, and improve food affordability for lower-income consumers (Mullins, 2019). However, the 2014 accounting scandal—in which Tesco overstated profits by £263 million—inflicted severe damage upon stakeholder trust and produced a substantial decline in market confidence (Ferrell et al., 2019). This critically reinforces Carroll’s (1991) model: failures at the legal and ethical tiers undermine even the most visible philanthropic commitments. Donaldson and Preston (1995) argue that stakeholder trust, once eroded through ethical failure, produces lasting damage to the normative and instrumental foundations of corporate legitimacy.</w:t>
      </w:r>
    </w:p>
    <w:p w:rsidR="00A20218" w:rsidP="2DE9460A" w:rsidRDefault="00AF6321" w14:paraId="28409EC7" w14:textId="76BD9AA4">
      <w:pPr>
        <w:spacing w:line="360" w:lineRule="auto"/>
        <w:ind w:firstLine="720"/>
        <w:jc w:val="both"/>
      </w:pPr>
      <w:r>
        <w:t xml:space="preserve">The evidence examined demonstrates that the relationship between business ethics, CSR, and performance is broadly positive but analytically complex. Porter and Kramer (2006) argue that strategically embedded CSR creates shared value—simultaneously generating business and societal benefits—in contrast to performative “greenwashing,” which exposes </w:t>
      </w:r>
      <w:r w:rsidR="37B170F7">
        <w:t>organizations</w:t>
      </w:r>
      <w:r>
        <w:t xml:space="preserve"> to reputational and regulatory risk without substantive gain. Crane and Matten (2016) note that employees are demonstrably more engaged within </w:t>
      </w:r>
      <w:r w:rsidR="452E2B68">
        <w:t>organizations</w:t>
      </w:r>
      <w:r>
        <w:t xml:space="preserve"> governed by strong ethical values, whilst Nickels et al. (2019) observe that institutional investors are progressively incorporating ESG criteria into capital allocation decisions, further incentivising responsible conduct.</w:t>
      </w:r>
    </w:p>
    <w:p w:rsidR="00A20218" w:rsidP="2DE9460A" w:rsidRDefault="00AF6321" w14:paraId="5217F249" w14:textId="0D1F5E3A">
      <w:pPr>
        <w:spacing w:line="360" w:lineRule="auto"/>
        <w:ind w:firstLine="720"/>
        <w:jc w:val="both"/>
      </w:pPr>
      <w:r>
        <w:t xml:space="preserve">In conclusion, business ethics and CSR are interrelated concepts constituting a framework for responsible, stakeholder-centred </w:t>
      </w:r>
      <w:r w:rsidR="317B8291">
        <w:t>organizational</w:t>
      </w:r>
      <w:r>
        <w:t xml:space="preserve"> conduct. Carroll’s (1991) Pyramid and Elkington’s (1997) Triple Bottom Line collectively demonstrate that ethical and social responsibilities—spanning People, Planet, and Profit—are integral dimensions of sustainable strategy rather than peripheral concerns. Donaldson and Preston’s (1995) stakeholder framework provides the analytical basis for understanding why such responsibilities are both normatively appropriate and strategically rational, whilst Friedman’s (1970) shareholder primacy argument fails to account for the long-term relational value ethical conduct generates. The cases of Unilever, Patagonia, and Tesco illustrate that genuine CSR commitment is associated with enhanced brand equity, stakeholder loyalty, and resilient performance. As Needle and Jane (2023, p. 1) assert, conducting business responsibly towards stakeholders and the environment represents an increasingly indispensable strategic imperative.</w:t>
      </w:r>
    </w:p>
    <w:p w:rsidR="00A20218" w:rsidP="2DE9460A" w:rsidRDefault="00AF6321" w14:paraId="7BB6CAFC" w14:textId="77777777">
      <w:pPr>
        <w:spacing w:line="360" w:lineRule="auto"/>
      </w:pPr>
      <w:r>
        <w:br w:type="page"/>
      </w:r>
    </w:p>
    <w:p w:rsidR="00CC7FB9" w:rsidP="2DE9460A" w:rsidRDefault="00CC7FB9" w14:paraId="1E8AA193" w14:textId="77777777">
      <w:pPr>
        <w:spacing w:after="320" w:line="360" w:lineRule="auto"/>
        <w:jc w:val="center"/>
        <w:rPr>
          <w:b/>
          <w:bCs/>
        </w:rPr>
      </w:pPr>
    </w:p>
    <w:p w:rsidR="00993495" w:rsidRDefault="00993495" w14:paraId="5AE943AD" w14:textId="77777777">
      <w:pPr>
        <w:spacing w:after="160" w:line="360" w:lineRule="auto"/>
        <w:ind w:left="720" w:hanging="720"/>
        <w:jc w:val="both"/>
      </w:pPr>
    </w:p>
    <w:p w:rsidRPr="009F4DB9" w:rsidR="00993495" w:rsidP="6D476394" w:rsidRDefault="00C61201" w14:paraId="4F434ED7" w14:textId="215EED2E">
      <w:pPr>
        <w:spacing w:after="160" w:line="360" w:lineRule="auto"/>
        <w:ind w:left="720" w:hanging="720"/>
        <w:jc w:val="both"/>
        <w:rPr>
          <w:b w:val="1"/>
          <w:bCs w:val="1"/>
          <w:sz w:val="40"/>
          <w:szCs w:val="40"/>
        </w:rPr>
      </w:pPr>
      <w:r w:rsidRPr="6D476394" w:rsidR="60B75221">
        <w:rPr>
          <w:b w:val="1"/>
          <w:bCs w:val="1"/>
          <w:sz w:val="40"/>
          <w:szCs w:val="40"/>
        </w:rPr>
        <w:t>R</w:t>
      </w:r>
      <w:r w:rsidRPr="6D476394" w:rsidR="6C7CE1A8">
        <w:rPr>
          <w:b w:val="1"/>
          <w:bCs w:val="1"/>
          <w:sz w:val="40"/>
          <w:szCs w:val="40"/>
        </w:rPr>
        <w:t>eferences</w:t>
      </w:r>
    </w:p>
    <w:p w:rsidR="00993495" w:rsidRDefault="00993495" w14:paraId="4ABDD27D" w14:textId="77777777">
      <w:pPr>
        <w:spacing w:after="160" w:line="360" w:lineRule="auto"/>
        <w:ind w:left="720" w:hanging="720"/>
        <w:jc w:val="both"/>
      </w:pPr>
    </w:p>
    <w:p w:rsidR="00A20218" w:rsidP="6D476394" w:rsidRDefault="00AF6321" w14:paraId="4F250016" w14:textId="7BC9367B">
      <w:pPr>
        <w:pStyle w:val="Normal"/>
        <w:spacing w:after="160" w:line="360" w:lineRule="auto"/>
        <w:ind w:left="720" w:hanging="720"/>
        <w:jc w:val="both"/>
      </w:pPr>
      <w:r w:rsidR="22B96609">
        <w:rPr/>
        <w:t>Blowfield</w:t>
      </w:r>
      <w:r w:rsidR="22B96609">
        <w:rPr/>
        <w:t>, M. and Murray, A. (2014)</w:t>
      </w:r>
      <w:bookmarkStart w:name="_Int_4lJN4EWU" w:id="747866864"/>
      <w:r w:rsidR="22B96609">
        <w:rPr/>
        <w:t xml:space="preserve"> </w:t>
      </w:r>
      <w:r w:rsidRPr="6D476394" w:rsidR="22B96609">
        <w:rPr>
          <w:i w:val="1"/>
          <w:iCs w:val="1"/>
        </w:rPr>
        <w:t>Corporate</w:t>
      </w:r>
      <w:bookmarkEnd w:id="747866864"/>
      <w:r w:rsidRPr="6D476394" w:rsidR="22B96609">
        <w:rPr>
          <w:i w:val="1"/>
          <w:iCs w:val="1"/>
        </w:rPr>
        <w:t xml:space="preserve"> responsibility.</w:t>
      </w:r>
      <w:r w:rsidR="22B96609">
        <w:rPr/>
        <w:t xml:space="preserve"> 3rd </w:t>
      </w:r>
      <w:r w:rsidR="22B96609">
        <w:rPr/>
        <w:t>edn</w:t>
      </w:r>
      <w:r w:rsidR="22B96609">
        <w:rPr/>
        <w:t>. Oxford: Oxford University Press.</w:t>
      </w:r>
    </w:p>
    <w:p w:rsidR="00A20218" w:rsidRDefault="00AF6321" w14:paraId="59813EA2" w14:textId="286C61EB">
      <w:pPr>
        <w:spacing w:after="160" w:line="360" w:lineRule="auto"/>
        <w:ind w:left="720" w:hanging="720"/>
        <w:jc w:val="both"/>
      </w:pPr>
      <w:r w:rsidR="22B96609">
        <w:rPr/>
        <w:t>Carroll, A.B. (1991</w:t>
      </w:r>
      <w:r w:rsidR="51FDB780">
        <w:rPr/>
        <w:t>). The</w:t>
      </w:r>
      <w:r w:rsidR="22B96609">
        <w:rPr/>
        <w:t xml:space="preserve"> pyramid of corporate social </w:t>
      </w:r>
      <w:r w:rsidR="193258EA">
        <w:rPr/>
        <w:t>responsibility: Toward</w:t>
      </w:r>
      <w:r w:rsidR="22B96609">
        <w:rPr/>
        <w:t xml:space="preserve"> the moral management of organi</w:t>
      </w:r>
      <w:r w:rsidR="07767877">
        <w:rPr/>
        <w:t>z</w:t>
      </w:r>
      <w:r w:rsidR="22B96609">
        <w:rPr/>
        <w:t>ational stakeholders</w:t>
      </w:r>
      <w:r w:rsidR="6243AF42">
        <w:rPr/>
        <w:t xml:space="preserve">. </w:t>
      </w:r>
      <w:r w:rsidRPr="6D476394" w:rsidR="22B96609">
        <w:rPr>
          <w:i w:val="1"/>
          <w:iCs w:val="1"/>
        </w:rPr>
        <w:t xml:space="preserve">Business </w:t>
      </w:r>
      <w:r w:rsidRPr="6D476394" w:rsidR="6F6CC238">
        <w:rPr>
          <w:i w:val="1"/>
          <w:iCs w:val="1"/>
        </w:rPr>
        <w:t>H</w:t>
      </w:r>
      <w:bookmarkStart w:name="_Int_9CkRPfp6" w:id="1778970146"/>
      <w:r w:rsidRPr="6D476394" w:rsidR="22B96609">
        <w:rPr>
          <w:i w:val="1"/>
          <w:iCs w:val="1"/>
        </w:rPr>
        <w:t>orizons</w:t>
      </w:r>
      <w:bookmarkEnd w:id="1778970146"/>
      <w:r w:rsidRPr="6D476394" w:rsidR="22B96609">
        <w:rPr>
          <w:i w:val="1"/>
          <w:iCs w:val="1"/>
        </w:rPr>
        <w:t>,</w:t>
      </w:r>
      <w:r w:rsidR="22B96609">
        <w:rPr/>
        <w:t xml:space="preserve"> 34(4), pp. 39–48.</w:t>
      </w:r>
    </w:p>
    <w:p w:rsidR="00A20218" w:rsidRDefault="00AF6321" w14:paraId="4E4CA33E" w14:textId="1A1BBEB6">
      <w:pPr>
        <w:spacing w:after="160" w:line="360" w:lineRule="auto"/>
        <w:ind w:left="720" w:hanging="720"/>
        <w:jc w:val="both"/>
      </w:pPr>
      <w:r w:rsidR="22B96609">
        <w:rPr/>
        <w:t xml:space="preserve">Crane, </w:t>
      </w:r>
      <w:r w:rsidR="0269E8D5">
        <w:rPr/>
        <w:t>A.,</w:t>
      </w:r>
      <w:r w:rsidR="22B96609">
        <w:rPr/>
        <w:t xml:space="preserve"> and Matten, D. (2016)</w:t>
      </w:r>
      <w:r w:rsidR="2AECE8C6">
        <w:rPr/>
        <w:t>.</w:t>
      </w:r>
      <w:bookmarkStart w:name="_Int_RSP2xRCI" w:id="200530945"/>
      <w:r w:rsidR="22B96609">
        <w:rPr/>
        <w:t xml:space="preserve"> </w:t>
      </w:r>
      <w:r w:rsidRPr="6D476394" w:rsidR="22B96609">
        <w:rPr>
          <w:i w:val="1"/>
          <w:iCs w:val="1"/>
        </w:rPr>
        <w:t>Business</w:t>
      </w:r>
      <w:bookmarkEnd w:id="200530945"/>
      <w:r w:rsidRPr="6D476394" w:rsidR="22B96609">
        <w:rPr>
          <w:i w:val="1"/>
          <w:iCs w:val="1"/>
        </w:rPr>
        <w:t xml:space="preserve"> ethics: managing corporate citizenship and sustainability in the age of </w:t>
      </w:r>
      <w:r w:rsidRPr="6D476394" w:rsidR="2A40823A">
        <w:rPr>
          <w:i w:val="1"/>
          <w:iCs w:val="1"/>
        </w:rPr>
        <w:t>globalization</w:t>
      </w:r>
      <w:r w:rsidRPr="6D476394" w:rsidR="22B96609">
        <w:rPr>
          <w:i w:val="1"/>
          <w:iCs w:val="1"/>
        </w:rPr>
        <w:t>.</w:t>
      </w:r>
      <w:r w:rsidR="22B96609">
        <w:rPr/>
        <w:t xml:space="preserve"> 4th </w:t>
      </w:r>
      <w:r w:rsidR="22B96609">
        <w:rPr/>
        <w:t>edn</w:t>
      </w:r>
      <w:r w:rsidR="22B96609">
        <w:rPr/>
        <w:t>. Oxford: Oxford University Press.</w:t>
      </w:r>
    </w:p>
    <w:p w:rsidR="00A20218" w:rsidP="6D476394" w:rsidRDefault="00AF6321" w14:paraId="6D1F6BEB" w14:textId="2B944C85">
      <w:pPr>
        <w:pStyle w:val="Normal"/>
        <w:spacing w:after="160" w:line="360" w:lineRule="auto"/>
        <w:ind w:left="720" w:hanging="720"/>
        <w:jc w:val="both"/>
      </w:pPr>
      <w:r w:rsidR="22B96609">
        <w:rPr/>
        <w:t>Donaldson, T. and Preston, L.E. (</w:t>
      </w:r>
      <w:r w:rsidR="178CDE60">
        <w:rPr/>
        <w:t>1995</w:t>
      </w:r>
      <w:r w:rsidR="22B96609">
        <w:rPr/>
        <w:t>)</w:t>
      </w:r>
      <w:r w:rsidR="1613E6D1">
        <w:rPr/>
        <w:t>,</w:t>
      </w:r>
      <w:r w:rsidR="22B96609">
        <w:rPr/>
        <w:t xml:space="preserve"> </w:t>
      </w:r>
      <w:r w:rsidR="65E5E3C3">
        <w:rPr/>
        <w:t>“</w:t>
      </w:r>
      <w:r w:rsidR="22B96609">
        <w:rPr/>
        <w:t>The stakeholder theory of the corporation: concepts, evidence, and implications</w:t>
      </w:r>
      <w:r w:rsidR="4B9F3DE4">
        <w:rPr/>
        <w:t>”</w:t>
      </w:r>
      <w:r w:rsidR="22B96609">
        <w:rPr/>
        <w:t xml:space="preserve">, </w:t>
      </w:r>
      <w:r w:rsidRPr="6D476394" w:rsidR="22B96609">
        <w:rPr>
          <w:i w:val="1"/>
          <w:iCs w:val="1"/>
        </w:rPr>
        <w:t>Academy of Management Review,</w:t>
      </w:r>
      <w:r w:rsidR="22B96609">
        <w:rPr/>
        <w:t xml:space="preserve"> 20(1), pp. 65–91.</w:t>
      </w:r>
      <w:r w:rsidR="17D08B6E">
        <w:rPr/>
        <w:t xml:space="preserve"> </w:t>
      </w:r>
    </w:p>
    <w:p w:rsidR="00A20218" w:rsidRDefault="00AF6321" w14:paraId="697C13E0" w14:textId="3AD0C8A2">
      <w:pPr>
        <w:spacing w:after="160" w:line="360" w:lineRule="auto"/>
        <w:ind w:left="720" w:hanging="720"/>
        <w:jc w:val="both"/>
      </w:pPr>
      <w:r w:rsidR="22B96609">
        <w:rPr/>
        <w:t>Elkington, J. (1997)</w:t>
      </w:r>
      <w:r w:rsidR="4E16A5A4">
        <w:rPr/>
        <w:t>,</w:t>
      </w:r>
      <w:bookmarkStart w:name="_Int_lU13Bmym" w:id="1154401477"/>
      <w:r w:rsidR="22B96609">
        <w:rPr/>
        <w:t xml:space="preserve"> </w:t>
      </w:r>
      <w:r w:rsidRPr="6D476394" w:rsidR="22B96609">
        <w:rPr>
          <w:i w:val="1"/>
          <w:iCs w:val="1"/>
        </w:rPr>
        <w:t>Cannibals</w:t>
      </w:r>
      <w:bookmarkEnd w:id="1154401477"/>
      <w:r w:rsidRPr="6D476394" w:rsidR="22B96609">
        <w:rPr>
          <w:i w:val="1"/>
          <w:iCs w:val="1"/>
        </w:rPr>
        <w:t xml:space="preserve"> with forks: </w:t>
      </w:r>
      <w:r w:rsidRPr="6D476394" w:rsidR="12FEFAF8">
        <w:rPr>
          <w:i w:val="1"/>
          <w:iCs w:val="1"/>
        </w:rPr>
        <w:t>T</w:t>
      </w:r>
      <w:r w:rsidRPr="6D476394" w:rsidR="22B96609">
        <w:rPr>
          <w:i w:val="1"/>
          <w:iCs w:val="1"/>
        </w:rPr>
        <w:t xml:space="preserve">he </w:t>
      </w:r>
      <w:r w:rsidRPr="6D476394" w:rsidR="2DC67F14">
        <w:rPr>
          <w:i w:val="1"/>
          <w:iCs w:val="1"/>
        </w:rPr>
        <w:t>T</w:t>
      </w:r>
      <w:r w:rsidRPr="6D476394" w:rsidR="22B96609">
        <w:rPr>
          <w:i w:val="1"/>
          <w:iCs w:val="1"/>
        </w:rPr>
        <w:t xml:space="preserve">riple </w:t>
      </w:r>
      <w:r w:rsidRPr="6D476394" w:rsidR="08C45030">
        <w:rPr>
          <w:i w:val="1"/>
          <w:iCs w:val="1"/>
        </w:rPr>
        <w:t>B</w:t>
      </w:r>
      <w:r w:rsidRPr="6D476394" w:rsidR="22B96609">
        <w:rPr>
          <w:i w:val="1"/>
          <w:iCs w:val="1"/>
        </w:rPr>
        <w:t xml:space="preserve">ottom </w:t>
      </w:r>
      <w:r w:rsidRPr="6D476394" w:rsidR="6020AACA">
        <w:rPr>
          <w:i w:val="1"/>
          <w:iCs w:val="1"/>
        </w:rPr>
        <w:t>L</w:t>
      </w:r>
      <w:r w:rsidRPr="6D476394" w:rsidR="22B96609">
        <w:rPr>
          <w:i w:val="1"/>
          <w:iCs w:val="1"/>
        </w:rPr>
        <w:t xml:space="preserve">ine of 21st </w:t>
      </w:r>
      <w:r w:rsidRPr="6D476394" w:rsidR="69BE232F">
        <w:rPr>
          <w:i w:val="1"/>
          <w:iCs w:val="1"/>
        </w:rPr>
        <w:t>C</w:t>
      </w:r>
      <w:r w:rsidRPr="6D476394" w:rsidR="22B96609">
        <w:rPr>
          <w:i w:val="1"/>
          <w:iCs w:val="1"/>
        </w:rPr>
        <w:t xml:space="preserve">entury </w:t>
      </w:r>
      <w:r w:rsidRPr="6D476394" w:rsidR="0398B92E">
        <w:rPr>
          <w:i w:val="1"/>
          <w:iCs w:val="1"/>
        </w:rPr>
        <w:t>B</w:t>
      </w:r>
      <w:r w:rsidRPr="6D476394" w:rsidR="22B96609">
        <w:rPr>
          <w:i w:val="1"/>
          <w:iCs w:val="1"/>
        </w:rPr>
        <w:t>usiness.</w:t>
      </w:r>
      <w:r w:rsidR="22B96609">
        <w:rPr/>
        <w:t xml:space="preserve"> Oxford: Capstone.</w:t>
      </w:r>
    </w:p>
    <w:p w:rsidR="00A20218" w:rsidRDefault="00AF6321" w14:paraId="58135BCE" w14:textId="37E00951">
      <w:pPr>
        <w:spacing w:after="160" w:line="360" w:lineRule="auto"/>
        <w:ind w:left="720" w:hanging="720"/>
        <w:jc w:val="both"/>
      </w:pPr>
      <w:r w:rsidR="22B96609">
        <w:rPr/>
        <w:t>Ferrell, O.C., Hirt, G. and Ferrell, L. (2019)</w:t>
      </w:r>
      <w:bookmarkStart w:name="_Int_MK1LKOAT" w:id="1276597560"/>
      <w:r w:rsidR="22B96609">
        <w:rPr/>
        <w:t xml:space="preserve"> </w:t>
      </w:r>
      <w:r w:rsidRPr="6D476394" w:rsidR="22B96609">
        <w:rPr>
          <w:i w:val="1"/>
          <w:iCs w:val="1"/>
        </w:rPr>
        <w:t>Business</w:t>
      </w:r>
      <w:bookmarkEnd w:id="1276597560"/>
      <w:r w:rsidRPr="6D476394" w:rsidR="22B96609">
        <w:rPr>
          <w:i w:val="1"/>
          <w:iCs w:val="1"/>
        </w:rPr>
        <w:t xml:space="preserve">: </w:t>
      </w:r>
      <w:r w:rsidRPr="6D476394" w:rsidR="3ABCFF0C">
        <w:rPr>
          <w:i w:val="1"/>
          <w:iCs w:val="1"/>
        </w:rPr>
        <w:t xml:space="preserve">a </w:t>
      </w:r>
      <w:r w:rsidRPr="6D476394" w:rsidR="22B96609">
        <w:rPr>
          <w:i w:val="1"/>
          <w:iCs w:val="1"/>
        </w:rPr>
        <w:t>changing world.</w:t>
      </w:r>
      <w:r w:rsidR="22B96609">
        <w:rPr/>
        <w:t xml:space="preserve"> 11th </w:t>
      </w:r>
      <w:r w:rsidR="22B96609">
        <w:rPr/>
        <w:t>edn</w:t>
      </w:r>
      <w:r w:rsidR="22B96609">
        <w:rPr/>
        <w:t>. New York: McGraw-Hill Education.</w:t>
      </w:r>
    </w:p>
    <w:p w:rsidR="00A20218" w:rsidRDefault="00AF6321" w14:paraId="79B5C918" w14:textId="77777777">
      <w:pPr>
        <w:spacing w:after="160" w:line="360" w:lineRule="auto"/>
        <w:ind w:left="720" w:hanging="720"/>
        <w:jc w:val="both"/>
      </w:pPr>
      <w:r>
        <w:t xml:space="preserve">Friedman, M. (1970) ‘The social responsibility of business is to increase its profits’, </w:t>
      </w:r>
      <w:r>
        <w:rPr>
          <w:i/>
          <w:iCs/>
        </w:rPr>
        <w:t>The New York Times Magazine,</w:t>
      </w:r>
      <w:r>
        <w:t xml:space="preserve"> 13 September, pp. 32–33.</w:t>
      </w:r>
    </w:p>
    <w:p w:rsidR="00A20218" w:rsidRDefault="00AF6321" w14:paraId="4DF0A710" w14:textId="43DC5F8F">
      <w:pPr>
        <w:spacing w:after="160" w:line="360" w:lineRule="auto"/>
        <w:ind w:left="720" w:hanging="720"/>
        <w:jc w:val="both"/>
      </w:pPr>
      <w:r w:rsidR="22B96609">
        <w:rPr/>
        <w:t xml:space="preserve">Kotler, </w:t>
      </w:r>
      <w:r w:rsidR="73D2AA6E">
        <w:rPr/>
        <w:t>P.,</w:t>
      </w:r>
      <w:r w:rsidR="22B96609">
        <w:rPr/>
        <w:t xml:space="preserve"> and Lee, N. (2005) </w:t>
      </w:r>
      <w:r w:rsidRPr="6D476394" w:rsidR="22B96609">
        <w:rPr>
          <w:i w:val="1"/>
          <w:iCs w:val="1"/>
        </w:rPr>
        <w:t xml:space="preserve">Corporate social responsibility: </w:t>
      </w:r>
      <w:r w:rsidRPr="6D476394" w:rsidR="2439D3D7">
        <w:rPr>
          <w:i w:val="1"/>
          <w:iCs w:val="1"/>
        </w:rPr>
        <w:t>D</w:t>
      </w:r>
      <w:r w:rsidRPr="6D476394" w:rsidR="22B96609">
        <w:rPr>
          <w:i w:val="1"/>
          <w:iCs w:val="1"/>
        </w:rPr>
        <w:t xml:space="preserve">oing the </w:t>
      </w:r>
      <w:bookmarkStart w:name="_Int_qCO4PtMv" w:id="217737342"/>
      <w:r w:rsidRPr="6D476394" w:rsidR="22B96609">
        <w:rPr>
          <w:i w:val="1"/>
          <w:iCs w:val="1"/>
        </w:rPr>
        <w:t>most good</w:t>
      </w:r>
      <w:bookmarkEnd w:id="217737342"/>
      <w:r w:rsidRPr="6D476394" w:rsidR="22B96609">
        <w:rPr>
          <w:i w:val="1"/>
          <w:iCs w:val="1"/>
        </w:rPr>
        <w:t xml:space="preserve"> for your company and your cause.</w:t>
      </w:r>
      <w:r w:rsidR="22B96609">
        <w:rPr/>
        <w:t xml:space="preserve"> Hoboken: John Wiley and Sons.</w:t>
      </w:r>
    </w:p>
    <w:p w:rsidR="00A20218" w:rsidRDefault="00AF6321" w14:paraId="2445E8B5" w14:textId="0A52D81F">
      <w:pPr>
        <w:spacing w:after="160" w:line="360" w:lineRule="auto"/>
        <w:ind w:left="720" w:hanging="720"/>
        <w:jc w:val="both"/>
      </w:pPr>
      <w:r>
        <w:t xml:space="preserve">Mullins, L.J. (2019) </w:t>
      </w:r>
      <w:r w:rsidRPr="3AE867F4" w:rsidR="1F600903">
        <w:rPr>
          <w:i/>
          <w:iCs/>
        </w:rPr>
        <w:t>Organizational</w:t>
      </w:r>
      <w:r w:rsidRPr="3AE867F4">
        <w:rPr>
          <w:i/>
          <w:iCs/>
        </w:rPr>
        <w:t xml:space="preserve"> behaviour in the workplace.</w:t>
      </w:r>
      <w:r>
        <w:t xml:space="preserve"> 11th edn. Harlow: Pearson Education.</w:t>
      </w:r>
    </w:p>
    <w:p w:rsidR="00A20218" w:rsidRDefault="00AF6321" w14:paraId="28FD1DB4" w14:textId="77777777">
      <w:pPr>
        <w:spacing w:after="160" w:line="360" w:lineRule="auto"/>
        <w:ind w:left="720" w:hanging="720"/>
        <w:jc w:val="both"/>
      </w:pPr>
      <w:r w:rsidR="22B96609">
        <w:rPr/>
        <w:t>Needle, D. and Jane, B. (2023)</w:t>
      </w:r>
      <w:bookmarkStart w:name="_Int_N7ohFtVp" w:id="342437271"/>
      <w:r w:rsidR="22B96609">
        <w:rPr/>
        <w:t xml:space="preserve"> </w:t>
      </w:r>
      <w:r w:rsidRPr="6D476394" w:rsidR="22B96609">
        <w:rPr>
          <w:i w:val="1"/>
          <w:iCs w:val="1"/>
        </w:rPr>
        <w:t>Business</w:t>
      </w:r>
      <w:bookmarkEnd w:id="342437271"/>
      <w:r w:rsidRPr="6D476394" w:rsidR="22B96609">
        <w:rPr>
          <w:i w:val="1"/>
          <w:iCs w:val="1"/>
        </w:rPr>
        <w:t xml:space="preserve"> in context: an introduction to business and its environment.</w:t>
      </w:r>
      <w:r w:rsidR="22B96609">
        <w:rPr/>
        <w:t xml:space="preserve"> 7th </w:t>
      </w:r>
      <w:r w:rsidR="22B96609">
        <w:rPr/>
        <w:t>edn</w:t>
      </w:r>
      <w:r w:rsidR="22B96609">
        <w:rPr/>
        <w:t>. Andover: Cengage Learning.</w:t>
      </w:r>
    </w:p>
    <w:p w:rsidR="00A20218" w:rsidRDefault="00AF6321" w14:paraId="116953D7" w14:textId="77777777">
      <w:pPr>
        <w:spacing w:after="160" w:line="360" w:lineRule="auto"/>
        <w:ind w:left="720" w:hanging="720"/>
        <w:jc w:val="both"/>
      </w:pPr>
      <w:r w:rsidR="22B96609">
        <w:rPr/>
        <w:t>Nickels, W.G., McHugh, J.M. and McHugh, S.M. (2019)</w:t>
      </w:r>
      <w:bookmarkStart w:name="_Int_sTFlMbjC" w:id="964342526"/>
      <w:r w:rsidR="22B96609">
        <w:rPr/>
        <w:t xml:space="preserve"> </w:t>
      </w:r>
      <w:r w:rsidRPr="6D476394" w:rsidR="22B96609">
        <w:rPr>
          <w:i w:val="1"/>
          <w:iCs w:val="1"/>
        </w:rPr>
        <w:t>Understanding</w:t>
      </w:r>
      <w:bookmarkEnd w:id="964342526"/>
      <w:r w:rsidRPr="6D476394" w:rsidR="22B96609">
        <w:rPr>
          <w:i w:val="1"/>
          <w:iCs w:val="1"/>
        </w:rPr>
        <w:t xml:space="preserve"> business.</w:t>
      </w:r>
      <w:r w:rsidR="22B96609">
        <w:rPr/>
        <w:t xml:space="preserve"> 12th </w:t>
      </w:r>
      <w:r w:rsidR="22B96609">
        <w:rPr/>
        <w:t>e</w:t>
      </w:r>
      <w:r w:rsidR="22B96609">
        <w:rPr/>
        <w:t>dn</w:t>
      </w:r>
      <w:r w:rsidR="22B96609">
        <w:rPr/>
        <w:t>.</w:t>
      </w:r>
      <w:r w:rsidR="22B96609">
        <w:rPr/>
        <w:t xml:space="preserve"> New York: McGraw-Hill Education.</w:t>
      </w:r>
    </w:p>
    <w:p w:rsidR="00A20218" w:rsidRDefault="00AF6321" w14:paraId="10C22398" w14:textId="4CC131C3">
      <w:pPr>
        <w:spacing w:after="160" w:line="360" w:lineRule="auto"/>
        <w:ind w:left="720" w:hanging="720"/>
        <w:jc w:val="both"/>
      </w:pPr>
      <w:r w:rsidR="22B96609">
        <w:rPr/>
        <w:t>Porter, M.E. and Kramer,</w:t>
      </w:r>
      <w:r w:rsidR="4447CBEE">
        <w:rPr/>
        <w:t xml:space="preserve"> </w:t>
      </w:r>
      <w:r w:rsidR="22B96609">
        <w:rPr/>
        <w:t>M.R.</w:t>
      </w:r>
      <w:r w:rsidR="4F4E6516">
        <w:rPr/>
        <w:t xml:space="preserve"> </w:t>
      </w:r>
      <w:r w:rsidR="22B96609">
        <w:rPr/>
        <w:t>(2006</w:t>
      </w:r>
      <w:r w:rsidR="59A11B52">
        <w:rPr/>
        <w:t>). ‘</w:t>
      </w:r>
      <w:r w:rsidR="22B96609">
        <w:rPr/>
        <w:t xml:space="preserve">Strategy and </w:t>
      </w:r>
      <w:r w:rsidR="31AD17FF">
        <w:rPr/>
        <w:t>Society</w:t>
      </w:r>
      <w:r w:rsidR="22B96609">
        <w:rPr/>
        <w:t xml:space="preserve">: </w:t>
      </w:r>
      <w:r w:rsidR="418BCC00">
        <w:rPr/>
        <w:t>T</w:t>
      </w:r>
      <w:r w:rsidR="22B96609">
        <w:rPr/>
        <w:t>he link between competitive advantage and corporate social responsibility</w:t>
      </w:r>
      <w:r w:rsidR="4C5B28DD">
        <w:rPr/>
        <w:t>.</w:t>
      </w:r>
      <w:r w:rsidR="7F71F3CB">
        <w:rPr/>
        <w:t>’</w:t>
      </w:r>
      <w:r w:rsidR="22B96609">
        <w:rPr/>
        <w:t xml:space="preserve"> </w:t>
      </w:r>
      <w:r w:rsidRPr="6D476394" w:rsidR="22B96609">
        <w:rPr>
          <w:i w:val="1"/>
          <w:iCs w:val="1"/>
        </w:rPr>
        <w:t xml:space="preserve">Harvard </w:t>
      </w:r>
      <w:r w:rsidRPr="6D476394" w:rsidR="2C4A82F7">
        <w:rPr>
          <w:i w:val="1"/>
          <w:iCs w:val="1"/>
        </w:rPr>
        <w:t>Business Review</w:t>
      </w:r>
      <w:r w:rsidRPr="6D476394" w:rsidR="22B96609">
        <w:rPr>
          <w:i w:val="1"/>
          <w:iCs w:val="1"/>
        </w:rPr>
        <w:t>,</w:t>
      </w:r>
      <w:r w:rsidR="22B96609">
        <w:rPr/>
        <w:t xml:space="preserve"> 84(12), pp. 78–92.</w:t>
      </w:r>
    </w:p>
    <w:p w:rsidR="00A20218" w:rsidRDefault="00AF6321" w14:paraId="02DC3273" w14:textId="77777777">
      <w:pPr>
        <w:spacing w:after="160" w:line="360" w:lineRule="auto"/>
        <w:ind w:left="720" w:hanging="720"/>
        <w:jc w:val="both"/>
      </w:pPr>
      <w:r>
        <w:t xml:space="preserve">Werther, W.B. and Chandler, D. (2011) </w:t>
      </w:r>
      <w:r w:rsidRPr="2DE9460A">
        <w:rPr>
          <w:i/>
          <w:iCs/>
        </w:rPr>
        <w:t>Strategic corporate social responsibility: stakeholders in a global environment.</w:t>
      </w:r>
      <w:r>
        <w:t xml:space="preserve"> 2nd edn. London: Sage.</w:t>
      </w:r>
    </w:p>
    <w:sectPr w:rsidR="00A20218">
      <w:footerReference w:type="default" r:id="rId8"/>
      <w:pgSz w:w="11906" w:h="16838" w:orient="portrait"/>
      <w:pgMar w:top="1440" w:right="1440" w:bottom="1440" w:left="180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31E9F" w:rsidRDefault="00031E9F" w14:paraId="53252B92" w14:textId="77777777">
      <w:r>
        <w:separator/>
      </w:r>
    </w:p>
  </w:endnote>
  <w:endnote w:type="continuationSeparator" w:id="0">
    <w:p w:rsidR="00031E9F" w:rsidRDefault="00031E9F" w14:paraId="6B252C1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panose1 w:val="00000000000000000000"/>
    <w:charset w:val="00"/>
    <w:family w:val="roman"/>
    <w:notTrueType/>
    <w:pitch w:val="default"/>
  </w:font>
  <w:font w:name="Yu Mincho">
    <w:altName w:val="游明朝"/>
    <w:panose1 w:val="00000000000000000000"/>
    <w:charset w:val="80"/>
    <w:family w:val="roman"/>
    <w:notTrueType/>
    <w:pitch w:val="default"/>
  </w:font>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A20218" w:rsidRDefault="00AF6321" w14:paraId="71178360" w14:textId="54DA5568">
    <w:pPr>
      <w:jc w:val="center"/>
    </w:pPr>
    <w:r>
      <w:rPr>
        <w:sz w:val="20"/>
        <w:szCs w:val="20"/>
      </w:rPr>
      <w:t xml:space="preserve">Page </w:t>
    </w:r>
    <w:r>
      <w:rPr>
        <w:sz w:val="20"/>
        <w:szCs w:val="20"/>
      </w:rPr>
      <w:fldChar w:fldCharType="begin"/>
    </w:r>
    <w:r>
      <w:rPr>
        <w:sz w:val="20"/>
        <w:szCs w:val="20"/>
      </w:rPr>
      <w:instrText>PAGE</w:instrText>
    </w:r>
    <w:r>
      <w:rPr>
        <w:sz w:val="20"/>
        <w:szCs w:val="20"/>
      </w:rPr>
      <w:fldChar w:fldCharType="separate"/>
    </w:r>
    <w:r w:rsidR="003B3695">
      <w:rPr>
        <w:noProof/>
        <w:sz w:val="20"/>
        <w:szCs w:val="20"/>
      </w:rPr>
      <w:t>1</w:t>
    </w:r>
    <w:r>
      <w:rPr>
        <w:sz w:val="20"/>
        <w:szCs w:val="20"/>
      </w:rPr>
      <w:fldChar w:fldCharType="end"/>
    </w:r>
    <w:r>
      <w:rPr>
        <w:sz w:val="20"/>
        <w:szCs w:val="20"/>
      </w:rPr>
      <w:t xml:space="preserve"> of </w:t>
    </w:r>
    <w:r>
      <w:rPr>
        <w:sz w:val="20"/>
        <w:szCs w:val="20"/>
      </w:rPr>
      <w:fldChar w:fldCharType="begin"/>
    </w:r>
    <w:r>
      <w:rPr>
        <w:sz w:val="20"/>
        <w:szCs w:val="20"/>
      </w:rPr>
      <w:instrText>NUMPAGES</w:instrText>
    </w:r>
    <w:r>
      <w:rPr>
        <w:sz w:val="20"/>
        <w:szCs w:val="20"/>
      </w:rPr>
      <w:fldChar w:fldCharType="separate"/>
    </w:r>
    <w:r w:rsidR="003B3695">
      <w:rPr>
        <w:noProof/>
        <w:sz w:val="20"/>
        <w:szCs w:val="20"/>
      </w:rPr>
      <w:t>2</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31E9F" w:rsidRDefault="00031E9F" w14:paraId="01BF33EC" w14:textId="77777777">
      <w:r>
        <w:separator/>
      </w:r>
    </w:p>
  </w:footnote>
  <w:footnote w:type="continuationSeparator" w:id="0">
    <w:p w:rsidR="00031E9F" w:rsidRDefault="00031E9F" w14:paraId="34892DC4" w14:textId="77777777">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dDR6/5naN3geCp" int2:id="6dNTLUjd">
      <int2:state int2:type="spell" int2:value="Rejected"/>
    </int2:textHash>
    <int2:textHash int2:hashCode="v3jXqOAVqWKVSe" int2:id="PK7cxLad">
      <int2:state int2:type="spell" int2:value="Rejected"/>
    </int2:textHash>
    <int2:textHash int2:hashCode="QgmNU58P0unWdN" int2:id="UEDAWeJK">
      <int2:state int2:type="spell" int2:value="Rejected"/>
    </int2:textHash>
    <int2:textHash int2:hashCode="WvycU+ezHS8WQx" int2:id="W2eji6A7">
      <int2:state int2:type="spell" int2:value="Rejected"/>
    </int2:textHash>
    <int2:textHash int2:hashCode="Dji+abMBs/wxDx" int2:id="WK4KEC3P">
      <int2:state int2:type="spell" int2:value="Rejected"/>
    </int2:textHash>
    <int2:textHash int2:hashCode="Kx9+ebYtXvxaL5" int2:id="XMhrO1AI">
      <int2:state int2:type="spell" int2:value="Rejected"/>
    </int2:textHash>
    <int2:textHash int2:hashCode="QRzTRe2PnPjF0T" int2:id="ch6k5aPh">
      <int2:state int2:type="spell" int2:value="Rejected"/>
    </int2:textHash>
    <int2:textHash int2:hashCode="NCKW3w7lyVPKiM" int2:id="d9iN9nrB">
      <int2:state int2:type="spell" int2:value="Rejected"/>
    </int2:textHash>
    <int2:textHash int2:hashCode="tGHBJbetrLtPFm" int2:id="mIunLiAb">
      <int2:state int2:type="spell" int2:value="Rejected"/>
    </int2:textHash>
    <int2:textHash int2:hashCode="Y7rxyEYEGk+h8X" int2:id="rO2GQopY">
      <int2:state int2:type="spell" int2:value="Rejected"/>
    </int2:textHash>
    <int2:textHash int2:hashCode="CuDKvTu3GArj+k" int2:id="zL25I1f4">
      <int2:state int2:type="spell" int2:value="Rejected"/>
    </int2:textHash>
    <int2:bookmark int2:bookmarkName="_Int_4lJN4EWU" int2:invalidationBookmarkName="" int2:hashCode="P1EFsE41cLMlC0" int2:id="3c5oOtwW">
      <int2:state int2:type="gram" int2:value="Rejected"/>
    </int2:bookmark>
    <int2:bookmark int2:bookmarkName="_Int_9CkRPfp6" int2:invalidationBookmarkName="" int2:hashCode="uT7OrV3F7lCIic" int2:id="HPK9XSkE">
      <int2:state int2:type="gram" int2:value="Rejected"/>
    </int2:bookmark>
    <int2:bookmark int2:bookmarkName="_Int_RSP2xRCI" int2:invalidationBookmarkName="" int2:hashCode="6esGpe02zCc5Q2" int2:id="zUXnN4DR">
      <int2:state int2:type="gram" int2:value="Rejected"/>
    </int2:bookmark>
    <int2:bookmark int2:bookmarkName="_Int_lU13Bmym" int2:invalidationBookmarkName="" int2:hashCode="QIcMjHn7WK9+kA" int2:id="gaTU1fEF">
      <int2:state int2:type="gram" int2:value="Rejected"/>
    </int2:bookmark>
    <int2:bookmark int2:bookmarkName="_Int_MK1LKOAT" int2:invalidationBookmarkName="" int2:hashCode="6esGpe02zCc5Q2" int2:id="j4rG02s0">
      <int2:state int2:type="gram" int2:value="Rejected"/>
    </int2:bookmark>
    <int2:bookmark int2:bookmarkName="_Int_N7ohFtVp" int2:invalidationBookmarkName="" int2:hashCode="6esGpe02zCc5Q2" int2:id="nIw4FXNk">
      <int2:state int2:type="gram" int2:value="Rejected"/>
    </int2:bookmark>
    <int2:bookmark int2:bookmarkName="_Int_sTFlMbjC" int2:invalidationBookmarkName="" int2:hashCode="v//A+TrmErkZGd" int2:id="ZHpplIVI">
      <int2:state int2:type="gram" int2:value="Rejected"/>
    </int2:bookmark>
    <int2:bookmark int2:bookmarkName="_Int_qCO4PtMv" int2:invalidationBookmarkName="" int2:hashCode="9Jw9kl3LJUnO9M" int2:id="k98vrqj8">
      <int2:state int2:type="gram"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DF7A17"/>
    <w:multiLevelType w:val="hybridMultilevel"/>
    <w:tmpl w:val="FFFFFFFF"/>
    <w:lvl w:ilvl="0" w:tplc="123036CA">
      <w:start w:val="1"/>
      <w:numFmt w:val="bullet"/>
      <w:lvlText w:val="●"/>
      <w:lvlJc w:val="left"/>
      <w:pPr>
        <w:ind w:left="720" w:hanging="360"/>
      </w:pPr>
    </w:lvl>
    <w:lvl w:ilvl="1" w:tplc="2B62AA1C">
      <w:start w:val="1"/>
      <w:numFmt w:val="bullet"/>
      <w:lvlText w:val="○"/>
      <w:lvlJc w:val="left"/>
      <w:pPr>
        <w:ind w:left="1440" w:hanging="360"/>
      </w:pPr>
    </w:lvl>
    <w:lvl w:ilvl="2" w:tplc="A82AD368">
      <w:start w:val="1"/>
      <w:numFmt w:val="bullet"/>
      <w:lvlText w:val="■"/>
      <w:lvlJc w:val="left"/>
      <w:pPr>
        <w:ind w:left="2160" w:hanging="360"/>
      </w:pPr>
    </w:lvl>
    <w:lvl w:ilvl="3" w:tplc="C9D6CD32">
      <w:start w:val="1"/>
      <w:numFmt w:val="bullet"/>
      <w:lvlText w:val="●"/>
      <w:lvlJc w:val="left"/>
      <w:pPr>
        <w:ind w:left="2880" w:hanging="360"/>
      </w:pPr>
    </w:lvl>
    <w:lvl w:ilvl="4" w:tplc="7BB688E4">
      <w:start w:val="1"/>
      <w:numFmt w:val="bullet"/>
      <w:lvlText w:val="○"/>
      <w:lvlJc w:val="left"/>
      <w:pPr>
        <w:ind w:left="3600" w:hanging="360"/>
      </w:pPr>
    </w:lvl>
    <w:lvl w:ilvl="5" w:tplc="220C7D02">
      <w:start w:val="1"/>
      <w:numFmt w:val="bullet"/>
      <w:lvlText w:val="■"/>
      <w:lvlJc w:val="left"/>
      <w:pPr>
        <w:ind w:left="4320" w:hanging="360"/>
      </w:pPr>
    </w:lvl>
    <w:lvl w:ilvl="6" w:tplc="181AEFF4">
      <w:start w:val="1"/>
      <w:numFmt w:val="bullet"/>
      <w:lvlText w:val="●"/>
      <w:lvlJc w:val="left"/>
      <w:pPr>
        <w:ind w:left="5040" w:hanging="360"/>
      </w:pPr>
    </w:lvl>
    <w:lvl w:ilvl="7" w:tplc="170A6338">
      <w:start w:val="1"/>
      <w:numFmt w:val="bullet"/>
      <w:lvlText w:val="●"/>
      <w:lvlJc w:val="left"/>
      <w:pPr>
        <w:ind w:left="5760" w:hanging="360"/>
      </w:pPr>
    </w:lvl>
    <w:lvl w:ilvl="8" w:tplc="D42E95F4">
      <w:start w:val="1"/>
      <w:numFmt w:val="bullet"/>
      <w:lvlText w:val="●"/>
      <w:lvlJc w:val="left"/>
      <w:pPr>
        <w:ind w:left="6480" w:hanging="360"/>
      </w:pPr>
    </w:lvl>
  </w:abstractNum>
  <w:num w:numId="1" w16cid:durableId="1748571238">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isplayBackgroundShape/>
  <w:proofState w:spelling="clean" w:grammar="dirty"/>
  <w:trackRevisions w:val="false"/>
  <w:documentProtection w:edit="readOnly" w:enforcement="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0218"/>
    <w:rsid w:val="00013F26"/>
    <w:rsid w:val="00016F43"/>
    <w:rsid w:val="00031E9F"/>
    <w:rsid w:val="0003464C"/>
    <w:rsid w:val="00040DC0"/>
    <w:rsid w:val="00050811"/>
    <w:rsid w:val="00066A8E"/>
    <w:rsid w:val="00077879"/>
    <w:rsid w:val="00083CC6"/>
    <w:rsid w:val="00086104"/>
    <w:rsid w:val="000D4864"/>
    <w:rsid w:val="000E1FD5"/>
    <w:rsid w:val="00106017"/>
    <w:rsid w:val="00147022"/>
    <w:rsid w:val="0015250E"/>
    <w:rsid w:val="00163105"/>
    <w:rsid w:val="00174A8D"/>
    <w:rsid w:val="001833AD"/>
    <w:rsid w:val="001B5DB5"/>
    <w:rsid w:val="001C6040"/>
    <w:rsid w:val="001E3F00"/>
    <w:rsid w:val="001E488D"/>
    <w:rsid w:val="001F147F"/>
    <w:rsid w:val="00211133"/>
    <w:rsid w:val="0022100C"/>
    <w:rsid w:val="002216EA"/>
    <w:rsid w:val="002274F1"/>
    <w:rsid w:val="00235E7E"/>
    <w:rsid w:val="00296BAC"/>
    <w:rsid w:val="002A60CA"/>
    <w:rsid w:val="002B3FBE"/>
    <w:rsid w:val="002C3A9D"/>
    <w:rsid w:val="002F2F2C"/>
    <w:rsid w:val="00345482"/>
    <w:rsid w:val="0034721C"/>
    <w:rsid w:val="00383CE7"/>
    <w:rsid w:val="003932A1"/>
    <w:rsid w:val="003B3695"/>
    <w:rsid w:val="003F6227"/>
    <w:rsid w:val="00407E03"/>
    <w:rsid w:val="00420F4C"/>
    <w:rsid w:val="00434741"/>
    <w:rsid w:val="00444F68"/>
    <w:rsid w:val="00451211"/>
    <w:rsid w:val="00456B34"/>
    <w:rsid w:val="004659F5"/>
    <w:rsid w:val="00466122"/>
    <w:rsid w:val="00476920"/>
    <w:rsid w:val="00486C0D"/>
    <w:rsid w:val="004B05B7"/>
    <w:rsid w:val="004B5765"/>
    <w:rsid w:val="004F4E42"/>
    <w:rsid w:val="004F56E6"/>
    <w:rsid w:val="004F647C"/>
    <w:rsid w:val="00566CAE"/>
    <w:rsid w:val="0057542B"/>
    <w:rsid w:val="00575CBF"/>
    <w:rsid w:val="00581640"/>
    <w:rsid w:val="00596AED"/>
    <w:rsid w:val="005D1458"/>
    <w:rsid w:val="005D6937"/>
    <w:rsid w:val="005E094F"/>
    <w:rsid w:val="00603B6F"/>
    <w:rsid w:val="00606555"/>
    <w:rsid w:val="00634210"/>
    <w:rsid w:val="006502E6"/>
    <w:rsid w:val="006516DC"/>
    <w:rsid w:val="006616CF"/>
    <w:rsid w:val="006B700C"/>
    <w:rsid w:val="006D6FE9"/>
    <w:rsid w:val="006E29AA"/>
    <w:rsid w:val="00714A8A"/>
    <w:rsid w:val="007322BD"/>
    <w:rsid w:val="00754025"/>
    <w:rsid w:val="007564CF"/>
    <w:rsid w:val="007603B8"/>
    <w:rsid w:val="007664AE"/>
    <w:rsid w:val="0076791C"/>
    <w:rsid w:val="00787B3E"/>
    <w:rsid w:val="007A1F1D"/>
    <w:rsid w:val="007B3CF2"/>
    <w:rsid w:val="00800307"/>
    <w:rsid w:val="008010BF"/>
    <w:rsid w:val="00823BA6"/>
    <w:rsid w:val="00850C20"/>
    <w:rsid w:val="00890445"/>
    <w:rsid w:val="008C3CD2"/>
    <w:rsid w:val="008D3C4B"/>
    <w:rsid w:val="00902ED4"/>
    <w:rsid w:val="00915797"/>
    <w:rsid w:val="00915F7F"/>
    <w:rsid w:val="009328FA"/>
    <w:rsid w:val="00942270"/>
    <w:rsid w:val="009550A6"/>
    <w:rsid w:val="00961ED1"/>
    <w:rsid w:val="00984380"/>
    <w:rsid w:val="00993495"/>
    <w:rsid w:val="009964D7"/>
    <w:rsid w:val="009A5C94"/>
    <w:rsid w:val="009C008B"/>
    <w:rsid w:val="009C1A57"/>
    <w:rsid w:val="009D40E1"/>
    <w:rsid w:val="009E4374"/>
    <w:rsid w:val="009E7D62"/>
    <w:rsid w:val="009F4DB9"/>
    <w:rsid w:val="00A00240"/>
    <w:rsid w:val="00A20218"/>
    <w:rsid w:val="00A44260"/>
    <w:rsid w:val="00A53501"/>
    <w:rsid w:val="00A5617C"/>
    <w:rsid w:val="00A608C8"/>
    <w:rsid w:val="00A86801"/>
    <w:rsid w:val="00AF6321"/>
    <w:rsid w:val="00B0172B"/>
    <w:rsid w:val="00B032B7"/>
    <w:rsid w:val="00B14F73"/>
    <w:rsid w:val="00B17B6A"/>
    <w:rsid w:val="00B17EF4"/>
    <w:rsid w:val="00B25240"/>
    <w:rsid w:val="00B31676"/>
    <w:rsid w:val="00B403B7"/>
    <w:rsid w:val="00B6529D"/>
    <w:rsid w:val="00B70D26"/>
    <w:rsid w:val="00B841F9"/>
    <w:rsid w:val="00B959B5"/>
    <w:rsid w:val="00BE0F12"/>
    <w:rsid w:val="00BE1EE6"/>
    <w:rsid w:val="00BF384F"/>
    <w:rsid w:val="00BF63EC"/>
    <w:rsid w:val="00C058F1"/>
    <w:rsid w:val="00C2793D"/>
    <w:rsid w:val="00C35DA7"/>
    <w:rsid w:val="00C61201"/>
    <w:rsid w:val="00C752CB"/>
    <w:rsid w:val="00C83E97"/>
    <w:rsid w:val="00C9037E"/>
    <w:rsid w:val="00CA5376"/>
    <w:rsid w:val="00CC252E"/>
    <w:rsid w:val="00CC4990"/>
    <w:rsid w:val="00CC7FB9"/>
    <w:rsid w:val="00CD1A98"/>
    <w:rsid w:val="00CD2F87"/>
    <w:rsid w:val="00CE5875"/>
    <w:rsid w:val="00CF0503"/>
    <w:rsid w:val="00D16203"/>
    <w:rsid w:val="00D318F9"/>
    <w:rsid w:val="00DC3DC8"/>
    <w:rsid w:val="00DD7359"/>
    <w:rsid w:val="00DF321A"/>
    <w:rsid w:val="00E034A0"/>
    <w:rsid w:val="00E57CC8"/>
    <w:rsid w:val="00E73D45"/>
    <w:rsid w:val="00EA5842"/>
    <w:rsid w:val="00EB0410"/>
    <w:rsid w:val="00EC2238"/>
    <w:rsid w:val="00EE5D14"/>
    <w:rsid w:val="00EF77DA"/>
    <w:rsid w:val="00F06754"/>
    <w:rsid w:val="00F12B16"/>
    <w:rsid w:val="00F25CC1"/>
    <w:rsid w:val="00F61DF9"/>
    <w:rsid w:val="00F67B7E"/>
    <w:rsid w:val="00F7117C"/>
    <w:rsid w:val="00F837C4"/>
    <w:rsid w:val="00F914E5"/>
    <w:rsid w:val="00FB69C5"/>
    <w:rsid w:val="00FE1B21"/>
    <w:rsid w:val="00FE2988"/>
    <w:rsid w:val="00FE6D9D"/>
    <w:rsid w:val="00FF2307"/>
    <w:rsid w:val="0269E8D5"/>
    <w:rsid w:val="0398B92E"/>
    <w:rsid w:val="0429B665"/>
    <w:rsid w:val="07767877"/>
    <w:rsid w:val="08C45030"/>
    <w:rsid w:val="09B0F081"/>
    <w:rsid w:val="09F7B813"/>
    <w:rsid w:val="0D66E1DE"/>
    <w:rsid w:val="0FDB85BB"/>
    <w:rsid w:val="12FEFAF8"/>
    <w:rsid w:val="1613E6D1"/>
    <w:rsid w:val="178CDE60"/>
    <w:rsid w:val="17C1EA1B"/>
    <w:rsid w:val="17D08B6E"/>
    <w:rsid w:val="193258EA"/>
    <w:rsid w:val="1F600903"/>
    <w:rsid w:val="20655648"/>
    <w:rsid w:val="2131A500"/>
    <w:rsid w:val="2136C69A"/>
    <w:rsid w:val="217E24EE"/>
    <w:rsid w:val="22B96609"/>
    <w:rsid w:val="23AA5070"/>
    <w:rsid w:val="2439D3D7"/>
    <w:rsid w:val="24E00657"/>
    <w:rsid w:val="2A104F31"/>
    <w:rsid w:val="2A40823A"/>
    <w:rsid w:val="2AECE8C6"/>
    <w:rsid w:val="2B98D1B5"/>
    <w:rsid w:val="2BC08B55"/>
    <w:rsid w:val="2C4A82F7"/>
    <w:rsid w:val="2DC67F14"/>
    <w:rsid w:val="2DE9460A"/>
    <w:rsid w:val="317B8291"/>
    <w:rsid w:val="31AD17FF"/>
    <w:rsid w:val="37B170F7"/>
    <w:rsid w:val="3811B3FF"/>
    <w:rsid w:val="3ABCFF0C"/>
    <w:rsid w:val="3AE867F4"/>
    <w:rsid w:val="3BD139D3"/>
    <w:rsid w:val="3F188FC5"/>
    <w:rsid w:val="3FF9971A"/>
    <w:rsid w:val="418BCC00"/>
    <w:rsid w:val="43AFA82E"/>
    <w:rsid w:val="4447CBEE"/>
    <w:rsid w:val="4471F721"/>
    <w:rsid w:val="447CD880"/>
    <w:rsid w:val="452E2B68"/>
    <w:rsid w:val="48FBE51D"/>
    <w:rsid w:val="4AE4DBDF"/>
    <w:rsid w:val="4B9F3DE4"/>
    <w:rsid w:val="4C5B28DD"/>
    <w:rsid w:val="4D1C35D7"/>
    <w:rsid w:val="4D2BD94D"/>
    <w:rsid w:val="4E16A5A4"/>
    <w:rsid w:val="4F4E6516"/>
    <w:rsid w:val="518F3249"/>
    <w:rsid w:val="51D80A08"/>
    <w:rsid w:val="51FDB780"/>
    <w:rsid w:val="53CBC804"/>
    <w:rsid w:val="5446D437"/>
    <w:rsid w:val="589C66F5"/>
    <w:rsid w:val="59A11B52"/>
    <w:rsid w:val="5BC363D5"/>
    <w:rsid w:val="5F598FEE"/>
    <w:rsid w:val="5FB3417A"/>
    <w:rsid w:val="6020AACA"/>
    <w:rsid w:val="60B75221"/>
    <w:rsid w:val="6243AF42"/>
    <w:rsid w:val="6396B1D0"/>
    <w:rsid w:val="6434E296"/>
    <w:rsid w:val="65210343"/>
    <w:rsid w:val="65E5E3C3"/>
    <w:rsid w:val="665FB892"/>
    <w:rsid w:val="67C09297"/>
    <w:rsid w:val="69BE232F"/>
    <w:rsid w:val="6C7CE1A8"/>
    <w:rsid w:val="6D476394"/>
    <w:rsid w:val="6F6CC238"/>
    <w:rsid w:val="6FA581E7"/>
    <w:rsid w:val="6FA9C9CC"/>
    <w:rsid w:val="6FB7B7E3"/>
    <w:rsid w:val="7013E426"/>
    <w:rsid w:val="70CDBBD2"/>
    <w:rsid w:val="71F4DF85"/>
    <w:rsid w:val="720BE598"/>
    <w:rsid w:val="727E1382"/>
    <w:rsid w:val="73D2AA6E"/>
    <w:rsid w:val="745E0829"/>
    <w:rsid w:val="7696006E"/>
    <w:rsid w:val="78FD796B"/>
    <w:rsid w:val="797F043D"/>
    <w:rsid w:val="7F256A33"/>
    <w:rsid w:val="7F71F3C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EFABA"/>
  <w15:docId w15:val="{6568028A-E4B1-4355-A0D7-DD394C0BC7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uiPriority w:val="10"/>
    <w:qFormat/>
    <w:rPr>
      <w:sz w:val="56"/>
      <w:szCs w:val="56"/>
    </w:rPr>
  </w:style>
  <w:style w:type="paragraph" w:styleId="Strong1" w:customStyle="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styleId="FootnoteTextChar" w:customStyle="1">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A5617C"/>
    <w:pPr>
      <w:tabs>
        <w:tab w:val="center" w:pos="4513"/>
        <w:tab w:val="right" w:pos="9026"/>
      </w:tabs>
    </w:pPr>
  </w:style>
  <w:style w:type="character" w:styleId="HeaderChar" w:customStyle="1">
    <w:name w:val="Header Char"/>
    <w:basedOn w:val="DefaultParagraphFont"/>
    <w:link w:val="Header"/>
    <w:uiPriority w:val="99"/>
    <w:rsid w:val="00A5617C"/>
  </w:style>
  <w:style w:type="paragraph" w:styleId="Footer">
    <w:name w:val="footer"/>
    <w:basedOn w:val="Normal"/>
    <w:link w:val="FooterChar"/>
    <w:uiPriority w:val="99"/>
    <w:unhideWhenUsed/>
    <w:rsid w:val="00A5617C"/>
    <w:pPr>
      <w:tabs>
        <w:tab w:val="center" w:pos="4513"/>
        <w:tab w:val="right" w:pos="9026"/>
      </w:tabs>
    </w:pPr>
  </w:style>
  <w:style w:type="character" w:styleId="FooterChar" w:customStyle="1">
    <w:name w:val="Footer Char"/>
    <w:basedOn w:val="DefaultParagraphFont"/>
    <w:link w:val="Footer"/>
    <w:uiPriority w:val="99"/>
    <w:rsid w:val="00A561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microsoft.com/office/2020/10/relationships/intelligence" Target="intelligence2.xml" Id="rId11"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image" Target="/media/image.jpg" Id="rId57304416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Un-named</dc:creator>
  <keywords/>
  <lastModifiedBy>Kay-Ann Lambert (2406927)</lastModifiedBy>
  <revision>91</revision>
  <dcterms:created xsi:type="dcterms:W3CDTF">2026-03-24T00:00:00.0000000Z</dcterms:created>
  <dcterms:modified xsi:type="dcterms:W3CDTF">2026-03-24T21:55:36.6661028Z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7fa2115a-4196-47a2-bc06-da9e3e3ee448</vt:lpwstr>
  </property>
</Properties>
</file>