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CABB72" w14:textId="3696307F" w:rsidR="008A7DB1" w:rsidRPr="002F7CAC" w:rsidRDefault="00743B9A" w:rsidP="00743B9A">
      <w:pPr>
        <w:jc w:val="center"/>
        <w:rPr>
          <w:b/>
          <w:bCs/>
          <w:i/>
          <w:iCs/>
          <w:u w:val="single"/>
        </w:rPr>
      </w:pPr>
      <w:r w:rsidRPr="002F7CAC">
        <w:rPr>
          <w:b/>
          <w:bCs/>
          <w:i/>
          <w:iCs/>
          <w:u w:val="single"/>
        </w:rPr>
        <w:t>Annotated Bibliography</w:t>
      </w:r>
      <w:bookmarkStart w:id="0" w:name="_GoBack"/>
      <w:bookmarkEnd w:id="0"/>
    </w:p>
    <w:p w14:paraId="3ACF502E" w14:textId="0B7D2C1F" w:rsidR="00AC727F" w:rsidRPr="002F7CAC" w:rsidRDefault="00AC727F" w:rsidP="00743B9A">
      <w:pPr>
        <w:jc w:val="center"/>
        <w:rPr>
          <w:b/>
          <w:bCs/>
          <w:i/>
          <w:iCs/>
          <w:u w:val="single"/>
        </w:rPr>
      </w:pPr>
      <w:r w:rsidRPr="002F7CAC">
        <w:rPr>
          <w:b/>
          <w:bCs/>
          <w:i/>
          <w:iCs/>
          <w:u w:val="single"/>
        </w:rPr>
        <w:t>Matthew Morris</w:t>
      </w:r>
    </w:p>
    <w:p w14:paraId="5C12600D" w14:textId="5A124D61" w:rsidR="00AC727F" w:rsidRPr="002F7CAC" w:rsidRDefault="00AC727F" w:rsidP="00743B9A">
      <w:pPr>
        <w:jc w:val="center"/>
        <w:rPr>
          <w:b/>
          <w:bCs/>
          <w:i/>
          <w:iCs/>
          <w:u w:val="single"/>
        </w:rPr>
      </w:pPr>
      <w:r w:rsidRPr="002F7CAC">
        <w:rPr>
          <w:b/>
          <w:bCs/>
          <w:i/>
          <w:iCs/>
          <w:u w:val="single"/>
        </w:rPr>
        <w:t>Levant</w:t>
      </w:r>
      <w:r w:rsidR="007A44E2" w:rsidRPr="002F7CAC">
        <w:rPr>
          <w:b/>
          <w:bCs/>
          <w:i/>
          <w:iCs/>
          <w:u w:val="single"/>
        </w:rPr>
        <w:t xml:space="preserve"> – </w:t>
      </w:r>
      <w:r w:rsidR="00BC6036" w:rsidRPr="002F7CAC">
        <w:rPr>
          <w:b/>
          <w:bCs/>
          <w:i/>
          <w:iCs/>
          <w:u w:val="single"/>
        </w:rPr>
        <w:t xml:space="preserve">How strong were the links of </w:t>
      </w:r>
      <w:r w:rsidR="007A44E2" w:rsidRPr="002F7CAC">
        <w:rPr>
          <w:b/>
          <w:bCs/>
          <w:i/>
          <w:iCs/>
          <w:u w:val="single"/>
        </w:rPr>
        <w:t>Trade and Cross Cu</w:t>
      </w:r>
      <w:r w:rsidR="00016092" w:rsidRPr="002F7CAC">
        <w:rPr>
          <w:b/>
          <w:bCs/>
          <w:i/>
          <w:iCs/>
          <w:u w:val="single"/>
        </w:rPr>
        <w:t>lturalism</w:t>
      </w:r>
      <w:r w:rsidR="00BC6036" w:rsidRPr="002F7CAC">
        <w:rPr>
          <w:b/>
          <w:bCs/>
          <w:i/>
          <w:iCs/>
          <w:u w:val="single"/>
        </w:rPr>
        <w:t>?</w:t>
      </w:r>
    </w:p>
    <w:p w14:paraId="6878100A" w14:textId="77777777" w:rsidR="007A44E2" w:rsidRDefault="007A44E2" w:rsidP="007A44E2"/>
    <w:p w14:paraId="049212C3" w14:textId="610C3AA1" w:rsidR="00AC727F" w:rsidRPr="00AA1BD5" w:rsidRDefault="007A44E2" w:rsidP="007A44E2">
      <w:pPr>
        <w:rPr>
          <w:u w:val="single"/>
        </w:rPr>
      </w:pPr>
      <w:r w:rsidRPr="00AA1BD5">
        <w:rPr>
          <w:u w:val="single"/>
        </w:rPr>
        <w:t>JOURNAL ARTICLE</w:t>
      </w:r>
    </w:p>
    <w:p w14:paraId="4C3DE591" w14:textId="7D74FA87" w:rsidR="00016092" w:rsidRDefault="00AA1BD5" w:rsidP="007A44E2">
      <w:r>
        <w:t>Yahalom-Mack N. Et al, (2014</w:t>
      </w:r>
      <w:r w:rsidRPr="00AA1BD5">
        <w:rPr>
          <w:i/>
          <w:iCs/>
        </w:rPr>
        <w:t>), New insights into Levantine copper trade: analysis of ingots from the Bronze and Iron Ages in Israel</w:t>
      </w:r>
      <w:r>
        <w:rPr>
          <w:i/>
          <w:iCs/>
        </w:rPr>
        <w:t>, Journal of Archaeological Science, published</w:t>
      </w:r>
      <w:r>
        <w:t xml:space="preserve"> by: Elsevier LTD, Vol</w:t>
      </w:r>
      <w:r w:rsidR="00C71467">
        <w:t>.</w:t>
      </w:r>
      <w:r>
        <w:t xml:space="preserve"> 45, </w:t>
      </w:r>
      <w:r w:rsidR="00C71467">
        <w:t>pp</w:t>
      </w:r>
      <w:r>
        <w:t xml:space="preserve"> 159-177.</w:t>
      </w:r>
    </w:p>
    <w:p w14:paraId="28D4C01F" w14:textId="3EDD8FAE" w:rsidR="007435E8" w:rsidRDefault="00A327BC" w:rsidP="007A44E2">
      <w:r>
        <w:t>In this article Yahalom-Mack et al</w:t>
      </w:r>
      <w:r w:rsidR="00D14CA5">
        <w:t>, describes the Levantine copper trade and its link and ability to reconstruct paths of trade</w:t>
      </w:r>
      <w:r w:rsidR="00312F91">
        <w:t xml:space="preserve"> between peoples in the bronze age. Yahalom-Mack et all</w:t>
      </w:r>
      <w:r w:rsidR="0060273D">
        <w:t xml:space="preserve"> found that the underwater retrieval of ingots, revealed the changes in supplies of copper in sites across the Levant, between the two primary copper producers; Cyprus and the Arabah. The use of microstructure, chemical and lead isotope analysis of these </w:t>
      </w:r>
      <w:r w:rsidR="00F77808">
        <w:t>ingots, allowed</w:t>
      </w:r>
      <w:r w:rsidR="0060273D">
        <w:t xml:space="preserve"> them to find the place of origin of the </w:t>
      </w:r>
      <w:r w:rsidR="00CA5000">
        <w:t>metallic</w:t>
      </w:r>
      <w:r w:rsidR="0060273D">
        <w:t xml:space="preserve"> products. The </w:t>
      </w:r>
      <w:r w:rsidR="00F77808">
        <w:t xml:space="preserve">findings of Yahalom-Mack and his team revealed that two of the ‘ingot assemblages’, were dated </w:t>
      </w:r>
      <w:r w:rsidR="00CA5000">
        <w:t xml:space="preserve">to </w:t>
      </w:r>
      <w:r w:rsidR="00F77808">
        <w:t xml:space="preserve">two different phases of Cypriot exportation of copper. The Middle Bronze age II and the Late Bronze age I. The evidence of </w:t>
      </w:r>
      <w:r w:rsidR="006F0DCD">
        <w:t>‘</w:t>
      </w:r>
      <w:proofErr w:type="spellStart"/>
      <w:r w:rsidR="00F77808">
        <w:t>oxhide</w:t>
      </w:r>
      <w:proofErr w:type="spellEnd"/>
      <w:r w:rsidR="006F0DCD">
        <w:t>’</w:t>
      </w:r>
      <w:r w:rsidR="00F77808">
        <w:t xml:space="preserve"> </w:t>
      </w:r>
      <w:r w:rsidR="001E0D96">
        <w:t xml:space="preserve">shaped </w:t>
      </w:r>
      <w:r w:rsidR="00F77808">
        <w:t>ingots along the Camel Coast</w:t>
      </w:r>
      <w:r w:rsidR="001E0D96">
        <w:t>,</w:t>
      </w:r>
      <w:r w:rsidR="007435E8">
        <w:t xml:space="preserve"> revealed an additional 54 ingots of a similar constitution, </w:t>
      </w:r>
      <w:r w:rsidR="00CA5000">
        <w:t>indicating</w:t>
      </w:r>
      <w:r w:rsidR="007435E8">
        <w:t xml:space="preserve"> a before</w:t>
      </w:r>
      <w:r w:rsidR="00CA5000">
        <w:t>,</w:t>
      </w:r>
      <w:r w:rsidR="007435E8">
        <w:t xml:space="preserve"> unknown large-scale production at </w:t>
      </w:r>
      <w:proofErr w:type="spellStart"/>
      <w:r w:rsidR="007435E8">
        <w:t>Faynan</w:t>
      </w:r>
      <w:proofErr w:type="spellEnd"/>
      <w:r w:rsidR="007435E8">
        <w:t xml:space="preserve"> leading into the iron </w:t>
      </w:r>
      <w:r w:rsidR="00BC6036">
        <w:t>age. The</w:t>
      </w:r>
      <w:r w:rsidR="007435E8">
        <w:t xml:space="preserve"> authors present strong information and evidence, in support of tracking trade through scientific analysis of recovered </w:t>
      </w:r>
      <w:r w:rsidR="00C728C8">
        <w:t>assemblages and artefacts</w:t>
      </w:r>
      <w:r w:rsidR="007435E8">
        <w:t xml:space="preserve">. </w:t>
      </w:r>
      <w:r w:rsidR="00161F02">
        <w:t xml:space="preserve">With thorough research covering isotopic analysis, as well as detailed graphs and retrospective thought upon their findings. Yahalom-Mack et all however do </w:t>
      </w:r>
      <w:r w:rsidR="00BC6036">
        <w:t>r</w:t>
      </w:r>
      <w:r w:rsidR="00161F02">
        <w:t>emov</w:t>
      </w:r>
      <w:r w:rsidR="00BC6036">
        <w:t>e</w:t>
      </w:r>
      <w:r w:rsidR="00161F02">
        <w:t xml:space="preserve"> a lot of the cross-cultural aspects, reducing it to data and locations. It should be considered </w:t>
      </w:r>
      <w:r w:rsidR="00CA5000">
        <w:t xml:space="preserve">in aspects of </w:t>
      </w:r>
      <w:r w:rsidR="00161F02">
        <w:t xml:space="preserve">social </w:t>
      </w:r>
      <w:r w:rsidR="00CA5000">
        <w:t xml:space="preserve">bonds </w:t>
      </w:r>
      <w:r w:rsidR="00161F02">
        <w:t>and</w:t>
      </w:r>
      <w:r w:rsidR="00CA5000">
        <w:t xml:space="preserve"> the</w:t>
      </w:r>
      <w:r w:rsidR="00161F02">
        <w:t xml:space="preserve"> significance </w:t>
      </w:r>
      <w:r w:rsidR="00CA5000">
        <w:t>of these</w:t>
      </w:r>
      <w:r w:rsidR="00DD17BC">
        <w:t xml:space="preserve"> </w:t>
      </w:r>
      <w:r w:rsidR="00CA5000">
        <w:t>links’ cultures</w:t>
      </w:r>
      <w:r w:rsidR="00DD17BC">
        <w:t xml:space="preserve"> had</w:t>
      </w:r>
      <w:r w:rsidR="00CA5000">
        <w:t>.</w:t>
      </w:r>
      <w:r w:rsidR="00DD17BC">
        <w:t xml:space="preserve"> </w:t>
      </w:r>
      <w:r w:rsidR="00CA5000">
        <w:t>T</w:t>
      </w:r>
      <w:r w:rsidR="00DD17BC">
        <w:t xml:space="preserve">he significance of </w:t>
      </w:r>
      <w:r w:rsidR="00CA5000">
        <w:t>both the</w:t>
      </w:r>
      <w:r w:rsidR="00DD17BC">
        <w:t xml:space="preserve"> social and cultural structure, required to transport, organize and export these goods, to both neighbours and those on distant shores</w:t>
      </w:r>
      <w:r w:rsidR="000343E0">
        <w:t>, should be considered.</w:t>
      </w:r>
    </w:p>
    <w:p w14:paraId="7860D8DB" w14:textId="77777777" w:rsidR="00D34F59" w:rsidRPr="00AA1BD5" w:rsidRDefault="00D34F59" w:rsidP="007A44E2"/>
    <w:p w14:paraId="045A7339" w14:textId="57AA40CE" w:rsidR="00016092" w:rsidRPr="00AA1BD5" w:rsidRDefault="00016092" w:rsidP="007A44E2">
      <w:pPr>
        <w:rPr>
          <w:u w:val="single"/>
        </w:rPr>
      </w:pPr>
      <w:r w:rsidRPr="00AA1BD5">
        <w:rPr>
          <w:u w:val="single"/>
        </w:rPr>
        <w:t>WEB SOURCE</w:t>
      </w:r>
    </w:p>
    <w:p w14:paraId="3984F11C" w14:textId="2353624D" w:rsidR="00016092" w:rsidRDefault="00AA1BD5" w:rsidP="007A44E2">
      <w:r>
        <w:t xml:space="preserve">Blue, L. (2017), </w:t>
      </w:r>
      <w:r w:rsidRPr="00AA1BD5">
        <w:rPr>
          <w:i/>
          <w:iCs/>
        </w:rPr>
        <w:t>Shipwrecks and Submerged Worlds</w:t>
      </w:r>
      <w:r>
        <w:rPr>
          <w:i/>
          <w:iCs/>
        </w:rPr>
        <w:t xml:space="preserve"> - </w:t>
      </w:r>
      <w:r w:rsidRPr="00AA1BD5">
        <w:rPr>
          <w:i/>
          <w:iCs/>
        </w:rPr>
        <w:t>Late Bronze Age trade in the eastern Mediterranean</w:t>
      </w:r>
      <w:r w:rsidRPr="00AA1BD5">
        <w:t>, published by</w:t>
      </w:r>
      <w:r>
        <w:rPr>
          <w:i/>
          <w:iCs/>
        </w:rPr>
        <w:t xml:space="preserve">: </w:t>
      </w:r>
      <w:r w:rsidRPr="00AA1BD5">
        <w:t>University of Southampton</w:t>
      </w:r>
      <w:r>
        <w:t xml:space="preserve">, [accessed online], URL: </w:t>
      </w:r>
      <w:hyperlink r:id="rId4" w:history="1">
        <w:r w:rsidR="00D34F59" w:rsidRPr="00D34F59">
          <w:rPr>
            <w:rStyle w:val="Hyperlink"/>
            <w:color w:val="auto"/>
          </w:rPr>
          <w:t>https://www.futurelearn.com/courses/shipwrecks/0/steps/7966</w:t>
        </w:r>
      </w:hyperlink>
    </w:p>
    <w:p w14:paraId="71654608" w14:textId="43476784" w:rsidR="00D34F59" w:rsidRDefault="009942A6" w:rsidP="007A44E2">
      <w:r>
        <w:t>Th</w:t>
      </w:r>
      <w:r w:rsidR="00EA41D5">
        <w:t>is web-source examines</w:t>
      </w:r>
      <w:r w:rsidR="00DE5C53">
        <w:t xml:space="preserve"> the relation between the key players of the Mediterranean seaboard (such as Egypt, Mesopotamia, Levantine coast and Minoan Crete) and enhancing the readers understanding of international trade, and long distance overseas ‘exchanges. Blue focuses on how marine archaeological finds improve our understanding of the Late Bronze age in both the Mediterranean and Levant. </w:t>
      </w:r>
      <w:r w:rsidR="00BC6036">
        <w:t>Moreover, this</w:t>
      </w:r>
      <w:r w:rsidR="00DE5C53">
        <w:t xml:space="preserve"> challenges the notion of the collapse many believe happened at the end of the bronze age. </w:t>
      </w:r>
      <w:r w:rsidR="00BC6036">
        <w:t>I</w:t>
      </w:r>
      <w:r w:rsidR="00540F6B">
        <w:t>n 1960 with George Bass</w:t>
      </w:r>
      <w:r w:rsidR="00BC6036">
        <w:t>’s</w:t>
      </w:r>
      <w:r w:rsidR="00540F6B">
        <w:t xml:space="preserve"> excavation of a 12</w:t>
      </w:r>
      <w:r w:rsidR="00540F6B" w:rsidRPr="00540F6B">
        <w:rPr>
          <w:vertAlign w:val="superscript"/>
        </w:rPr>
        <w:t>th</w:t>
      </w:r>
      <w:r w:rsidR="00540F6B">
        <w:t xml:space="preserve"> century BCE shipwreck in </w:t>
      </w:r>
      <w:proofErr w:type="spellStart"/>
      <w:r w:rsidR="00540F6B">
        <w:t>Uluburun</w:t>
      </w:r>
      <w:proofErr w:type="spellEnd"/>
      <w:r w:rsidR="00540F6B">
        <w:t xml:space="preserve">, Southern Turkey. Blue reports that the discovery lead to 15 tonnes of cargo discovered, with; copper, tin, glass, ivory, gold and luxurious food and goods being found along side. Blue explains how this discovery reveals a rare glimpse into the </w:t>
      </w:r>
      <w:r w:rsidR="004A663D">
        <w:t xml:space="preserve">amount </w:t>
      </w:r>
      <w:r w:rsidR="00540F6B">
        <w:t>and value of goods bronze age people were both able to create and send across the Mediterranean and further. With large collections of weights found on board</w:t>
      </w:r>
      <w:r w:rsidR="00EA3DC5">
        <w:t xml:space="preserve"> representing standardized measurements used in different cultures, which Blue argues could hint at wide scale of organisation and international</w:t>
      </w:r>
      <w:r w:rsidR="004A663D">
        <w:t xml:space="preserve"> </w:t>
      </w:r>
      <w:r w:rsidR="00EA3DC5">
        <w:t xml:space="preserve">trade. </w:t>
      </w:r>
      <w:r w:rsidR="004A663D">
        <w:lastRenderedPageBreak/>
        <w:t>E</w:t>
      </w:r>
      <w:r w:rsidR="00EA3DC5">
        <w:t>vidence on cuneiform tablets (Mari Archives, Mesopotamia), informing us about the nature of trade envoys and gift exchanges, between pharaohs and kings, offered as tribute. This text is particularly useful as it offers a previously unseen in-sight into bronze aged trade and cross-culturalism.</w:t>
      </w:r>
      <w:r w:rsidR="00523237">
        <w:t xml:space="preserve"> How these different peoples may have interacting or what was highly sort after.</w:t>
      </w:r>
      <w:r w:rsidR="00FF4810">
        <w:t xml:space="preserve"> </w:t>
      </w:r>
      <w:r w:rsidR="004A663D">
        <w:t xml:space="preserve">Therefore, while </w:t>
      </w:r>
      <w:r w:rsidR="00FF4810">
        <w:t>it</w:t>
      </w:r>
      <w:r w:rsidR="00523237">
        <w:t xml:space="preserve"> offers an almost perfect time capsule into international trading boat of the 12</w:t>
      </w:r>
      <w:r w:rsidR="00523237" w:rsidRPr="00523237">
        <w:rPr>
          <w:vertAlign w:val="superscript"/>
        </w:rPr>
        <w:t>th</w:t>
      </w:r>
      <w:r w:rsidR="00523237">
        <w:t xml:space="preserve"> century BCE</w:t>
      </w:r>
      <w:r w:rsidR="00FF4810">
        <w:t>, a lot of the context for these finds is not explained</w:t>
      </w:r>
      <w:r w:rsidR="0054264B">
        <w:t xml:space="preserve">. Apart from generalisation of ‘gifts’, which while useful does not explain the cultural ties or importance across culture, </w:t>
      </w:r>
      <w:r w:rsidR="004A663D">
        <w:t xml:space="preserve">who were the </w:t>
      </w:r>
      <w:r w:rsidR="0054264B">
        <w:t>people would have manned this boat?</w:t>
      </w:r>
    </w:p>
    <w:p w14:paraId="2FAB4651" w14:textId="77777777" w:rsidR="00EA3DC5" w:rsidRDefault="00EA3DC5" w:rsidP="007A44E2"/>
    <w:p w14:paraId="783F28AF" w14:textId="2A08AA40" w:rsidR="00EA41D5" w:rsidRDefault="00EA41D5" w:rsidP="007A44E2"/>
    <w:p w14:paraId="297829A6" w14:textId="77777777" w:rsidR="00EA41D5" w:rsidRDefault="00EA41D5" w:rsidP="007A44E2"/>
    <w:p w14:paraId="131EBEC0" w14:textId="32FC3120" w:rsidR="00016092" w:rsidRPr="00C71467" w:rsidRDefault="00016092" w:rsidP="007A44E2">
      <w:pPr>
        <w:rPr>
          <w:u w:val="single"/>
        </w:rPr>
      </w:pPr>
      <w:r w:rsidRPr="00C71467">
        <w:rPr>
          <w:u w:val="single"/>
        </w:rPr>
        <w:t>SINGLE AUTHORED TEXT</w:t>
      </w:r>
    </w:p>
    <w:p w14:paraId="0FF56F9F" w14:textId="6591DA2E" w:rsidR="00AA1BD5" w:rsidRDefault="00AA1BD5" w:rsidP="007A44E2">
      <w:pPr>
        <w:rPr>
          <w:i/>
          <w:iCs/>
        </w:rPr>
      </w:pPr>
      <w:r>
        <w:t>Knapp, B. A. (1993)</w:t>
      </w:r>
      <w:r w:rsidR="00C71467">
        <w:t xml:space="preserve">, </w:t>
      </w:r>
      <w:r w:rsidR="00C71467" w:rsidRPr="00C71467">
        <w:rPr>
          <w:i/>
          <w:iCs/>
        </w:rPr>
        <w:t>Thalassocracies in Bronze Age Eastern Mediterranean Trade: Making and Breaking a Myth</w:t>
      </w:r>
      <w:r w:rsidR="00C71467">
        <w:rPr>
          <w:i/>
          <w:iCs/>
        </w:rPr>
        <w:t xml:space="preserve"> - </w:t>
      </w:r>
      <w:r w:rsidR="00C71467" w:rsidRPr="00C71467">
        <w:rPr>
          <w:i/>
          <w:iCs/>
        </w:rPr>
        <w:t>World Archaeology</w:t>
      </w:r>
      <w:r w:rsidR="00C71467">
        <w:rPr>
          <w:i/>
          <w:iCs/>
        </w:rPr>
        <w:t>, published by: Taylor &amp; Francis, LTD, Vol. 24, pp 332-347.</w:t>
      </w:r>
    </w:p>
    <w:p w14:paraId="2B3A5C10" w14:textId="792BF0F5" w:rsidR="00EA41D5" w:rsidRDefault="00EA41D5" w:rsidP="007A44E2">
      <w:r>
        <w:t>Within this article Knapp</w:t>
      </w:r>
      <w:r w:rsidR="003C6905">
        <w:t xml:space="preserve"> purposes four types of ‘trade mechanisms’ to explain the large amount of assemblages and data from the Aegean and Eastern Mediterranean, and Levant. (1) Centralized political control, (Minoan, Canaanite). (2) Localized control, with intermediates serving to link different areas (Ugarit, </w:t>
      </w:r>
      <w:proofErr w:type="spellStart"/>
      <w:r w:rsidR="003C6905">
        <w:t>Enkomi</w:t>
      </w:r>
      <w:proofErr w:type="spellEnd"/>
      <w:r w:rsidR="003C6905">
        <w:t xml:space="preserve">, Knossos). </w:t>
      </w:r>
      <w:r w:rsidR="000029FB">
        <w:t xml:space="preserve">(3) Freelance trade. (4) Ceremonial or gift exchange. In which Knapp reassess the value of notions of ‘politico-economic pre-eminence’, ethnicity and the directionality of the Eastern Mediterranean trade in the </w:t>
      </w:r>
      <w:r w:rsidR="00C13C1F">
        <w:t>B</w:t>
      </w:r>
      <w:r w:rsidR="000029FB">
        <w:t xml:space="preserve">ronze </w:t>
      </w:r>
      <w:r w:rsidR="00C13C1F">
        <w:t>A</w:t>
      </w:r>
      <w:r w:rsidR="000029FB">
        <w:t>ge. As well as the idea of Egyptian supremacy in Mediterranean trade. Knapp concl</w:t>
      </w:r>
      <w:r w:rsidR="00462648">
        <w:t xml:space="preserve">udes that the primary incentive and desire for trade was by newly founded social elites to acquire goods, which he argues had its own specific social significance. While acknowledging the individual agents </w:t>
      </w:r>
      <w:r w:rsidR="00FC7570">
        <w:t xml:space="preserve">and the many different mechanisms that </w:t>
      </w:r>
      <w:r w:rsidR="00014CBE">
        <w:t xml:space="preserve">propelled trade. Therefore, this article makes </w:t>
      </w:r>
      <w:r w:rsidR="00053B4D">
        <w:t>clear and concise points</w:t>
      </w:r>
      <w:r w:rsidR="00014CBE">
        <w:t xml:space="preserve"> on the origins of trade, and what aided in its development</w:t>
      </w:r>
      <w:r w:rsidR="00053B4D">
        <w:t xml:space="preserve"> in the Bronze Age Mediterreanean. Yet while he offers many avenues into what causes trade. Knapp’s focus on trade being something the ‘elite’ desired, -</w:t>
      </w:r>
      <w:r w:rsidR="00184E75">
        <w:t>yet, the</w:t>
      </w:r>
      <w:r w:rsidR="00053B4D">
        <w:t xml:space="preserve"> elite are few, and so it could be assumed that the want for goods, was </w:t>
      </w:r>
      <w:r w:rsidR="00184E75">
        <w:t>from</w:t>
      </w:r>
      <w:r w:rsidR="00053B4D">
        <w:t xml:space="preserve"> the non-elite. </w:t>
      </w:r>
      <w:r w:rsidR="00B17575">
        <w:t>Finally,</w:t>
      </w:r>
      <w:r w:rsidR="00184E75">
        <w:t xml:space="preserve"> when </w:t>
      </w:r>
      <w:r w:rsidR="00053B4D">
        <w:t>thought about in the context of cross</w:t>
      </w:r>
      <w:r w:rsidR="00C13C1F">
        <w:t>-</w:t>
      </w:r>
      <w:r w:rsidR="00053B4D">
        <w:t xml:space="preserve">culturalism and trade in the Levant, it gives a good commentary on many places, and the trade links bronze aged people possessed. </w:t>
      </w:r>
      <w:r w:rsidR="00C13C1F">
        <w:t xml:space="preserve">Including Why these people may have sought these goods. </w:t>
      </w:r>
      <w:r w:rsidR="00053B4D">
        <w:t xml:space="preserve">Suggesting much culture may </w:t>
      </w:r>
      <w:r w:rsidR="00B17575">
        <w:t>have</w:t>
      </w:r>
      <w:r w:rsidR="00053B4D">
        <w:t xml:space="preserve"> transferred through these goods and </w:t>
      </w:r>
      <w:r w:rsidR="00B17575">
        <w:t xml:space="preserve">individuals. </w:t>
      </w:r>
    </w:p>
    <w:p w14:paraId="00C043CF" w14:textId="31FF77F4" w:rsidR="00016092" w:rsidRDefault="00C71467" w:rsidP="007A44E2">
      <w:pPr>
        <w:rPr>
          <w:u w:val="single"/>
        </w:rPr>
      </w:pPr>
      <w:r w:rsidRPr="00C71467">
        <w:rPr>
          <w:u w:val="single"/>
        </w:rPr>
        <w:t>CONFERENCE PROCEDINGS</w:t>
      </w:r>
    </w:p>
    <w:p w14:paraId="30A9911A" w14:textId="78EA8F40" w:rsidR="00C71467" w:rsidRDefault="00C71467" w:rsidP="00C71467">
      <w:r w:rsidRPr="00C71467">
        <w:t>Fischer</w:t>
      </w:r>
      <w:r>
        <w:t>, M</w:t>
      </w:r>
      <w:r w:rsidRPr="00C71467">
        <w:t>.</w:t>
      </w:r>
      <w:r>
        <w:t>P.</w:t>
      </w:r>
      <w:r w:rsidRPr="00C71467">
        <w:t xml:space="preserve"> Bürge</w:t>
      </w:r>
      <w:r>
        <w:t xml:space="preserve">, T. </w:t>
      </w:r>
      <w:proofErr w:type="spellStart"/>
      <w:r>
        <w:t>Kreimerman</w:t>
      </w:r>
      <w:proofErr w:type="spellEnd"/>
      <w:r>
        <w:t>, I.</w:t>
      </w:r>
      <w:r w:rsidR="00A327BC">
        <w:t xml:space="preserve"> </w:t>
      </w:r>
      <w:proofErr w:type="spellStart"/>
      <w:r>
        <w:t>Kassianidou</w:t>
      </w:r>
      <w:proofErr w:type="spellEnd"/>
      <w:r>
        <w:t>, V. (2020), The</w:t>
      </w:r>
      <w:r w:rsidRPr="00C71467">
        <w:rPr>
          <w:i/>
          <w:iCs/>
        </w:rPr>
        <w:t xml:space="preserve"> Decline of Bronze Age Civilisations in the Mediterranean: Cyprus and Beyond Convened by P.M. Fischer and T. Bürge,</w:t>
      </w:r>
      <w:r>
        <w:rPr>
          <w:i/>
          <w:iCs/>
        </w:rPr>
        <w:t xml:space="preserve"> </w:t>
      </w:r>
      <w:r w:rsidRPr="00C71467">
        <w:t>Location:</w:t>
      </w:r>
      <w:r>
        <w:rPr>
          <w:i/>
          <w:iCs/>
        </w:rPr>
        <w:t xml:space="preserve"> </w:t>
      </w:r>
      <w:r w:rsidR="00D34F59" w:rsidRPr="00D34F59">
        <w:t xml:space="preserve">Lilla </w:t>
      </w:r>
      <w:proofErr w:type="spellStart"/>
      <w:r w:rsidR="00D34F59" w:rsidRPr="00D34F59">
        <w:t>Hörsalen</w:t>
      </w:r>
      <w:proofErr w:type="spellEnd"/>
      <w:r w:rsidR="00D34F59" w:rsidRPr="00D34F59">
        <w:t xml:space="preserve">, </w:t>
      </w:r>
      <w:proofErr w:type="spellStart"/>
      <w:r w:rsidR="00D34F59" w:rsidRPr="00D34F59">
        <w:t>Humanisten</w:t>
      </w:r>
      <w:proofErr w:type="spellEnd"/>
      <w:r w:rsidR="00D34F59" w:rsidRPr="00D34F59">
        <w:t xml:space="preserve">, University of Gothenburg, Sweden, Published: </w:t>
      </w:r>
      <w:proofErr w:type="spellStart"/>
      <w:r w:rsidR="00D34F59" w:rsidRPr="00D34F59">
        <w:t>Renströmsgatan</w:t>
      </w:r>
      <w:proofErr w:type="spellEnd"/>
      <w:r w:rsidR="00D34F59" w:rsidRPr="00D34F59">
        <w:t xml:space="preserve"> Gothenburg</w:t>
      </w:r>
      <w:r w:rsidR="00D34F59">
        <w:t xml:space="preserve">, [accessed online], URL: </w:t>
      </w:r>
      <w:hyperlink r:id="rId5" w:history="1">
        <w:r w:rsidR="00EA41D5" w:rsidRPr="00907276">
          <w:rPr>
            <w:rStyle w:val="Hyperlink"/>
          </w:rPr>
          <w:t>http://www.fischerarchaeology.se/?page_id=2749</w:t>
        </w:r>
      </w:hyperlink>
    </w:p>
    <w:p w14:paraId="78E22579" w14:textId="759CF3D7" w:rsidR="00EA41D5" w:rsidRDefault="00B17575" w:rsidP="00C71467">
      <w:r>
        <w:t>Fischer and coll</w:t>
      </w:r>
      <w:r w:rsidR="00D11637">
        <w:t xml:space="preserve">eagues </w:t>
      </w:r>
      <w:r w:rsidR="00D64B79">
        <w:t xml:space="preserve">discuss many topics, however his </w:t>
      </w:r>
      <w:r w:rsidR="008A65A9">
        <w:t>focus</w:t>
      </w:r>
      <w:r w:rsidR="00D64B79">
        <w:t xml:space="preserve"> in changing the ‘simplistic view’ of the peoples of the sea (which includes those across the Mediterranean and Levant).</w:t>
      </w:r>
      <w:r w:rsidR="008A65A9">
        <w:t xml:space="preserve"> And ultimately the decline in bronze age civilisations in the Mediterranean.</w:t>
      </w:r>
      <w:r w:rsidR="00D64B79">
        <w:t xml:space="preserve"> As a </w:t>
      </w:r>
      <w:r w:rsidR="006C66AE">
        <w:t>complex people</w:t>
      </w:r>
      <w:r w:rsidR="00D64B79">
        <w:t xml:space="preserve"> who migrated, attacked and settled different areas</w:t>
      </w:r>
      <w:r w:rsidR="00AA6B7B">
        <w:t xml:space="preserve"> (With widely distributed ox</w:t>
      </w:r>
      <w:r w:rsidR="00866CEE">
        <w:t>-</w:t>
      </w:r>
      <w:r w:rsidR="00AA6B7B">
        <w:t>hide copper ingots)</w:t>
      </w:r>
      <w:r w:rsidR="00D64B79">
        <w:t xml:space="preserve">. </w:t>
      </w:r>
      <w:r w:rsidR="006C66AE">
        <w:t>While his colleagues bring in other aspects, such as the downfall of bronze age societies, and evidenced through burnt mud brick, ash and pottery</w:t>
      </w:r>
      <w:r w:rsidR="008A65A9">
        <w:t xml:space="preserve">, which is suggested to be human induced. </w:t>
      </w:r>
      <w:r w:rsidR="00AA6B7B">
        <w:t xml:space="preserve">While </w:t>
      </w:r>
      <w:proofErr w:type="spellStart"/>
      <w:r w:rsidR="00AA6B7B">
        <w:t>Fischers</w:t>
      </w:r>
      <w:proofErr w:type="spellEnd"/>
      <w:r w:rsidR="00AA6B7B">
        <w:t xml:space="preserve"> conference is useful in the context of what happened to the trading and people of the Levant, it </w:t>
      </w:r>
      <w:r w:rsidR="00AA6B7B">
        <w:lastRenderedPageBreak/>
        <w:t>does not reveal much about spread of culture</w:t>
      </w:r>
      <w:r w:rsidR="008037EB">
        <w:t>,</w:t>
      </w:r>
      <w:r w:rsidR="00AA6B7B">
        <w:t xml:space="preserve"> apart from pottery spread throughout the ancient world. How these different peoples interacted with each other during the ‘collapse’ should be more accurately addressed</w:t>
      </w:r>
      <w:r w:rsidR="004A663D">
        <w:t xml:space="preserve">, and a greater challenge placed on conventional ideas of the era. </w:t>
      </w:r>
    </w:p>
    <w:p w14:paraId="7177FDE0" w14:textId="77777777" w:rsidR="00EA41D5" w:rsidRPr="00D34F59" w:rsidRDefault="00EA41D5" w:rsidP="00C71467"/>
    <w:sectPr w:rsidR="00EA41D5" w:rsidRPr="00D34F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B9A"/>
    <w:rsid w:val="000029FB"/>
    <w:rsid w:val="00014CBE"/>
    <w:rsid w:val="00016092"/>
    <w:rsid w:val="000343E0"/>
    <w:rsid w:val="00034751"/>
    <w:rsid w:val="00053B4D"/>
    <w:rsid w:val="00161F02"/>
    <w:rsid w:val="00184E75"/>
    <w:rsid w:val="001E0D96"/>
    <w:rsid w:val="002F7CAC"/>
    <w:rsid w:val="00312F91"/>
    <w:rsid w:val="003C6905"/>
    <w:rsid w:val="00462648"/>
    <w:rsid w:val="00470D16"/>
    <w:rsid w:val="004A663D"/>
    <w:rsid w:val="00523237"/>
    <w:rsid w:val="00540F6B"/>
    <w:rsid w:val="0054264B"/>
    <w:rsid w:val="005A740E"/>
    <w:rsid w:val="0060273D"/>
    <w:rsid w:val="006C66AE"/>
    <w:rsid w:val="006F0DCD"/>
    <w:rsid w:val="007435E8"/>
    <w:rsid w:val="00743B9A"/>
    <w:rsid w:val="007A44E2"/>
    <w:rsid w:val="008037EB"/>
    <w:rsid w:val="00866CEE"/>
    <w:rsid w:val="008A65A9"/>
    <w:rsid w:val="009942A6"/>
    <w:rsid w:val="00A327BC"/>
    <w:rsid w:val="00AA1BD5"/>
    <w:rsid w:val="00AA6B7B"/>
    <w:rsid w:val="00AC727F"/>
    <w:rsid w:val="00B03628"/>
    <w:rsid w:val="00B12C0C"/>
    <w:rsid w:val="00B17575"/>
    <w:rsid w:val="00BC6036"/>
    <w:rsid w:val="00C13C1F"/>
    <w:rsid w:val="00C71467"/>
    <w:rsid w:val="00C728C8"/>
    <w:rsid w:val="00CA5000"/>
    <w:rsid w:val="00D11637"/>
    <w:rsid w:val="00D14CA5"/>
    <w:rsid w:val="00D34F59"/>
    <w:rsid w:val="00D64B79"/>
    <w:rsid w:val="00DD17BC"/>
    <w:rsid w:val="00DE5C53"/>
    <w:rsid w:val="00EA3DC5"/>
    <w:rsid w:val="00EA41D5"/>
    <w:rsid w:val="00F77808"/>
    <w:rsid w:val="00FC7570"/>
    <w:rsid w:val="00FF4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F0AB"/>
  <w15:chartTrackingRefBased/>
  <w15:docId w15:val="{30E7F24D-C4EC-4E34-91A6-D24801FAB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4F59"/>
    <w:rPr>
      <w:color w:val="0563C1" w:themeColor="hyperlink"/>
      <w:u w:val="single"/>
    </w:rPr>
  </w:style>
  <w:style w:type="character" w:styleId="UnresolvedMention">
    <w:name w:val="Unresolved Mention"/>
    <w:basedOn w:val="DefaultParagraphFont"/>
    <w:uiPriority w:val="99"/>
    <w:semiHidden/>
    <w:unhideWhenUsed/>
    <w:rsid w:val="00D34F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263256">
      <w:bodyDiv w:val="1"/>
      <w:marLeft w:val="0"/>
      <w:marRight w:val="0"/>
      <w:marTop w:val="0"/>
      <w:marBottom w:val="0"/>
      <w:divBdr>
        <w:top w:val="none" w:sz="0" w:space="0" w:color="auto"/>
        <w:left w:val="none" w:sz="0" w:space="0" w:color="auto"/>
        <w:bottom w:val="none" w:sz="0" w:space="0" w:color="auto"/>
        <w:right w:val="none" w:sz="0" w:space="0" w:color="auto"/>
      </w:divBdr>
    </w:div>
    <w:div w:id="230314421">
      <w:bodyDiv w:val="1"/>
      <w:marLeft w:val="0"/>
      <w:marRight w:val="0"/>
      <w:marTop w:val="0"/>
      <w:marBottom w:val="0"/>
      <w:divBdr>
        <w:top w:val="none" w:sz="0" w:space="0" w:color="auto"/>
        <w:left w:val="none" w:sz="0" w:space="0" w:color="auto"/>
        <w:bottom w:val="none" w:sz="0" w:space="0" w:color="auto"/>
        <w:right w:val="none" w:sz="0" w:space="0" w:color="auto"/>
      </w:divBdr>
    </w:div>
    <w:div w:id="240220772">
      <w:bodyDiv w:val="1"/>
      <w:marLeft w:val="0"/>
      <w:marRight w:val="0"/>
      <w:marTop w:val="0"/>
      <w:marBottom w:val="0"/>
      <w:divBdr>
        <w:top w:val="none" w:sz="0" w:space="0" w:color="auto"/>
        <w:left w:val="none" w:sz="0" w:space="0" w:color="auto"/>
        <w:bottom w:val="none" w:sz="0" w:space="0" w:color="auto"/>
        <w:right w:val="none" w:sz="0" w:space="0" w:color="auto"/>
      </w:divBdr>
    </w:div>
    <w:div w:id="896741392">
      <w:bodyDiv w:val="1"/>
      <w:marLeft w:val="0"/>
      <w:marRight w:val="0"/>
      <w:marTop w:val="0"/>
      <w:marBottom w:val="0"/>
      <w:divBdr>
        <w:top w:val="none" w:sz="0" w:space="0" w:color="auto"/>
        <w:left w:val="none" w:sz="0" w:space="0" w:color="auto"/>
        <w:bottom w:val="none" w:sz="0" w:space="0" w:color="auto"/>
        <w:right w:val="none" w:sz="0" w:space="0" w:color="auto"/>
      </w:divBdr>
    </w:div>
    <w:div w:id="1461066987">
      <w:bodyDiv w:val="1"/>
      <w:marLeft w:val="0"/>
      <w:marRight w:val="0"/>
      <w:marTop w:val="0"/>
      <w:marBottom w:val="0"/>
      <w:divBdr>
        <w:top w:val="none" w:sz="0" w:space="0" w:color="auto"/>
        <w:left w:val="none" w:sz="0" w:space="0" w:color="auto"/>
        <w:bottom w:val="none" w:sz="0" w:space="0" w:color="auto"/>
        <w:right w:val="none" w:sz="0" w:space="0" w:color="auto"/>
      </w:divBdr>
      <w:divsChild>
        <w:div w:id="1870876915">
          <w:marLeft w:val="0"/>
          <w:marRight w:val="0"/>
          <w:marTop w:val="0"/>
          <w:marBottom w:val="0"/>
          <w:divBdr>
            <w:top w:val="none" w:sz="0" w:space="0" w:color="auto"/>
            <w:left w:val="none" w:sz="0" w:space="0" w:color="auto"/>
            <w:bottom w:val="none" w:sz="0" w:space="0" w:color="auto"/>
            <w:right w:val="none" w:sz="0" w:space="0" w:color="auto"/>
          </w:divBdr>
          <w:divsChild>
            <w:div w:id="1398481746">
              <w:marLeft w:val="0"/>
              <w:marRight w:val="0"/>
              <w:marTop w:val="0"/>
              <w:marBottom w:val="0"/>
              <w:divBdr>
                <w:top w:val="none" w:sz="0" w:space="0" w:color="auto"/>
                <w:left w:val="none" w:sz="0" w:space="0" w:color="auto"/>
                <w:bottom w:val="none" w:sz="0" w:space="0" w:color="auto"/>
                <w:right w:val="none" w:sz="0" w:space="0" w:color="auto"/>
              </w:divBdr>
            </w:div>
            <w:div w:id="1353458927">
              <w:marLeft w:val="0"/>
              <w:marRight w:val="0"/>
              <w:marTop w:val="0"/>
              <w:marBottom w:val="0"/>
              <w:divBdr>
                <w:top w:val="none" w:sz="0" w:space="0" w:color="auto"/>
                <w:left w:val="none" w:sz="0" w:space="0" w:color="auto"/>
                <w:bottom w:val="none" w:sz="0" w:space="0" w:color="auto"/>
                <w:right w:val="none" w:sz="0" w:space="0" w:color="auto"/>
              </w:divBdr>
              <w:divsChild>
                <w:div w:id="3500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092523">
          <w:marLeft w:val="0"/>
          <w:marRight w:val="0"/>
          <w:marTop w:val="120"/>
          <w:marBottom w:val="0"/>
          <w:divBdr>
            <w:top w:val="none" w:sz="0" w:space="0" w:color="auto"/>
            <w:left w:val="none" w:sz="0" w:space="0" w:color="auto"/>
            <w:bottom w:val="none" w:sz="0" w:space="0" w:color="auto"/>
            <w:right w:val="none" w:sz="0" w:space="0" w:color="auto"/>
          </w:divBdr>
          <w:divsChild>
            <w:div w:id="67569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934450">
      <w:bodyDiv w:val="1"/>
      <w:marLeft w:val="0"/>
      <w:marRight w:val="0"/>
      <w:marTop w:val="0"/>
      <w:marBottom w:val="0"/>
      <w:divBdr>
        <w:top w:val="none" w:sz="0" w:space="0" w:color="auto"/>
        <w:left w:val="none" w:sz="0" w:space="0" w:color="auto"/>
        <w:bottom w:val="none" w:sz="0" w:space="0" w:color="auto"/>
        <w:right w:val="none" w:sz="0" w:space="0" w:color="auto"/>
      </w:divBdr>
    </w:div>
    <w:div w:id="2129667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fischerarchaeology.se/?page_id=2749" TargetMode="External"/><Relationship Id="rId4" Type="http://schemas.openxmlformats.org/officeDocument/2006/relationships/hyperlink" Target="https://www.futurelearn.com/courses/shipwrecks/0/steps/79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1092</Words>
  <Characters>6225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Morris</dc:creator>
  <cp:keywords/>
  <dc:description/>
  <cp:lastModifiedBy>Matthew Morris</cp:lastModifiedBy>
  <cp:revision>3</cp:revision>
  <dcterms:created xsi:type="dcterms:W3CDTF">2020-04-07T23:06:00Z</dcterms:created>
  <dcterms:modified xsi:type="dcterms:W3CDTF">2020-04-07T23:24:00Z</dcterms:modified>
</cp:coreProperties>
</file>