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8A9CD4" w14:textId="7035ED08" w:rsidR="009D4146" w:rsidRPr="0014356F" w:rsidRDefault="009D4146" w:rsidP="009033C3">
      <w:pPr>
        <w:spacing w:line="360" w:lineRule="auto"/>
        <w:jc w:val="center"/>
        <w:rPr>
          <w:rFonts w:ascii="Arial" w:hAnsi="Arial" w:cs="Arial"/>
          <w:sz w:val="24"/>
          <w:szCs w:val="24"/>
          <w:u w:val="single"/>
        </w:rPr>
      </w:pPr>
      <w:r w:rsidRPr="0014356F">
        <w:rPr>
          <w:rFonts w:ascii="Arial" w:hAnsi="Arial" w:cs="Arial"/>
          <w:sz w:val="24"/>
          <w:szCs w:val="24"/>
          <w:u w:val="single"/>
        </w:rPr>
        <w:t>ECEY4003: Play</w:t>
      </w:r>
    </w:p>
    <w:p w14:paraId="6215250E" w14:textId="47979EB3" w:rsidR="009D4146" w:rsidRPr="009F616C" w:rsidRDefault="009D4146" w:rsidP="009033C3">
      <w:pPr>
        <w:spacing w:line="360" w:lineRule="auto"/>
        <w:jc w:val="both"/>
        <w:rPr>
          <w:rFonts w:ascii="Arial" w:hAnsi="Arial" w:cs="Arial"/>
          <w:b/>
          <w:bCs/>
          <w:sz w:val="24"/>
          <w:szCs w:val="24"/>
        </w:rPr>
      </w:pPr>
      <w:r w:rsidRPr="009F616C">
        <w:rPr>
          <w:rFonts w:ascii="Arial" w:hAnsi="Arial" w:cs="Arial"/>
          <w:b/>
          <w:bCs/>
          <w:sz w:val="24"/>
          <w:szCs w:val="24"/>
        </w:rPr>
        <w:t>Section 1</w:t>
      </w:r>
    </w:p>
    <w:p w14:paraId="04260C8E" w14:textId="57489E57" w:rsidR="00B772AD" w:rsidRDefault="00B772AD" w:rsidP="009033C3">
      <w:pPr>
        <w:spacing w:line="360" w:lineRule="auto"/>
        <w:jc w:val="both"/>
        <w:rPr>
          <w:rFonts w:ascii="Arial" w:hAnsi="Arial" w:cs="Arial"/>
          <w:sz w:val="24"/>
          <w:szCs w:val="24"/>
        </w:rPr>
      </w:pPr>
      <w:r w:rsidRPr="00B772AD">
        <w:rPr>
          <w:rFonts w:ascii="Arial" w:hAnsi="Arial" w:cs="Arial"/>
          <w:sz w:val="24"/>
          <w:szCs w:val="24"/>
        </w:rPr>
        <w:t>Diverse forms of play constitute integral facets of children's development, with Outdoor Play and Active Play prominently featured among the vast array of play types. Self-Directed Play emerges as a pivotal aspect, characteri</w:t>
      </w:r>
      <w:r w:rsidR="007522EE">
        <w:rPr>
          <w:rFonts w:ascii="Arial" w:hAnsi="Arial" w:cs="Arial"/>
          <w:sz w:val="24"/>
          <w:szCs w:val="24"/>
        </w:rPr>
        <w:t>s</w:t>
      </w:r>
      <w:r w:rsidRPr="00B772AD">
        <w:rPr>
          <w:rFonts w:ascii="Arial" w:hAnsi="Arial" w:cs="Arial"/>
          <w:sz w:val="24"/>
          <w:szCs w:val="24"/>
        </w:rPr>
        <w:t xml:space="preserve">ed by the freedom for children to choose their activities, engage in child-led exploration, and immerse themselves in natural surroundings. Acknowledged as a cornerstone of childhood development, Self-Directed Play empowers children to make decisions, explore their interests, and navigate their environments, thereby fostering holistic growth and learning experiences. The progression of play stages intricately corresponds to observed levels of social engagement during play interactions, spanning from solitary play to collaborative and interactive engagements. Despite abundant evidence supporting play's educational value, misconceptions persist among some individuals and theorists regarding its purported lack of learning potential. Reed and Brown (2000) articulated this viewpoint, suggesting that play is inherently experiential, challenging to universally define, and often perceived subjectively. Conversely, Miller and Almon (2009) underscored the detrimental effects of educational practices neglecting play's role in children's development, highlighting the stress-inducing nature of academic demands surpassing children's developmental capacities. They emphasized the vital role of imaginative play as a coping mechanism for managing stress and fostering resilience. Piaget (1953) advocated for environments rich in open-ended toys and materials stimulating creativity and encouraging exploratory play, prioritizing minimal structuring of playtime to allow children the freedom to explore, experiment, and innovate independently. Similarly, Vygotsky (1978) emphasized providing children with diverse materials and opportunities for imaginative and pretend play, advocating for adult support in play interactions only when necessary to scaffold learning and promote meaningful engagement. Eminent figures in educational psychology, Jean </w:t>
      </w:r>
      <w:r w:rsidR="00D00F4F" w:rsidRPr="00B772AD">
        <w:rPr>
          <w:rFonts w:ascii="Arial" w:hAnsi="Arial" w:cs="Arial"/>
          <w:sz w:val="24"/>
          <w:szCs w:val="24"/>
        </w:rPr>
        <w:t>Piaget,</w:t>
      </w:r>
      <w:r w:rsidRPr="00B772AD">
        <w:rPr>
          <w:rFonts w:ascii="Arial" w:hAnsi="Arial" w:cs="Arial"/>
          <w:sz w:val="24"/>
          <w:szCs w:val="24"/>
        </w:rPr>
        <w:t xml:space="preserve"> and Lev Vygotsky, continue to exert profound influence on early childhood education practices, championing play's pivotal role in children's development. While both theorists advocate for play's significance, they diverge in their perspectives on adult involvement in facilitating play experiences. Nevertheless, their collective contributions underscore play's indispensable value as a vehicle for fostering holistic development and nurturing lifelong learning skills in children. Outdoor Play offers </w:t>
      </w:r>
      <w:r w:rsidRPr="00B772AD">
        <w:rPr>
          <w:rFonts w:ascii="Arial" w:hAnsi="Arial" w:cs="Arial"/>
          <w:sz w:val="24"/>
          <w:szCs w:val="24"/>
        </w:rPr>
        <w:lastRenderedPageBreak/>
        <w:t xml:space="preserve">children a sense of liberation, providing opportunities for unbridled physical activity irrespective of age. This natural inclination towards movement not only promotes physical health but also significantly contributes to overall well-being. The NiDirect Government Service underscores the preventive benefits of childhood physical activity, citing its role in reducing illness risks later in life. In the realm of Outdoor Play, a plethora of diverse activities abound, with Forrest School standing out as an exemplary approach. Forrest School not only encourages physical exertion but also fosters interactions with the natural environment, facilitating a deeper understanding of the world. Children gain insights into seasonal changes, weather patterns, and the </w:t>
      </w:r>
      <w:r w:rsidR="00D00F4F" w:rsidRPr="00B772AD">
        <w:rPr>
          <w:rFonts w:ascii="Arial" w:hAnsi="Arial" w:cs="Arial"/>
          <w:sz w:val="24"/>
          <w:szCs w:val="24"/>
        </w:rPr>
        <w:t>behaviours</w:t>
      </w:r>
      <w:r w:rsidRPr="00B772AD">
        <w:rPr>
          <w:rFonts w:ascii="Arial" w:hAnsi="Arial" w:cs="Arial"/>
          <w:sz w:val="24"/>
          <w:szCs w:val="24"/>
        </w:rPr>
        <w:t xml:space="preserve"> of flora and fauna, cultivating problem-solving skills through real-life scenarios such as observing how frogs navigate their environment. The Welsh Government (2022) underscores the importance of tactile learning and exploration in fostering cognitive growth, with Outdoor Play serving as a catalyst for such experiences. Stimulating children's senses and enabling hands-on engagement, Outdoor Play intuitively promotes comprehension of abstract concepts like speed, spatial perception, and environmental awareness. Bilton and Crook (2016) stress the necessity of ample space for physical play, fostering both enjoyment and growth in children. This freedom of movement not only encourages motor skill development but also sparks creativity and innovation in play, nurturing imaginative thinking and spontaneity while promoting holistic development. Active Play, meanwhile, offers a myriad of benefits for children, serving as a catalyst for increased physical activity while concurrently fostering essential skills across various domains. Engaging in active play motivates children to be physically active and provides opportunities to hone cognitive, linguistic, and social skills. Concentration levels are heightened, and positive attitudes towards learning are cultivated, significantly contributing to the holistic development of children's characters. Despite common misconceptions about play's antithetical nature to work, it's crucial to recognize the pivotal role of structured educational play within modern educational paradigms such as The Foundation Phase curriculum. Play's intrinsic value as a primary avenue for learning underscores its centrality in facilitating children's engagement and ownership of their learning journey. The Welsh Government (2022) underscores the paramount importance of integrating play into curriculum planning and assessment processes to ensure children's active involvement in their learning experiences. By providing opportunities for children to </w:t>
      </w:r>
      <w:r w:rsidRPr="00B772AD">
        <w:rPr>
          <w:rFonts w:ascii="Arial" w:hAnsi="Arial" w:cs="Arial"/>
          <w:sz w:val="24"/>
          <w:szCs w:val="24"/>
        </w:rPr>
        <w:lastRenderedPageBreak/>
        <w:t>explore and interact with their learning environment, active play fosters skill acquisition and reinforcement through repetition, practice, and refinement. Moreover, active play serves as a powerful vehicle for promoting holistic development, encompassing physical, cognitive, emotional, and social dimensions. Engaging in active play collaboratively, children not only learn from one another but also develop crucial interpersonal skills such as communication, cooperation, and empathy. Interaction with peers, practitioners, and the environment is essential for fostering a sense of belonging and promoting inclusive learning environments where all children can thrive and grow together. Active play thus emerges as a dynamic and integral component of childhood development, fostering not only physical health but also cognitive, social, and emotional well-being.</w:t>
      </w:r>
    </w:p>
    <w:p w14:paraId="487015EF" w14:textId="0D1BF22B" w:rsidR="0086352E" w:rsidRDefault="0086352E" w:rsidP="009033C3">
      <w:pPr>
        <w:spacing w:line="360" w:lineRule="auto"/>
        <w:jc w:val="both"/>
        <w:rPr>
          <w:rFonts w:ascii="Arial" w:hAnsi="Arial" w:cs="Arial"/>
          <w:b/>
          <w:bCs/>
          <w:sz w:val="24"/>
          <w:szCs w:val="24"/>
        </w:rPr>
      </w:pPr>
      <w:r>
        <w:rPr>
          <w:rFonts w:ascii="Arial" w:hAnsi="Arial" w:cs="Arial"/>
          <w:b/>
          <w:bCs/>
          <w:sz w:val="24"/>
          <w:szCs w:val="24"/>
        </w:rPr>
        <w:t>Section 2</w:t>
      </w:r>
    </w:p>
    <w:p w14:paraId="7187AC8B" w14:textId="77777777"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t>Supporting children's development through various forms of play, particularly child-led play, serves as a cornerstone for fostering their social and emotional growth. Creating diverse play areas within educational settings provides children with ample opportunities to explore, experiment, and interact with their surroundings and peers, thereby nurturing their social skills, emotional resilience, and overall well-being. Interactions with peers and practitioners within the classroom environment further enrich these developmental aspects, fostering a sense of belonging, cooperation, and empathy among children.</w:t>
      </w:r>
    </w:p>
    <w:p w14:paraId="7CF34070" w14:textId="77777777" w:rsidR="00D00F4F" w:rsidRPr="00D00F4F" w:rsidRDefault="00D00F4F" w:rsidP="00D00F4F">
      <w:pPr>
        <w:spacing w:line="360" w:lineRule="auto"/>
        <w:jc w:val="both"/>
        <w:rPr>
          <w:rFonts w:ascii="Arial" w:hAnsi="Arial" w:cs="Arial"/>
          <w:sz w:val="24"/>
          <w:szCs w:val="24"/>
        </w:rPr>
      </w:pPr>
    </w:p>
    <w:p w14:paraId="1AFBF0EA" w14:textId="10ABE26C"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t>Recognizing the paramount importance of play in children's lives, practitioners conscientiously integrate playful activities into daily routines to promote happiness, health, and holistic development. By embracing the principles of child-</w:t>
      </w:r>
      <w:r w:rsidRPr="00D00F4F">
        <w:rPr>
          <w:rFonts w:ascii="Arial" w:hAnsi="Arial" w:cs="Arial"/>
          <w:sz w:val="24"/>
          <w:szCs w:val="24"/>
        </w:rPr>
        <w:t>centred</w:t>
      </w:r>
      <w:r w:rsidRPr="00D00F4F">
        <w:rPr>
          <w:rFonts w:ascii="Arial" w:hAnsi="Arial" w:cs="Arial"/>
          <w:sz w:val="24"/>
          <w:szCs w:val="24"/>
        </w:rPr>
        <w:t xml:space="preserve"> pedagogy, adults and practitioners play a pivotal role in supporting self-directed play by being present, engaged, and responsive to children's needs, while also allowing them autonomy in their choices. Child-led play empowers children to make decisions about their play activities, whether independently or in collaboration with peers, thereby nurturing their sense of agency, creativity, and self-confidence.</w:t>
      </w:r>
    </w:p>
    <w:p w14:paraId="4E560DF5" w14:textId="77777777" w:rsidR="00D00F4F" w:rsidRPr="00D00F4F" w:rsidRDefault="00D00F4F" w:rsidP="00D00F4F">
      <w:pPr>
        <w:spacing w:line="360" w:lineRule="auto"/>
        <w:jc w:val="both"/>
        <w:rPr>
          <w:rFonts w:ascii="Arial" w:hAnsi="Arial" w:cs="Arial"/>
          <w:sz w:val="24"/>
          <w:szCs w:val="24"/>
        </w:rPr>
      </w:pPr>
    </w:p>
    <w:p w14:paraId="56625EBF" w14:textId="77777777"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lastRenderedPageBreak/>
        <w:t>An understanding of children's rights, as outlined in the United Nations Convention on the Rights of the Child (UNCRC), guides practitioners in planning activities that prioritize play as a fundamental right. Article 31 of the UNCRC explicitly underscores children's inherent right to play, highlighting its significance in promoting holistic development across physical, cognitive, social, and emotional domains.</w:t>
      </w:r>
    </w:p>
    <w:p w14:paraId="16D9B110" w14:textId="77777777" w:rsidR="00D00F4F" w:rsidRPr="00D00F4F" w:rsidRDefault="00D00F4F" w:rsidP="00D00F4F">
      <w:pPr>
        <w:spacing w:line="360" w:lineRule="auto"/>
        <w:jc w:val="both"/>
        <w:rPr>
          <w:rFonts w:ascii="Arial" w:hAnsi="Arial" w:cs="Arial"/>
          <w:sz w:val="24"/>
          <w:szCs w:val="24"/>
        </w:rPr>
      </w:pPr>
    </w:p>
    <w:p w14:paraId="386A66F7" w14:textId="77777777"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t>By providing a diverse array of activities encompassing imaginative play, sensory exploration, outdoor adventures, and cooperative games, practitioners facilitate the development of essential life skills, including problem-solving abilities, communication skills, and conflict resolution strategies. In their seminal 2013 study, Howard and McInnes emphasized the importance of discerning between activities perceived as play and non-play in assessing children's well-being. Their research underscored the imperative for practitioners to effectively implement curricula focused on learning through play, recognizing its profound impact on children's development across various domains.</w:t>
      </w:r>
    </w:p>
    <w:p w14:paraId="64FCD564" w14:textId="77777777" w:rsidR="00D00F4F" w:rsidRPr="00D00F4F" w:rsidRDefault="00D00F4F" w:rsidP="00D00F4F">
      <w:pPr>
        <w:spacing w:line="360" w:lineRule="auto"/>
        <w:jc w:val="both"/>
        <w:rPr>
          <w:rFonts w:ascii="Arial" w:hAnsi="Arial" w:cs="Arial"/>
          <w:sz w:val="24"/>
          <w:szCs w:val="24"/>
        </w:rPr>
      </w:pPr>
    </w:p>
    <w:p w14:paraId="529337FE" w14:textId="21CE5F08"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t xml:space="preserve">Elisabeth Stangeland's insightful 2017 article delved into the intricate relationship between children's play proficiency and language skills. The study revealed a compelling correlation between children's social competence and their play abilities, highlighting the pivotal role of language skills in shaping </w:t>
      </w:r>
      <w:r w:rsidRPr="00D00F4F">
        <w:rPr>
          <w:rFonts w:ascii="Arial" w:hAnsi="Arial" w:cs="Arial"/>
          <w:sz w:val="24"/>
          <w:szCs w:val="24"/>
        </w:rPr>
        <w:t>behaviour</w:t>
      </w:r>
      <w:r w:rsidRPr="00D00F4F">
        <w:rPr>
          <w:rFonts w:ascii="Arial" w:hAnsi="Arial" w:cs="Arial"/>
          <w:sz w:val="24"/>
          <w:szCs w:val="24"/>
        </w:rPr>
        <w:t xml:space="preserve"> during play interactions. This finding resonates with Vygotsky's seminal theory of sociocultural development, which underscores language as a potent tool for interaction, learning, and cognitive growth. Stangeland's study contributes significantly to existing literature by illuminating the nuanced interplay between social functioning and language skills in childhood, underscoring the importance of nurturing both aspects for comprehensive development.</w:t>
      </w:r>
    </w:p>
    <w:p w14:paraId="74D7DCDE" w14:textId="77777777" w:rsidR="00D00F4F" w:rsidRPr="00D00F4F" w:rsidRDefault="00D00F4F" w:rsidP="00D00F4F">
      <w:pPr>
        <w:spacing w:line="360" w:lineRule="auto"/>
        <w:jc w:val="both"/>
        <w:rPr>
          <w:rFonts w:ascii="Arial" w:hAnsi="Arial" w:cs="Arial"/>
          <w:sz w:val="24"/>
          <w:szCs w:val="24"/>
        </w:rPr>
      </w:pPr>
    </w:p>
    <w:p w14:paraId="117FE6DE" w14:textId="77777777" w:rsidR="00D00F4F" w:rsidRDefault="00D00F4F" w:rsidP="00D00F4F">
      <w:pPr>
        <w:spacing w:line="360" w:lineRule="auto"/>
        <w:jc w:val="both"/>
        <w:rPr>
          <w:rFonts w:ascii="Arial" w:hAnsi="Arial" w:cs="Arial"/>
          <w:sz w:val="24"/>
          <w:szCs w:val="24"/>
        </w:rPr>
      </w:pPr>
      <w:r w:rsidRPr="00D00F4F">
        <w:rPr>
          <w:rFonts w:ascii="Arial" w:hAnsi="Arial" w:cs="Arial"/>
          <w:sz w:val="24"/>
          <w:szCs w:val="24"/>
        </w:rPr>
        <w:t>In essence, supporting children's development through play not only cultivates their social and emotional well-being but also lays the foundation for lifelong learning, creativity, and success in navigating the complexities of the world around them.</w:t>
      </w:r>
    </w:p>
    <w:p w14:paraId="51DE8C37" w14:textId="77777777" w:rsidR="007522EE" w:rsidRDefault="007522EE" w:rsidP="00D00F4F">
      <w:pPr>
        <w:spacing w:line="360" w:lineRule="auto"/>
        <w:jc w:val="both"/>
        <w:rPr>
          <w:rFonts w:ascii="Arial" w:hAnsi="Arial" w:cs="Arial"/>
          <w:sz w:val="24"/>
          <w:szCs w:val="24"/>
        </w:rPr>
      </w:pPr>
    </w:p>
    <w:p w14:paraId="7DD83656" w14:textId="16DF59AC" w:rsidR="000763C2" w:rsidRPr="000763C2" w:rsidRDefault="00D859E3" w:rsidP="00D00F4F">
      <w:pPr>
        <w:spacing w:line="360" w:lineRule="auto"/>
        <w:jc w:val="both"/>
        <w:rPr>
          <w:rFonts w:ascii="Arial" w:hAnsi="Arial" w:cs="Arial"/>
          <w:b/>
          <w:bCs/>
          <w:sz w:val="24"/>
          <w:szCs w:val="24"/>
        </w:rPr>
      </w:pPr>
      <w:r w:rsidRPr="000763C2">
        <w:rPr>
          <w:rFonts w:ascii="Arial" w:hAnsi="Arial" w:cs="Arial"/>
          <w:b/>
          <w:bCs/>
          <w:sz w:val="24"/>
          <w:szCs w:val="24"/>
        </w:rPr>
        <w:lastRenderedPageBreak/>
        <w:t xml:space="preserve">Section </w:t>
      </w:r>
      <w:r w:rsidR="0077305A" w:rsidRPr="000763C2">
        <w:rPr>
          <w:rFonts w:ascii="Arial" w:hAnsi="Arial" w:cs="Arial"/>
          <w:b/>
          <w:bCs/>
          <w:sz w:val="24"/>
          <w:szCs w:val="24"/>
        </w:rPr>
        <w:t>3</w:t>
      </w:r>
    </w:p>
    <w:p w14:paraId="42205546" w14:textId="00CAEE0A"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t xml:space="preserve">Observation, esteemed as a foundational pillar in </w:t>
      </w:r>
      <w:r w:rsidRPr="00D00F4F">
        <w:rPr>
          <w:rFonts w:ascii="Arial" w:hAnsi="Arial" w:cs="Arial"/>
          <w:sz w:val="24"/>
          <w:szCs w:val="24"/>
        </w:rPr>
        <w:t>unravelling</w:t>
      </w:r>
      <w:r w:rsidRPr="00D00F4F">
        <w:rPr>
          <w:rFonts w:ascii="Arial" w:hAnsi="Arial" w:cs="Arial"/>
          <w:sz w:val="24"/>
          <w:szCs w:val="24"/>
        </w:rPr>
        <w:t xml:space="preserve"> the intricate tapestry of a child's development and learning journey, holds paramount significance within the sphere of educational practice. Its essence extends beyond the mere identification of areas where children may encounter challenges, misconceptions, or uncertainties; rather, it serves as a conduit to facilitate a nuanced understanding of their individual learning preferences, cognitive processes, socio-emotional needs, and cultural backgrounds. Educators, armed with a diverse array of teaching methodologies spanning from direct instruction to inquiry-based learning, exhibit the adeptness to tailor their instructional approaches to suit the unique learning styles and strengths inherent in each child. Through meticulous observation complemented by attentive listening, educators gather a multifaceted array of information and evidence, both preceding and succeeding instructional sessions. This comprehensive approach empowers educators to assess a child's developmental progress holistically, discerning not only their academic achievements but also areas necessitating additional support and intervention (Welsh Government, 2022).</w:t>
      </w:r>
    </w:p>
    <w:p w14:paraId="6D743E8F" w14:textId="77777777" w:rsidR="00D00F4F" w:rsidRPr="00D00F4F" w:rsidRDefault="00D00F4F" w:rsidP="00D00F4F">
      <w:pPr>
        <w:spacing w:line="360" w:lineRule="auto"/>
        <w:jc w:val="both"/>
        <w:rPr>
          <w:rFonts w:ascii="Arial" w:hAnsi="Arial" w:cs="Arial"/>
          <w:sz w:val="24"/>
          <w:szCs w:val="24"/>
        </w:rPr>
      </w:pPr>
    </w:p>
    <w:p w14:paraId="1F90F5E1" w14:textId="4DBB5543"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t xml:space="preserve">Bandura's seminal "Bobo doll" experiment stands as a poignant illustration of the profound impact of adult </w:t>
      </w:r>
      <w:r w:rsidRPr="00D00F4F">
        <w:rPr>
          <w:rFonts w:ascii="Arial" w:hAnsi="Arial" w:cs="Arial"/>
          <w:sz w:val="24"/>
          <w:szCs w:val="24"/>
        </w:rPr>
        <w:t>behaviour</w:t>
      </w:r>
      <w:r w:rsidRPr="00D00F4F">
        <w:rPr>
          <w:rFonts w:ascii="Arial" w:hAnsi="Arial" w:cs="Arial"/>
          <w:sz w:val="24"/>
          <w:szCs w:val="24"/>
        </w:rPr>
        <w:t xml:space="preserve"> on children's learning and </w:t>
      </w:r>
      <w:r w:rsidRPr="00D00F4F">
        <w:rPr>
          <w:rFonts w:ascii="Arial" w:hAnsi="Arial" w:cs="Arial"/>
          <w:sz w:val="24"/>
          <w:szCs w:val="24"/>
        </w:rPr>
        <w:t>behaviour</w:t>
      </w:r>
      <w:r w:rsidRPr="00D00F4F">
        <w:rPr>
          <w:rFonts w:ascii="Arial" w:hAnsi="Arial" w:cs="Arial"/>
          <w:sz w:val="24"/>
          <w:szCs w:val="24"/>
        </w:rPr>
        <w:t xml:space="preserve">. The experiment compellingly demonstrated that children emulate the </w:t>
      </w:r>
      <w:r w:rsidRPr="00D00F4F">
        <w:rPr>
          <w:rFonts w:ascii="Arial" w:hAnsi="Arial" w:cs="Arial"/>
          <w:sz w:val="24"/>
          <w:szCs w:val="24"/>
        </w:rPr>
        <w:t>behaviours</w:t>
      </w:r>
      <w:r w:rsidRPr="00D00F4F">
        <w:rPr>
          <w:rFonts w:ascii="Arial" w:hAnsi="Arial" w:cs="Arial"/>
          <w:sz w:val="24"/>
          <w:szCs w:val="24"/>
        </w:rPr>
        <w:t xml:space="preserve"> they observe in adults, be they aggressive or gentle, thereby highlighting the pivotal role of positive role </w:t>
      </w:r>
      <w:r w:rsidRPr="00D00F4F">
        <w:rPr>
          <w:rFonts w:ascii="Arial" w:hAnsi="Arial" w:cs="Arial"/>
          <w:sz w:val="24"/>
          <w:szCs w:val="24"/>
        </w:rPr>
        <w:t>modelling</w:t>
      </w:r>
      <w:r w:rsidRPr="00D00F4F">
        <w:rPr>
          <w:rFonts w:ascii="Arial" w:hAnsi="Arial" w:cs="Arial"/>
          <w:sz w:val="24"/>
          <w:szCs w:val="24"/>
        </w:rPr>
        <w:t xml:space="preserve"> by adults, including educators and caregivers alike. Cultivating a nurturing environment characterized by positive attitudes, empathy, cultural sensitivity, and respect towards children is paramount in fostering their development of empathy, resilience, critical thinking skills, and compassion for others.</w:t>
      </w:r>
    </w:p>
    <w:p w14:paraId="17356B05" w14:textId="77777777" w:rsidR="00D00F4F" w:rsidRPr="00D00F4F" w:rsidRDefault="00D00F4F" w:rsidP="00D00F4F">
      <w:pPr>
        <w:spacing w:line="360" w:lineRule="auto"/>
        <w:jc w:val="both"/>
        <w:rPr>
          <w:rFonts w:ascii="Arial" w:hAnsi="Arial" w:cs="Arial"/>
          <w:sz w:val="24"/>
          <w:szCs w:val="24"/>
        </w:rPr>
      </w:pPr>
    </w:p>
    <w:p w14:paraId="77574DB8" w14:textId="77777777"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t xml:space="preserve">Acknowledging children's developmental trajectories as marked by rapid growth and transformation throughout the academic year, often punctuated by surprising and unexpected actions that delight educators, underscores the indispensable nature of consistent and vigilant observation. This ongoing observation provides invaluable insights into children's progress towards developmental milestones, cognitive growth, </w:t>
      </w:r>
      <w:r w:rsidRPr="00D00F4F">
        <w:rPr>
          <w:rFonts w:ascii="Arial" w:hAnsi="Arial" w:cs="Arial"/>
          <w:sz w:val="24"/>
          <w:szCs w:val="24"/>
        </w:rPr>
        <w:lastRenderedPageBreak/>
        <w:t>social interactions, emotional regulation, and physical capabilities, thereby informing targeted interventions and support strategies.</w:t>
      </w:r>
    </w:p>
    <w:p w14:paraId="6B4D80CE" w14:textId="77777777" w:rsidR="00D00F4F" w:rsidRPr="00D00F4F" w:rsidRDefault="00D00F4F" w:rsidP="00D00F4F">
      <w:pPr>
        <w:spacing w:line="360" w:lineRule="auto"/>
        <w:jc w:val="both"/>
        <w:rPr>
          <w:rFonts w:ascii="Arial" w:hAnsi="Arial" w:cs="Arial"/>
          <w:sz w:val="24"/>
          <w:szCs w:val="24"/>
        </w:rPr>
      </w:pPr>
    </w:p>
    <w:p w14:paraId="17534D82" w14:textId="77777777"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t>By meticulously monitoring children's development from the commencement to the culmination of the academic year, educators gain a nuanced understanding of their growth trajectory across various domains. The utilization of tools such as the interaction tracker, anecdotal records, developmental checklists, and portfolio assessments emerges as potent instruments in the observational arsenal of educators. This structured approach to mapping out children's engagement within their learning environment illuminates the spaces where children actively immerse themselves, the activities they gravitate towards, the peers they choose to interact with, as well as those they intentionally avoid, providing crucial insights into their interests, preferences, strengths, challenges, and areas for growth.</w:t>
      </w:r>
    </w:p>
    <w:p w14:paraId="71D132A4" w14:textId="77777777" w:rsidR="00D00F4F" w:rsidRPr="00D00F4F" w:rsidRDefault="00D00F4F" w:rsidP="00D00F4F">
      <w:pPr>
        <w:spacing w:line="360" w:lineRule="auto"/>
        <w:jc w:val="both"/>
        <w:rPr>
          <w:rFonts w:ascii="Arial" w:hAnsi="Arial" w:cs="Arial"/>
          <w:sz w:val="24"/>
          <w:szCs w:val="24"/>
        </w:rPr>
      </w:pPr>
    </w:p>
    <w:p w14:paraId="0190A32F" w14:textId="77777777" w:rsidR="00D00F4F" w:rsidRPr="00D00F4F" w:rsidRDefault="00D00F4F" w:rsidP="00D00F4F">
      <w:pPr>
        <w:spacing w:line="360" w:lineRule="auto"/>
        <w:jc w:val="both"/>
        <w:rPr>
          <w:rFonts w:ascii="Arial" w:hAnsi="Arial" w:cs="Arial"/>
          <w:sz w:val="24"/>
          <w:szCs w:val="24"/>
        </w:rPr>
      </w:pPr>
      <w:r w:rsidRPr="00D00F4F">
        <w:rPr>
          <w:rFonts w:ascii="Arial" w:hAnsi="Arial" w:cs="Arial"/>
          <w:sz w:val="24"/>
          <w:szCs w:val="24"/>
        </w:rPr>
        <w:t>Integrating data gleaned from the interaction tracker with insights garnered through other observation techniques yields a holistic understanding of children's interactions, learning experiences, and progress, thereby enabling educators to craft interventions and support strategies tailored to meet their unique needs, interests, learning goals, and socio-cultural contexts effectively.</w:t>
      </w:r>
    </w:p>
    <w:p w14:paraId="24D1013E" w14:textId="77777777" w:rsidR="00D00F4F" w:rsidRPr="00D00F4F" w:rsidRDefault="00D00F4F" w:rsidP="00D00F4F">
      <w:pPr>
        <w:spacing w:line="360" w:lineRule="auto"/>
        <w:jc w:val="both"/>
        <w:rPr>
          <w:rFonts w:ascii="Arial" w:hAnsi="Arial" w:cs="Arial"/>
          <w:sz w:val="24"/>
          <w:szCs w:val="24"/>
        </w:rPr>
      </w:pPr>
    </w:p>
    <w:p w14:paraId="2A4EA926" w14:textId="77777777" w:rsidR="00D00F4F" w:rsidRDefault="00D00F4F" w:rsidP="00D00F4F">
      <w:pPr>
        <w:spacing w:line="360" w:lineRule="auto"/>
        <w:jc w:val="both"/>
        <w:rPr>
          <w:rFonts w:ascii="Arial" w:hAnsi="Arial" w:cs="Arial"/>
          <w:sz w:val="24"/>
          <w:szCs w:val="24"/>
        </w:rPr>
      </w:pPr>
      <w:r w:rsidRPr="00D00F4F">
        <w:rPr>
          <w:rFonts w:ascii="Arial" w:hAnsi="Arial" w:cs="Arial"/>
          <w:sz w:val="24"/>
          <w:szCs w:val="24"/>
        </w:rPr>
        <w:t xml:space="preserve">In essence, observation serves as a cornerstone in nurturing children's development and fostering optimal learning experiences, laying the groundwork for their future success, </w:t>
      </w:r>
      <w:r w:rsidRPr="00D00F4F">
        <w:rPr>
          <w:rFonts w:ascii="Arial" w:hAnsi="Arial" w:cs="Arial"/>
          <w:sz w:val="24"/>
          <w:szCs w:val="24"/>
        </w:rPr>
        <w:t>fulfilment</w:t>
      </w:r>
      <w:r w:rsidRPr="00D00F4F">
        <w:rPr>
          <w:rFonts w:ascii="Arial" w:hAnsi="Arial" w:cs="Arial"/>
          <w:sz w:val="24"/>
          <w:szCs w:val="24"/>
        </w:rPr>
        <w:t>, well-being, and positive contributions to society.</w:t>
      </w:r>
    </w:p>
    <w:p w14:paraId="2E3D534A" w14:textId="5499C606" w:rsidR="00B028C1" w:rsidRDefault="00B028C1" w:rsidP="00D00F4F">
      <w:pPr>
        <w:spacing w:line="360" w:lineRule="auto"/>
        <w:jc w:val="both"/>
        <w:rPr>
          <w:rFonts w:ascii="Arial" w:hAnsi="Arial" w:cs="Arial"/>
          <w:b/>
          <w:bCs/>
          <w:sz w:val="24"/>
          <w:szCs w:val="24"/>
        </w:rPr>
      </w:pPr>
      <w:r>
        <w:rPr>
          <w:rFonts w:ascii="Arial" w:hAnsi="Arial" w:cs="Arial"/>
          <w:b/>
          <w:bCs/>
          <w:sz w:val="24"/>
          <w:szCs w:val="24"/>
        </w:rPr>
        <w:t>Section 4</w:t>
      </w:r>
    </w:p>
    <w:p w14:paraId="1136C5B9" w14:textId="77777777" w:rsidR="00D00F4F" w:rsidRPr="00D00F4F" w:rsidRDefault="00D00F4F" w:rsidP="00D00F4F">
      <w:pPr>
        <w:spacing w:line="360" w:lineRule="auto"/>
        <w:rPr>
          <w:rFonts w:ascii="Arial" w:hAnsi="Arial" w:cs="Arial"/>
          <w:sz w:val="24"/>
          <w:szCs w:val="24"/>
        </w:rPr>
      </w:pPr>
      <w:r w:rsidRPr="00D00F4F">
        <w:rPr>
          <w:rFonts w:ascii="Arial" w:hAnsi="Arial" w:cs="Arial"/>
          <w:sz w:val="24"/>
          <w:szCs w:val="24"/>
        </w:rPr>
        <w:t xml:space="preserve">Observation stands as a fundamental cornerstone in the realm of children's development and learning, providing practitioners with a profound understanding of each child's unique journey and individual needs. Through meticulous observation, practitioners gain invaluable insights into not only the progress, engagement, and enjoyment levels of children but also their cognitive, social, emotional, and physical development. This detailed observation process guides the creation of a tailored </w:t>
      </w:r>
      <w:r w:rsidRPr="00D00F4F">
        <w:rPr>
          <w:rFonts w:ascii="Arial" w:hAnsi="Arial" w:cs="Arial"/>
          <w:sz w:val="24"/>
          <w:szCs w:val="24"/>
        </w:rPr>
        <w:lastRenderedPageBreak/>
        <w:t>curriculum that addresses the specific developmental requirements of each child, ensuring that their learning experiences are meaningful and impactful.</w:t>
      </w:r>
    </w:p>
    <w:p w14:paraId="7D4C12F6" w14:textId="77777777" w:rsidR="00D00F4F" w:rsidRPr="00D00F4F" w:rsidRDefault="00D00F4F" w:rsidP="00D00F4F">
      <w:pPr>
        <w:spacing w:line="360" w:lineRule="auto"/>
        <w:rPr>
          <w:rFonts w:ascii="Arial" w:hAnsi="Arial" w:cs="Arial"/>
          <w:sz w:val="24"/>
          <w:szCs w:val="24"/>
        </w:rPr>
      </w:pPr>
    </w:p>
    <w:p w14:paraId="6A804F84" w14:textId="75692C84" w:rsidR="00D00F4F" w:rsidRPr="00D00F4F" w:rsidRDefault="00D00F4F" w:rsidP="00D00F4F">
      <w:pPr>
        <w:spacing w:line="360" w:lineRule="auto"/>
        <w:rPr>
          <w:rFonts w:ascii="Arial" w:hAnsi="Arial" w:cs="Arial"/>
          <w:sz w:val="24"/>
          <w:szCs w:val="24"/>
        </w:rPr>
      </w:pPr>
      <w:r w:rsidRPr="00D00F4F">
        <w:rPr>
          <w:rFonts w:ascii="Arial" w:hAnsi="Arial" w:cs="Arial"/>
          <w:sz w:val="24"/>
          <w:szCs w:val="24"/>
        </w:rPr>
        <w:t xml:space="preserve">Introducing novel activities during observation sessions serves as a powerful tool for practitioners to assess children's strengths and areas for growth. These activities also provide a window into the personal preferences and comprehension levels of children, offering deeper insights into their learning styles and interests. It's imperative to recognize that not every observation session requires a predetermined aim; daily observations offer valuable glimpses into children's interactions and </w:t>
      </w:r>
      <w:r w:rsidRPr="00D00F4F">
        <w:rPr>
          <w:rFonts w:ascii="Arial" w:hAnsi="Arial" w:cs="Arial"/>
          <w:sz w:val="24"/>
          <w:szCs w:val="24"/>
        </w:rPr>
        <w:t>behaviours</w:t>
      </w:r>
      <w:r w:rsidRPr="00D00F4F">
        <w:rPr>
          <w:rFonts w:ascii="Arial" w:hAnsi="Arial" w:cs="Arial"/>
          <w:sz w:val="24"/>
          <w:szCs w:val="24"/>
        </w:rPr>
        <w:t>, whether within indoor or outdoor settings. These informal observations contribute to a comprehensive understanding of children's development and help practitioners make informed decisions about their learning experiences.</w:t>
      </w:r>
    </w:p>
    <w:p w14:paraId="57776760" w14:textId="77777777" w:rsidR="00D00F4F" w:rsidRPr="00D00F4F" w:rsidRDefault="00D00F4F" w:rsidP="00D00F4F">
      <w:pPr>
        <w:spacing w:line="360" w:lineRule="auto"/>
        <w:rPr>
          <w:rFonts w:ascii="Arial" w:hAnsi="Arial" w:cs="Arial"/>
          <w:sz w:val="24"/>
          <w:szCs w:val="24"/>
        </w:rPr>
      </w:pPr>
    </w:p>
    <w:p w14:paraId="1AC5A159" w14:textId="5F400C6F" w:rsidR="00D00F4F" w:rsidRPr="00D00F4F" w:rsidRDefault="00D00F4F" w:rsidP="00D00F4F">
      <w:pPr>
        <w:spacing w:line="360" w:lineRule="auto"/>
        <w:rPr>
          <w:rFonts w:ascii="Arial" w:hAnsi="Arial" w:cs="Arial"/>
          <w:sz w:val="24"/>
          <w:szCs w:val="24"/>
        </w:rPr>
      </w:pPr>
      <w:r w:rsidRPr="00D00F4F">
        <w:rPr>
          <w:rFonts w:ascii="Arial" w:hAnsi="Arial" w:cs="Arial"/>
          <w:sz w:val="24"/>
          <w:szCs w:val="24"/>
        </w:rPr>
        <w:t xml:space="preserve">While maintaining accurate records of observations is essential, it's equally vital for practitioners to focus on utilizing pertinent information and judgments to inform future planning effectively. By reflecting on observations and identifying patterns and trends, practitioners can adapt their teaching strategies to better support children's holistic development. Upholding confidentiality guidelines outlined in the General Data Protection Act ensures that sensitive information gathered during observations is handled with the utmost care and respect for privacy, safeguarding children's </w:t>
      </w:r>
      <w:r w:rsidRPr="00D00F4F">
        <w:rPr>
          <w:rFonts w:ascii="Arial" w:hAnsi="Arial" w:cs="Arial"/>
          <w:sz w:val="24"/>
          <w:szCs w:val="24"/>
        </w:rPr>
        <w:t>rights,</w:t>
      </w:r>
      <w:r w:rsidRPr="00D00F4F">
        <w:rPr>
          <w:rFonts w:ascii="Arial" w:hAnsi="Arial" w:cs="Arial"/>
          <w:sz w:val="24"/>
          <w:szCs w:val="24"/>
        </w:rPr>
        <w:t xml:space="preserve"> and welfare.</w:t>
      </w:r>
    </w:p>
    <w:p w14:paraId="2ACB9426" w14:textId="77777777" w:rsidR="00D00F4F" w:rsidRPr="00D00F4F" w:rsidRDefault="00D00F4F" w:rsidP="00D00F4F">
      <w:pPr>
        <w:spacing w:line="360" w:lineRule="auto"/>
        <w:rPr>
          <w:rFonts w:ascii="Arial" w:hAnsi="Arial" w:cs="Arial"/>
          <w:sz w:val="24"/>
          <w:szCs w:val="24"/>
        </w:rPr>
      </w:pPr>
    </w:p>
    <w:p w14:paraId="5EFF2DD9" w14:textId="77777777" w:rsidR="00D00F4F" w:rsidRPr="00D00F4F" w:rsidRDefault="00D00F4F" w:rsidP="00D00F4F">
      <w:pPr>
        <w:spacing w:line="360" w:lineRule="auto"/>
        <w:rPr>
          <w:rFonts w:ascii="Arial" w:hAnsi="Arial" w:cs="Arial"/>
          <w:sz w:val="24"/>
          <w:szCs w:val="24"/>
        </w:rPr>
      </w:pPr>
      <w:r w:rsidRPr="00D00F4F">
        <w:rPr>
          <w:rFonts w:ascii="Arial" w:hAnsi="Arial" w:cs="Arial"/>
          <w:sz w:val="24"/>
          <w:szCs w:val="24"/>
        </w:rPr>
        <w:t>Play, as a natural and instinctive medium for exploration and self-expression, serves as a window into children's authentic abilities, preferences, and interests. During play, children gravitate towards activities that resonate with their individual inclinations, fostering independent exploration and unveiling their innate curiosity and problem-solving abilities within contexts that ignite their passion. The relaxed and engaged state fostered by play diminishes performance anxiety often associated with formal assessment settings, enabling a more accurate reflection of children's true capabilities.</w:t>
      </w:r>
    </w:p>
    <w:p w14:paraId="7E8ED8F0" w14:textId="77777777" w:rsidR="00D00F4F" w:rsidRPr="00D00F4F" w:rsidRDefault="00D00F4F" w:rsidP="00D00F4F">
      <w:pPr>
        <w:spacing w:line="360" w:lineRule="auto"/>
        <w:rPr>
          <w:rFonts w:ascii="Arial" w:hAnsi="Arial" w:cs="Arial"/>
          <w:sz w:val="24"/>
          <w:szCs w:val="24"/>
        </w:rPr>
      </w:pPr>
    </w:p>
    <w:p w14:paraId="492559BC" w14:textId="77777777" w:rsidR="00D00F4F" w:rsidRPr="00D00F4F" w:rsidRDefault="00D00F4F" w:rsidP="00D00F4F">
      <w:pPr>
        <w:spacing w:line="360" w:lineRule="auto"/>
        <w:rPr>
          <w:rFonts w:ascii="Arial" w:hAnsi="Arial" w:cs="Arial"/>
          <w:sz w:val="24"/>
          <w:szCs w:val="24"/>
        </w:rPr>
      </w:pPr>
      <w:r w:rsidRPr="00D00F4F">
        <w:rPr>
          <w:rFonts w:ascii="Arial" w:hAnsi="Arial" w:cs="Arial"/>
          <w:sz w:val="24"/>
          <w:szCs w:val="24"/>
        </w:rPr>
        <w:lastRenderedPageBreak/>
        <w:t>The Foundation Phase Outcomes, integrating baseline assessment scales and national curriculum level descriptions, serve as indispensable tools for supporting statutory teacher assessments at the culmination of each phase. With six outcomes per Area of Learning, outcomes 5-6 closely align with descriptions for Levels 1-3, furnishing practitioners with a robust framework to evaluate children's progress and craft educational plans that cater to their evolving needs effectively (Welsh Government, 2022).</w:t>
      </w:r>
    </w:p>
    <w:p w14:paraId="38F06687" w14:textId="77777777" w:rsidR="00D00F4F" w:rsidRPr="00D00F4F" w:rsidRDefault="00D00F4F" w:rsidP="00D00F4F">
      <w:pPr>
        <w:spacing w:line="360" w:lineRule="auto"/>
        <w:rPr>
          <w:rFonts w:ascii="Arial" w:hAnsi="Arial" w:cs="Arial"/>
          <w:sz w:val="24"/>
          <w:szCs w:val="24"/>
        </w:rPr>
      </w:pPr>
    </w:p>
    <w:p w14:paraId="713AFA2D" w14:textId="7639D7D3" w:rsidR="00D00F4F" w:rsidRDefault="00D00F4F" w:rsidP="00D00F4F">
      <w:pPr>
        <w:spacing w:line="360" w:lineRule="auto"/>
        <w:rPr>
          <w:rFonts w:ascii="Arial" w:hAnsi="Arial" w:cs="Arial"/>
          <w:sz w:val="24"/>
          <w:szCs w:val="24"/>
        </w:rPr>
      </w:pPr>
      <w:r w:rsidRPr="00D00F4F">
        <w:rPr>
          <w:rFonts w:ascii="Arial" w:hAnsi="Arial" w:cs="Arial"/>
          <w:sz w:val="24"/>
          <w:szCs w:val="24"/>
        </w:rPr>
        <w:t>Through astute observation, thoughtful planning, and purposeful reflection, practitioners lay the groundwork for children's holistic development, nurturing their potential and paving the path for lifelong learning and success</w:t>
      </w:r>
      <w:r>
        <w:rPr>
          <w:rFonts w:ascii="Arial" w:hAnsi="Arial" w:cs="Arial"/>
          <w:sz w:val="24"/>
          <w:szCs w:val="24"/>
        </w:rPr>
        <w:t>.</w:t>
      </w:r>
    </w:p>
    <w:p w14:paraId="56962C13" w14:textId="77777777" w:rsidR="00D00F4F" w:rsidRDefault="00D00F4F" w:rsidP="00D00F4F">
      <w:pPr>
        <w:spacing w:line="360" w:lineRule="auto"/>
        <w:rPr>
          <w:rFonts w:ascii="Arial" w:hAnsi="Arial" w:cs="Arial"/>
          <w:sz w:val="24"/>
          <w:szCs w:val="24"/>
        </w:rPr>
      </w:pPr>
    </w:p>
    <w:p w14:paraId="643EF0E7" w14:textId="5A25C66B" w:rsidR="0014356F" w:rsidRPr="0014356F" w:rsidRDefault="0014356F" w:rsidP="00D00F4F">
      <w:pPr>
        <w:spacing w:line="360" w:lineRule="auto"/>
        <w:rPr>
          <w:rFonts w:ascii="Arial" w:hAnsi="Arial" w:cs="Arial"/>
          <w:b/>
          <w:bCs/>
          <w:sz w:val="24"/>
          <w:szCs w:val="24"/>
          <w:u w:val="single"/>
        </w:rPr>
      </w:pPr>
      <w:r w:rsidRPr="0014356F">
        <w:rPr>
          <w:rFonts w:ascii="Arial" w:hAnsi="Arial" w:cs="Arial"/>
          <w:b/>
          <w:bCs/>
          <w:sz w:val="24"/>
          <w:szCs w:val="24"/>
          <w:u w:val="single"/>
        </w:rPr>
        <w:t xml:space="preserve">References </w:t>
      </w:r>
    </w:p>
    <w:p w14:paraId="504A200D" w14:textId="77777777" w:rsidR="0014356F" w:rsidRDefault="0014356F" w:rsidP="0014356F">
      <w:pPr>
        <w:spacing w:line="360" w:lineRule="auto"/>
        <w:rPr>
          <w:rFonts w:ascii="Arial" w:hAnsi="Arial" w:cs="Arial"/>
          <w:color w:val="000000"/>
          <w:sz w:val="24"/>
          <w:szCs w:val="24"/>
        </w:rPr>
      </w:pPr>
      <w:r w:rsidRPr="0014356F">
        <w:rPr>
          <w:rFonts w:ascii="Arial" w:hAnsi="Arial" w:cs="Arial"/>
          <w:color w:val="000000"/>
          <w:sz w:val="24"/>
          <w:szCs w:val="24"/>
        </w:rPr>
        <w:t xml:space="preserve">Bilton, Helen. and Crook, A. (Anne C.) (2016) </w:t>
      </w:r>
      <w:r w:rsidRPr="0014356F">
        <w:rPr>
          <w:rFonts w:ascii="Arial" w:hAnsi="Arial" w:cs="Arial"/>
          <w:i/>
          <w:iCs/>
          <w:color w:val="000000"/>
          <w:sz w:val="24"/>
          <w:szCs w:val="24"/>
        </w:rPr>
        <w:t xml:space="preserve">Exploring outdoors ages 3-11: a guide for schools. </w:t>
      </w:r>
      <w:r w:rsidRPr="0014356F">
        <w:rPr>
          <w:rFonts w:ascii="Arial" w:hAnsi="Arial" w:cs="Arial"/>
          <w:color w:val="000000"/>
          <w:sz w:val="24"/>
          <w:szCs w:val="24"/>
        </w:rPr>
        <w:t xml:space="preserve">Abingdon, Oxon; Routledge. Available at: </w:t>
      </w:r>
      <w:hyperlink r:id="rId7" w:history="1">
        <w:r w:rsidRPr="0014356F">
          <w:rPr>
            <w:rStyle w:val="Hyperlink"/>
            <w:rFonts w:ascii="Arial" w:hAnsi="Arial" w:cs="Arial"/>
            <w:sz w:val="24"/>
            <w:szCs w:val="24"/>
          </w:rPr>
          <w:t>https://doi.org/10.4324/9781315747774</w:t>
        </w:r>
      </w:hyperlink>
      <w:r w:rsidRPr="0014356F">
        <w:rPr>
          <w:rFonts w:ascii="Arial" w:hAnsi="Arial" w:cs="Arial"/>
          <w:color w:val="000000"/>
          <w:sz w:val="24"/>
          <w:szCs w:val="24"/>
        </w:rPr>
        <w:t>.</w:t>
      </w:r>
    </w:p>
    <w:p w14:paraId="48EAF2C1" w14:textId="38091A7E" w:rsidR="0014356F" w:rsidRPr="0014356F" w:rsidRDefault="0014356F" w:rsidP="0014356F">
      <w:pPr>
        <w:spacing w:line="360" w:lineRule="auto"/>
        <w:rPr>
          <w:rFonts w:ascii="Arial" w:hAnsi="Arial" w:cs="Arial"/>
          <w:color w:val="000000"/>
          <w:sz w:val="24"/>
          <w:szCs w:val="24"/>
        </w:rPr>
      </w:pPr>
      <w:r w:rsidRPr="0014356F">
        <w:rPr>
          <w:rFonts w:ascii="Arial" w:hAnsi="Arial" w:cs="Arial"/>
          <w:color w:val="000000"/>
          <w:sz w:val="24"/>
          <w:szCs w:val="24"/>
        </w:rPr>
        <w:t>Brekke Stangeland, E. (2017) “</w:t>
      </w:r>
      <w:r w:rsidRPr="0014356F">
        <w:rPr>
          <w:rFonts w:ascii="Arial" w:hAnsi="Arial" w:cs="Arial"/>
          <w:i/>
          <w:iCs/>
          <w:color w:val="000000"/>
          <w:sz w:val="24"/>
          <w:szCs w:val="24"/>
        </w:rPr>
        <w:t>The impact of language skills and social competence on play behaviour in toddlers,”</w:t>
      </w:r>
      <w:r w:rsidRPr="0014356F">
        <w:rPr>
          <w:rFonts w:ascii="Arial" w:hAnsi="Arial" w:cs="Arial"/>
          <w:color w:val="000000"/>
          <w:sz w:val="24"/>
          <w:szCs w:val="24"/>
        </w:rPr>
        <w:t xml:space="preserve"> European early childhood education research journal, 25(1), pp. 106–121. Available at: https://doi.org/10.1080/1350293X.2016.1266224.</w:t>
      </w:r>
    </w:p>
    <w:p w14:paraId="786FA921" w14:textId="77777777" w:rsidR="0014356F" w:rsidRPr="0014356F" w:rsidRDefault="0014356F" w:rsidP="0014356F">
      <w:pPr>
        <w:spacing w:line="360" w:lineRule="auto"/>
        <w:rPr>
          <w:rFonts w:ascii="Arial" w:hAnsi="Arial" w:cs="Arial"/>
          <w:sz w:val="24"/>
          <w:szCs w:val="24"/>
        </w:rPr>
      </w:pPr>
      <w:r w:rsidRPr="0014356F">
        <w:rPr>
          <w:rFonts w:ascii="Arial" w:hAnsi="Arial" w:cs="Arial"/>
          <w:sz w:val="24"/>
          <w:szCs w:val="24"/>
        </w:rPr>
        <w:t>chrome-extension://efaidnbmnnnibpcajpcglclefindmkaj/https://hwb.gov.wales/storage/fcb8539c-9be7-4883-8542-35d7b54b56f2/foundation-phase-outdoor-learning-handbook.pdf.</w:t>
      </w:r>
    </w:p>
    <w:p w14:paraId="6EB86114" w14:textId="77777777" w:rsidR="0014356F" w:rsidRPr="0014356F" w:rsidRDefault="0014356F" w:rsidP="0014356F">
      <w:pPr>
        <w:spacing w:line="360" w:lineRule="auto"/>
        <w:rPr>
          <w:rFonts w:ascii="Arial" w:hAnsi="Arial" w:cs="Arial"/>
          <w:sz w:val="24"/>
          <w:szCs w:val="24"/>
        </w:rPr>
      </w:pPr>
      <w:r w:rsidRPr="0014356F">
        <w:rPr>
          <w:rFonts w:ascii="Arial" w:hAnsi="Arial" w:cs="Arial"/>
          <w:sz w:val="24"/>
          <w:szCs w:val="24"/>
        </w:rPr>
        <w:t>chrome-extension://efaidnbmnnnibpcajpcglclefindmkaj/https://hwb.gov.wales/storage/52aae98d-65ed-4065-9222-1a7876e150de/play-active-learning-overview-for-3-to-7-year-olds.pdf.</w:t>
      </w:r>
    </w:p>
    <w:p w14:paraId="3271337A" w14:textId="77777777" w:rsidR="0014356F" w:rsidRPr="0014356F" w:rsidRDefault="0014356F" w:rsidP="0014356F">
      <w:pPr>
        <w:spacing w:line="360" w:lineRule="auto"/>
        <w:rPr>
          <w:rFonts w:ascii="Arial" w:hAnsi="Arial" w:cs="Arial"/>
          <w:sz w:val="24"/>
          <w:szCs w:val="24"/>
        </w:rPr>
      </w:pPr>
      <w:r w:rsidRPr="0014356F">
        <w:rPr>
          <w:rFonts w:ascii="Arial" w:hAnsi="Arial" w:cs="Arial"/>
          <w:sz w:val="24"/>
          <w:szCs w:val="24"/>
        </w:rPr>
        <w:t>chrome-extension://efaidnbmnnnibpcajpcglclefindmkaj/https://www.gov.wales/sites/default/files/publications/2019-07/wales-a-play-friendly-country.pdf.</w:t>
      </w:r>
    </w:p>
    <w:p w14:paraId="3BD0A8DC" w14:textId="77777777" w:rsidR="0014356F" w:rsidRPr="0014356F" w:rsidRDefault="0014356F" w:rsidP="0014356F">
      <w:pPr>
        <w:spacing w:line="360" w:lineRule="auto"/>
        <w:rPr>
          <w:rFonts w:ascii="Arial" w:hAnsi="Arial" w:cs="Arial"/>
          <w:sz w:val="24"/>
          <w:szCs w:val="24"/>
        </w:rPr>
      </w:pPr>
      <w:r w:rsidRPr="0014356F">
        <w:rPr>
          <w:rFonts w:ascii="Arial" w:hAnsi="Arial" w:cs="Arial"/>
          <w:sz w:val="24"/>
          <w:szCs w:val="24"/>
        </w:rPr>
        <w:lastRenderedPageBreak/>
        <w:t>chrome-extension://efaidnbmnnnibpcajpcglclefindmkaj/https://hwb.gov.wales/api/storage/74f7c7cc-d337-4fd0-9604-27b3d1a5746d/observing-children.pdf.</w:t>
      </w:r>
    </w:p>
    <w:p w14:paraId="4EEADC15" w14:textId="77777777" w:rsidR="0014356F" w:rsidRPr="0014356F" w:rsidRDefault="0014356F" w:rsidP="0014356F">
      <w:pPr>
        <w:spacing w:line="360" w:lineRule="auto"/>
        <w:rPr>
          <w:rFonts w:ascii="Arial" w:hAnsi="Arial" w:cs="Arial"/>
          <w:sz w:val="24"/>
          <w:szCs w:val="24"/>
        </w:rPr>
      </w:pPr>
      <w:r w:rsidRPr="0014356F">
        <w:rPr>
          <w:rFonts w:ascii="Arial" w:hAnsi="Arial" w:cs="Arial"/>
          <w:sz w:val="24"/>
          <w:szCs w:val="24"/>
        </w:rPr>
        <w:t xml:space="preserve">Graham, P. and Arshad-Ayaz, A. (2016) </w:t>
      </w:r>
      <w:r w:rsidRPr="0014356F">
        <w:rPr>
          <w:rFonts w:ascii="Arial" w:hAnsi="Arial" w:cs="Arial"/>
          <w:i/>
          <w:iCs/>
          <w:sz w:val="24"/>
          <w:szCs w:val="24"/>
        </w:rPr>
        <w:t>“Learned Unsustainability: Bandura’s Bobo Doll Revisited,</w:t>
      </w:r>
      <w:r w:rsidRPr="0014356F">
        <w:rPr>
          <w:rFonts w:ascii="Arial" w:hAnsi="Arial" w:cs="Arial"/>
          <w:sz w:val="24"/>
          <w:szCs w:val="24"/>
        </w:rPr>
        <w:t xml:space="preserve">” Journal of education for sustainable development, 10(2), pp. 262–273. Available at: </w:t>
      </w:r>
      <w:hyperlink r:id="rId8" w:history="1">
        <w:r w:rsidRPr="0014356F">
          <w:rPr>
            <w:rStyle w:val="Hyperlink"/>
            <w:rFonts w:ascii="Arial" w:hAnsi="Arial" w:cs="Arial"/>
            <w:sz w:val="24"/>
            <w:szCs w:val="24"/>
          </w:rPr>
          <w:t>https://doi.org/10.1177/0973408216650954</w:t>
        </w:r>
      </w:hyperlink>
      <w:r w:rsidRPr="0014356F">
        <w:rPr>
          <w:rFonts w:ascii="Arial" w:hAnsi="Arial" w:cs="Arial"/>
          <w:sz w:val="24"/>
          <w:szCs w:val="24"/>
        </w:rPr>
        <w:t>.</w:t>
      </w:r>
    </w:p>
    <w:p w14:paraId="2309FB81" w14:textId="5F9B2DBF" w:rsidR="0014356F" w:rsidRPr="0014356F" w:rsidRDefault="0014356F" w:rsidP="0014356F">
      <w:pPr>
        <w:spacing w:line="360" w:lineRule="auto"/>
        <w:rPr>
          <w:rFonts w:ascii="Arial" w:hAnsi="Arial" w:cs="Arial"/>
          <w:sz w:val="24"/>
          <w:szCs w:val="24"/>
        </w:rPr>
      </w:pPr>
      <w:r w:rsidRPr="0014356F">
        <w:rPr>
          <w:rFonts w:ascii="Arial" w:hAnsi="Arial" w:cs="Arial"/>
          <w:sz w:val="24"/>
          <w:szCs w:val="24"/>
        </w:rPr>
        <w:t>Howard, J. and McInnes, K. (2013) “</w:t>
      </w:r>
      <w:r w:rsidRPr="0014356F">
        <w:rPr>
          <w:rFonts w:ascii="Arial" w:hAnsi="Arial" w:cs="Arial"/>
          <w:i/>
          <w:iCs/>
          <w:sz w:val="24"/>
          <w:szCs w:val="24"/>
        </w:rPr>
        <w:t>The impact of children’s perception of an activity as play rather than not play on emotional well-being,”</w:t>
      </w:r>
      <w:r w:rsidRPr="0014356F">
        <w:rPr>
          <w:rFonts w:ascii="Arial" w:hAnsi="Arial" w:cs="Arial"/>
          <w:sz w:val="24"/>
          <w:szCs w:val="24"/>
        </w:rPr>
        <w:t xml:space="preserve"> </w:t>
      </w:r>
      <w:r w:rsidR="00295E51" w:rsidRPr="0014356F">
        <w:rPr>
          <w:rFonts w:ascii="Arial" w:hAnsi="Arial" w:cs="Arial"/>
          <w:sz w:val="24"/>
          <w:szCs w:val="24"/>
        </w:rPr>
        <w:t>Child:</w:t>
      </w:r>
      <w:r w:rsidRPr="0014356F">
        <w:rPr>
          <w:rFonts w:ascii="Arial" w:hAnsi="Arial" w:cs="Arial"/>
          <w:sz w:val="24"/>
          <w:szCs w:val="24"/>
        </w:rPr>
        <w:t xml:space="preserve"> care, health &amp; development, 39(5), pp. 737–742. Available at: </w:t>
      </w:r>
      <w:hyperlink r:id="rId9" w:history="1">
        <w:r w:rsidRPr="0014356F">
          <w:rPr>
            <w:rStyle w:val="Hyperlink"/>
            <w:rFonts w:ascii="Arial" w:hAnsi="Arial" w:cs="Arial"/>
            <w:sz w:val="24"/>
            <w:szCs w:val="24"/>
          </w:rPr>
          <w:t>https://doi.org/10.1111/j.1365-2214.2012.01405.x</w:t>
        </w:r>
      </w:hyperlink>
      <w:r w:rsidRPr="0014356F">
        <w:rPr>
          <w:rFonts w:ascii="Arial" w:hAnsi="Arial" w:cs="Arial"/>
          <w:sz w:val="24"/>
          <w:szCs w:val="24"/>
        </w:rPr>
        <w:t>.</w:t>
      </w:r>
    </w:p>
    <w:p w14:paraId="51025097" w14:textId="77777777" w:rsidR="0014356F" w:rsidRPr="0014356F" w:rsidRDefault="0014356F" w:rsidP="0014356F">
      <w:pPr>
        <w:spacing w:line="360" w:lineRule="auto"/>
        <w:rPr>
          <w:rFonts w:ascii="Arial" w:hAnsi="Arial" w:cs="Arial"/>
          <w:sz w:val="24"/>
          <w:szCs w:val="24"/>
        </w:rPr>
      </w:pPr>
      <w:hyperlink r:id="rId10" w:anchor=":~:text=Children%20experience%20freedom%20when%20they,help%20prevent%20illnesses%20in%20adulthood" w:history="1">
        <w:r w:rsidRPr="0014356F">
          <w:rPr>
            <w:rStyle w:val="Hyperlink"/>
            <w:rFonts w:ascii="Arial" w:hAnsi="Arial" w:cs="Arial"/>
            <w:sz w:val="24"/>
            <w:szCs w:val="24"/>
          </w:rPr>
          <w:t>https://www.nidirect.gov.uk/articles/playing-outdoors#:~:text=Children%20experience%20freedom%20when%20they,help%20prevent%20illnesses%20in%20adulthood</w:t>
        </w:r>
      </w:hyperlink>
      <w:r w:rsidRPr="0014356F">
        <w:rPr>
          <w:rFonts w:ascii="Arial" w:hAnsi="Arial" w:cs="Arial"/>
          <w:sz w:val="24"/>
          <w:szCs w:val="24"/>
        </w:rPr>
        <w:t>.</w:t>
      </w:r>
    </w:p>
    <w:p w14:paraId="60DA8AB1" w14:textId="77777777" w:rsidR="0014356F" w:rsidRPr="0014356F" w:rsidRDefault="0014356F" w:rsidP="0014356F">
      <w:pPr>
        <w:spacing w:line="360" w:lineRule="auto"/>
        <w:rPr>
          <w:rFonts w:ascii="Arial" w:hAnsi="Arial" w:cs="Arial"/>
          <w:sz w:val="24"/>
          <w:szCs w:val="24"/>
        </w:rPr>
      </w:pPr>
      <w:r w:rsidRPr="0014356F">
        <w:rPr>
          <w:rFonts w:ascii="Arial" w:hAnsi="Arial" w:cs="Arial"/>
          <w:sz w:val="24"/>
          <w:szCs w:val="24"/>
        </w:rPr>
        <w:t xml:space="preserve">O Alharbi, M. (2022) </w:t>
      </w:r>
      <w:r w:rsidRPr="0014356F">
        <w:rPr>
          <w:rFonts w:ascii="Arial" w:hAnsi="Arial" w:cs="Arial"/>
          <w:i/>
          <w:iCs/>
          <w:sz w:val="24"/>
          <w:szCs w:val="24"/>
        </w:rPr>
        <w:t>“Teachers and Children’s Play: Exploring Practices Through an Analysis of Vygotsky and Piaget Theories</w:t>
      </w:r>
      <w:r w:rsidRPr="0014356F">
        <w:rPr>
          <w:rFonts w:ascii="Arial" w:hAnsi="Arial" w:cs="Arial"/>
          <w:sz w:val="24"/>
          <w:szCs w:val="24"/>
        </w:rPr>
        <w:t xml:space="preserve">,” The education review, USA, 6(11), pp. 668–674. Available at: </w:t>
      </w:r>
      <w:hyperlink r:id="rId11" w:history="1">
        <w:r w:rsidRPr="0014356F">
          <w:rPr>
            <w:rStyle w:val="Hyperlink"/>
            <w:rFonts w:ascii="Arial" w:hAnsi="Arial" w:cs="Arial"/>
            <w:sz w:val="24"/>
            <w:szCs w:val="24"/>
          </w:rPr>
          <w:t>https://doi.org/10.26855/er.2022.11.001</w:t>
        </w:r>
      </w:hyperlink>
      <w:r w:rsidRPr="0014356F">
        <w:rPr>
          <w:rFonts w:ascii="Arial" w:hAnsi="Arial" w:cs="Arial"/>
          <w:sz w:val="24"/>
          <w:szCs w:val="24"/>
        </w:rPr>
        <w:t>.</w:t>
      </w:r>
    </w:p>
    <w:p w14:paraId="3B07A056" w14:textId="77777777" w:rsidR="0014356F" w:rsidRPr="0014356F" w:rsidRDefault="0014356F" w:rsidP="0014356F">
      <w:pPr>
        <w:spacing w:line="360" w:lineRule="auto"/>
        <w:rPr>
          <w:rFonts w:ascii="Arial" w:hAnsi="Arial" w:cs="Arial"/>
          <w:sz w:val="24"/>
          <w:szCs w:val="24"/>
        </w:rPr>
      </w:pPr>
      <w:r w:rsidRPr="0014356F">
        <w:rPr>
          <w:rFonts w:ascii="Arial" w:hAnsi="Arial" w:cs="Arial"/>
          <w:color w:val="000000"/>
          <w:sz w:val="24"/>
          <w:szCs w:val="24"/>
        </w:rPr>
        <w:t xml:space="preserve">Piaget J. (1952) </w:t>
      </w:r>
      <w:r w:rsidRPr="0014356F">
        <w:rPr>
          <w:rFonts w:ascii="Arial" w:hAnsi="Arial" w:cs="Arial"/>
          <w:i/>
          <w:iCs/>
          <w:color w:val="000000"/>
          <w:sz w:val="24"/>
          <w:szCs w:val="24"/>
        </w:rPr>
        <w:t>The Origins of Intelligence in Children. New York</w:t>
      </w:r>
      <w:r w:rsidRPr="0014356F">
        <w:rPr>
          <w:rFonts w:ascii="Arial" w:hAnsi="Arial" w:cs="Arial"/>
          <w:color w:val="000000"/>
          <w:sz w:val="24"/>
          <w:szCs w:val="24"/>
        </w:rPr>
        <w:t xml:space="preserve">: W.W. Norton. Available at </w:t>
      </w:r>
      <w:hyperlink r:id="rId12" w:history="1">
        <w:r w:rsidRPr="0014356F">
          <w:rPr>
            <w:rStyle w:val="Hyperlink"/>
            <w:rFonts w:ascii="Arial" w:hAnsi="Arial" w:cs="Arial"/>
            <w:sz w:val="24"/>
            <w:szCs w:val="24"/>
          </w:rPr>
          <w:t>https://doi.org/10.1037/11494-000</w:t>
        </w:r>
      </w:hyperlink>
      <w:r w:rsidRPr="0014356F">
        <w:rPr>
          <w:rFonts w:ascii="Arial" w:hAnsi="Arial" w:cs="Arial"/>
          <w:color w:val="000000"/>
          <w:sz w:val="24"/>
          <w:szCs w:val="24"/>
        </w:rPr>
        <w:t xml:space="preserve"> (Accessed on 25th February 2024).</w:t>
      </w:r>
    </w:p>
    <w:p w14:paraId="2E9EDCA2" w14:textId="77777777" w:rsidR="0014356F" w:rsidRPr="0014356F" w:rsidRDefault="0014356F" w:rsidP="0014356F">
      <w:pPr>
        <w:spacing w:line="360" w:lineRule="auto"/>
        <w:rPr>
          <w:rFonts w:ascii="Arial" w:hAnsi="Arial" w:cs="Arial"/>
          <w:sz w:val="24"/>
          <w:szCs w:val="24"/>
        </w:rPr>
      </w:pPr>
      <w:r w:rsidRPr="0014356F">
        <w:rPr>
          <w:rFonts w:ascii="Arial" w:hAnsi="Arial" w:cs="Arial"/>
          <w:sz w:val="24"/>
          <w:szCs w:val="24"/>
        </w:rPr>
        <w:t>UWTSD PP Lecture 2.</w:t>
      </w:r>
    </w:p>
    <w:p w14:paraId="1F830114" w14:textId="77777777" w:rsidR="0014356F" w:rsidRPr="0014356F" w:rsidRDefault="0014356F" w:rsidP="0014356F">
      <w:pPr>
        <w:spacing w:line="360" w:lineRule="auto"/>
        <w:rPr>
          <w:rFonts w:ascii="Arial" w:hAnsi="Arial" w:cs="Arial"/>
          <w:color w:val="000000"/>
          <w:sz w:val="24"/>
          <w:szCs w:val="24"/>
        </w:rPr>
      </w:pPr>
      <w:r w:rsidRPr="0014356F">
        <w:rPr>
          <w:rFonts w:ascii="Arial" w:hAnsi="Arial" w:cs="Arial"/>
          <w:color w:val="000000"/>
          <w:sz w:val="24"/>
          <w:szCs w:val="24"/>
        </w:rPr>
        <w:t>Vygotsky, L.S. (1967</w:t>
      </w:r>
      <w:r w:rsidRPr="0014356F">
        <w:rPr>
          <w:rFonts w:ascii="Arial" w:hAnsi="Arial" w:cs="Arial"/>
          <w:i/>
          <w:iCs/>
          <w:color w:val="000000"/>
          <w:sz w:val="24"/>
          <w:szCs w:val="24"/>
        </w:rPr>
        <w:t>). Play and its role in the mental development of the child. Soviet Psychology</w:t>
      </w:r>
      <w:r w:rsidRPr="0014356F">
        <w:rPr>
          <w:rFonts w:ascii="Arial" w:hAnsi="Arial" w:cs="Arial"/>
          <w:color w:val="000000"/>
          <w:sz w:val="24"/>
          <w:szCs w:val="24"/>
        </w:rPr>
        <w:t xml:space="preserve"> 5(3); 6-18 Available at </w:t>
      </w:r>
      <w:hyperlink r:id="rId13" w:history="1">
        <w:r w:rsidRPr="0014356F">
          <w:rPr>
            <w:rStyle w:val="Hyperlink"/>
            <w:rFonts w:ascii="Arial" w:hAnsi="Arial" w:cs="Arial"/>
            <w:sz w:val="24"/>
            <w:szCs w:val="24"/>
          </w:rPr>
          <w:t>https://doi.org/10.2753/RPO1061-040505036</w:t>
        </w:r>
      </w:hyperlink>
      <w:r w:rsidRPr="0014356F">
        <w:rPr>
          <w:rFonts w:ascii="Arial" w:hAnsi="Arial" w:cs="Arial"/>
          <w:color w:val="000000"/>
          <w:sz w:val="24"/>
          <w:szCs w:val="24"/>
        </w:rPr>
        <w:t xml:space="preserve"> (Accessed on 25th February 2024).</w:t>
      </w:r>
    </w:p>
    <w:p w14:paraId="43977DCA" w14:textId="55556F59" w:rsidR="00340524" w:rsidRPr="00295E51" w:rsidRDefault="0014356F" w:rsidP="0014356F">
      <w:pPr>
        <w:spacing w:line="360" w:lineRule="auto"/>
        <w:rPr>
          <w:rFonts w:ascii="Arial" w:hAnsi="Arial" w:cs="Arial"/>
          <w:color w:val="000000"/>
          <w:sz w:val="24"/>
          <w:szCs w:val="24"/>
        </w:rPr>
      </w:pPr>
      <w:r w:rsidRPr="0014356F">
        <w:rPr>
          <w:rFonts w:ascii="Arial" w:hAnsi="Arial" w:cs="Arial"/>
          <w:color w:val="000000"/>
          <w:sz w:val="24"/>
          <w:szCs w:val="24"/>
        </w:rPr>
        <w:t xml:space="preserve">Vygotsky, L.S. (1962). </w:t>
      </w:r>
      <w:r w:rsidRPr="0014356F">
        <w:rPr>
          <w:rFonts w:ascii="Arial" w:hAnsi="Arial" w:cs="Arial"/>
          <w:i/>
          <w:iCs/>
          <w:color w:val="000000"/>
          <w:sz w:val="24"/>
          <w:szCs w:val="24"/>
        </w:rPr>
        <w:t xml:space="preserve">Thought and language. </w:t>
      </w:r>
      <w:r w:rsidRPr="0014356F">
        <w:rPr>
          <w:rFonts w:ascii="Arial" w:hAnsi="Arial" w:cs="Arial"/>
          <w:color w:val="000000"/>
          <w:sz w:val="24"/>
          <w:szCs w:val="24"/>
        </w:rPr>
        <w:t>Edited and translated by E. Hanfmann and G. Vakar. Cambridge, MA: MIT Press.</w:t>
      </w:r>
    </w:p>
    <w:sectPr w:rsidR="00340524" w:rsidRPr="00295E5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C9649" w14:textId="77777777" w:rsidR="0002582B" w:rsidRDefault="0002582B" w:rsidP="009D4146">
      <w:pPr>
        <w:spacing w:after="0" w:line="240" w:lineRule="auto"/>
      </w:pPr>
      <w:r>
        <w:separator/>
      </w:r>
    </w:p>
  </w:endnote>
  <w:endnote w:type="continuationSeparator" w:id="0">
    <w:p w14:paraId="5088DBFB" w14:textId="77777777" w:rsidR="0002582B" w:rsidRDefault="0002582B" w:rsidP="009D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8315292"/>
      <w:docPartObj>
        <w:docPartGallery w:val="Page Numbers (Bottom of Page)"/>
        <w:docPartUnique/>
      </w:docPartObj>
    </w:sdtPr>
    <w:sdtEndPr>
      <w:rPr>
        <w:noProof/>
      </w:rPr>
    </w:sdtEndPr>
    <w:sdtContent>
      <w:p w14:paraId="52F77C31" w14:textId="505E2596" w:rsidR="00DA4137" w:rsidRDefault="00DA41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C29C31" w14:textId="77777777" w:rsidR="00DA4137" w:rsidRDefault="00DA4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37B7C5" w14:textId="77777777" w:rsidR="0002582B" w:rsidRDefault="0002582B" w:rsidP="009D4146">
      <w:pPr>
        <w:spacing w:after="0" w:line="240" w:lineRule="auto"/>
      </w:pPr>
      <w:r>
        <w:separator/>
      </w:r>
    </w:p>
  </w:footnote>
  <w:footnote w:type="continuationSeparator" w:id="0">
    <w:p w14:paraId="140D499F" w14:textId="77777777" w:rsidR="0002582B" w:rsidRDefault="0002582B" w:rsidP="009D4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80631"/>
      <w:docPartObj>
        <w:docPartGallery w:val="Page Numbers (Top of Page)"/>
        <w:docPartUnique/>
      </w:docPartObj>
    </w:sdtPr>
    <w:sdtEndPr>
      <w:rPr>
        <w:noProof/>
      </w:rPr>
    </w:sdtEndPr>
    <w:sdtContent>
      <w:p w14:paraId="7F9D4BB8" w14:textId="77777777" w:rsidR="00DA4137" w:rsidRDefault="00DA4137" w:rsidP="00DA4137">
        <w:pPr>
          <w:pStyle w:val="Header"/>
          <w:jc w:val="right"/>
        </w:pPr>
        <w:r>
          <w:t>Student Number: 2208347</w:t>
        </w:r>
      </w:p>
      <w:p w14:paraId="21DBFACD" w14:textId="6FAB7B5C" w:rsidR="00DA4137" w:rsidRDefault="00DA4137" w:rsidP="00DA4137">
        <w:pPr>
          <w:pStyle w:val="Header"/>
          <w:jc w:val="right"/>
        </w:pPr>
        <w:r>
          <w:t>Word Count:</w:t>
        </w:r>
        <w:r w:rsidR="00D00F4F">
          <w:t xml:space="preserve"> 2179</w:t>
        </w:r>
      </w:p>
    </w:sdtContent>
  </w:sdt>
  <w:p w14:paraId="1AAF616A" w14:textId="05C2EBC8" w:rsidR="009D4146" w:rsidRDefault="009D4146" w:rsidP="009D4146">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146"/>
    <w:rsid w:val="00013B50"/>
    <w:rsid w:val="0002582B"/>
    <w:rsid w:val="000763C2"/>
    <w:rsid w:val="000A0092"/>
    <w:rsid w:val="001002F6"/>
    <w:rsid w:val="0014356F"/>
    <w:rsid w:val="00144DC1"/>
    <w:rsid w:val="001554C3"/>
    <w:rsid w:val="00161619"/>
    <w:rsid w:val="001D24DC"/>
    <w:rsid w:val="001D785A"/>
    <w:rsid w:val="00202A88"/>
    <w:rsid w:val="00290656"/>
    <w:rsid w:val="00295E51"/>
    <w:rsid w:val="002A3F47"/>
    <w:rsid w:val="002C2CE4"/>
    <w:rsid w:val="002E1164"/>
    <w:rsid w:val="00340524"/>
    <w:rsid w:val="00432162"/>
    <w:rsid w:val="00457479"/>
    <w:rsid w:val="004C3E38"/>
    <w:rsid w:val="0050714E"/>
    <w:rsid w:val="005B2919"/>
    <w:rsid w:val="00645845"/>
    <w:rsid w:val="00652AAA"/>
    <w:rsid w:val="006858F7"/>
    <w:rsid w:val="006A7E03"/>
    <w:rsid w:val="006B3DB6"/>
    <w:rsid w:val="006C27A2"/>
    <w:rsid w:val="006D6283"/>
    <w:rsid w:val="006F54A0"/>
    <w:rsid w:val="007522EE"/>
    <w:rsid w:val="0077305A"/>
    <w:rsid w:val="0086352E"/>
    <w:rsid w:val="009033C3"/>
    <w:rsid w:val="00933DE5"/>
    <w:rsid w:val="009D4146"/>
    <w:rsid w:val="009F616C"/>
    <w:rsid w:val="00AB6328"/>
    <w:rsid w:val="00AC275C"/>
    <w:rsid w:val="00AD4A8A"/>
    <w:rsid w:val="00B028C1"/>
    <w:rsid w:val="00B257C0"/>
    <w:rsid w:val="00B27714"/>
    <w:rsid w:val="00B772AD"/>
    <w:rsid w:val="00C459ED"/>
    <w:rsid w:val="00C50A70"/>
    <w:rsid w:val="00D00F4F"/>
    <w:rsid w:val="00D31705"/>
    <w:rsid w:val="00D543FD"/>
    <w:rsid w:val="00D859E3"/>
    <w:rsid w:val="00DA255E"/>
    <w:rsid w:val="00DA4137"/>
    <w:rsid w:val="00E93ADE"/>
    <w:rsid w:val="00EC2833"/>
    <w:rsid w:val="00FB2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AE396"/>
  <w15:docId w15:val="{650C057A-2D6D-4C81-8A7E-9C3533B43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4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46"/>
  </w:style>
  <w:style w:type="paragraph" w:styleId="Footer">
    <w:name w:val="footer"/>
    <w:basedOn w:val="Normal"/>
    <w:link w:val="FooterChar"/>
    <w:uiPriority w:val="99"/>
    <w:unhideWhenUsed/>
    <w:rsid w:val="009D4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46"/>
  </w:style>
  <w:style w:type="character" w:styleId="Hyperlink">
    <w:name w:val="Hyperlink"/>
    <w:basedOn w:val="DefaultParagraphFont"/>
    <w:uiPriority w:val="99"/>
    <w:unhideWhenUsed/>
    <w:rsid w:val="00144DC1"/>
    <w:rPr>
      <w:color w:val="0563C1" w:themeColor="hyperlink"/>
      <w:u w:val="single"/>
    </w:rPr>
  </w:style>
  <w:style w:type="character" w:styleId="UnresolvedMention">
    <w:name w:val="Unresolved Mention"/>
    <w:basedOn w:val="DefaultParagraphFont"/>
    <w:uiPriority w:val="99"/>
    <w:semiHidden/>
    <w:unhideWhenUsed/>
    <w:rsid w:val="00144DC1"/>
    <w:rPr>
      <w:color w:val="605E5C"/>
      <w:shd w:val="clear" w:color="auto" w:fill="E1DFDD"/>
    </w:rPr>
  </w:style>
  <w:style w:type="paragraph" w:styleId="NoSpacing">
    <w:name w:val="No Spacing"/>
    <w:uiPriority w:val="1"/>
    <w:qFormat/>
    <w:rsid w:val="006458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1177/0973408216650954" TargetMode="External"/><Relationship Id="rId13" Type="http://schemas.openxmlformats.org/officeDocument/2006/relationships/hyperlink" Target="https://doi.org/10.2753/RPO1061-040505036" TargetMode="External"/><Relationship Id="rId3" Type="http://schemas.openxmlformats.org/officeDocument/2006/relationships/settings" Target="settings.xml"/><Relationship Id="rId7" Type="http://schemas.openxmlformats.org/officeDocument/2006/relationships/hyperlink" Target="https://doi.org/10.4324/9781315747774" TargetMode="External"/><Relationship Id="rId12" Type="http://schemas.openxmlformats.org/officeDocument/2006/relationships/hyperlink" Target="https://doi.org/10.1037/11494-0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26855/er.2022.11.00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idirect.gov.uk/articles/playing-outdoors" TargetMode="External"/><Relationship Id="rId4" Type="http://schemas.openxmlformats.org/officeDocument/2006/relationships/webSettings" Target="webSettings.xml"/><Relationship Id="rId9" Type="http://schemas.openxmlformats.org/officeDocument/2006/relationships/hyperlink" Target="https://doi.org/10.1111/j.1365-2214.2012.01405.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CF8AC-1799-4C8F-893D-9FB1AD432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8290</TotalTime>
  <Pages>9</Pages>
  <Words>2463</Words>
  <Characters>17341</Characters>
  <Application>Microsoft Office Word</Application>
  <DocSecurity>0</DocSecurity>
  <Lines>279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dc:creator>
  <cp:keywords/>
  <dc:description/>
  <cp:lastModifiedBy>Brionny Coombes</cp:lastModifiedBy>
  <cp:revision>13</cp:revision>
  <cp:lastPrinted>2024-03-17T17:55:00Z</cp:lastPrinted>
  <dcterms:created xsi:type="dcterms:W3CDTF">2024-02-22T13:23:00Z</dcterms:created>
  <dcterms:modified xsi:type="dcterms:W3CDTF">2024-03-17T20:54:00Z</dcterms:modified>
</cp:coreProperties>
</file>