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DD304" w14:textId="33425E5F"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CRIMINAL LAW </w:t>
      </w:r>
    </w:p>
    <w:p w14:paraId="142B3C47" w14:textId="59B43A7F"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34F7A5" w14:textId="750D6927"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87F2E2" w14:textId="77777777"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95A1BE" w14:textId="4CF18365"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BMLW4005/BMPL4009</w:t>
      </w:r>
    </w:p>
    <w:p w14:paraId="684A95ED" w14:textId="020D19A5"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Laura Knight</w:t>
      </w:r>
    </w:p>
    <w:p w14:paraId="4B9D8185" w14:textId="289EB363" w:rsidR="00F63FDB"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2214468</w:t>
      </w:r>
    </w:p>
    <w:p w14:paraId="6B54B84D" w14:textId="40671BBE"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7A3">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p>
    <w:p w14:paraId="1850D136" w14:textId="1FA49B21"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7A3">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IULIANA VIOLETA VLASCEANU</w:t>
      </w:r>
    </w:p>
    <w:p w14:paraId="2D8F46C6" w14:textId="6C9AF770"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1377E8" w14:textId="55EBA844"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A32041" w14:textId="29193881"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996D00" w14:textId="63F7856B"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653B5" w14:textId="38860791"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DD2417" w14:textId="26BE34BD"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F9FAD8" w14:textId="3619158C"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5C76F8" w14:textId="254D0381"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8C25A3" w14:textId="198C936B"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002200" w14:textId="3D252155" w:rsidR="00F63FDB" w:rsidRPr="00F947A3"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7C90B8" w14:textId="770DA416" w:rsidR="00F63FDB" w:rsidRPr="00F947A3" w:rsidRDefault="00B51E7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2DC">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Table of contents</w:t>
      </w:r>
      <w:r w:rsidRPr="00F947A3">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5CE3F0" w14:textId="30E2411F" w:rsidR="00B51E75" w:rsidRPr="00F947A3" w:rsidRDefault="00B51E7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7A3">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1.Omission  </w:t>
      </w:r>
    </w:p>
    <w:p w14:paraId="72E91129" w14:textId="62D68223" w:rsid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1E7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B51E75">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51E7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General duty to act in criminal law</w:t>
      </w:r>
    </w:p>
    <w:p w14:paraId="57D4FC22" w14:textId="17FD8791" w:rsid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1.2 Requirements for a crime to be committed by omission</w:t>
      </w:r>
    </w:p>
    <w:p w14:paraId="590CB843" w14:textId="5805CA90" w:rsid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38E98D" w14:textId="74467926" w:rsidR="00B51E75" w:rsidRDefault="00B51E7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2.When Criminal Liability will be Upheld for Failing Act</w:t>
      </w:r>
    </w:p>
    <w:p w14:paraId="4EA29ED7" w14:textId="1A4F504B" w:rsid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When a statutory duty to act be present</w:t>
      </w:r>
    </w:p>
    <w:p w14:paraId="6FC8139A" w14:textId="0AFCB17E" w:rsid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 When a contractual/duty based on office be present</w:t>
      </w:r>
    </w:p>
    <w:p w14:paraId="1B31D49E" w14:textId="0F91788A" w:rsid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2.3 Assum</w:t>
      </w:r>
      <w:r w:rsidR="004A7A8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ption of responsibility</w:t>
      </w:r>
    </w:p>
    <w:p w14:paraId="5ACA0BF7" w14:textId="12FD8F68" w:rsidR="004A7A85" w:rsidRDefault="004A7A8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2.4  A professional responsibility</w:t>
      </w:r>
    </w:p>
    <w:p w14:paraId="247340E8" w14:textId="3FC7B7FF" w:rsidR="004A7A85" w:rsidRDefault="004A7A8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 Creating harm</w:t>
      </w:r>
    </w:p>
    <w:p w14:paraId="6BEA75BF" w14:textId="34030FE7" w:rsidR="004A7A85" w:rsidRDefault="004A7A8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2.6 A </w:t>
      </w:r>
      <w:proofErr w:type="spellStart"/>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dubios</w:t>
      </w:r>
      <w:proofErr w:type="spellEnd"/>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extension and the need for restraint</w:t>
      </w:r>
    </w:p>
    <w:p w14:paraId="7485DA92" w14:textId="1235178C" w:rsidR="004A7A85" w:rsidRDefault="004A7A8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w:t>
      </w:r>
    </w:p>
    <w:p w14:paraId="19D520CA" w14:textId="77777777" w:rsidR="004A7A85" w:rsidRPr="004A7A85" w:rsidRDefault="004A7A8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1FCB51" w14:textId="77777777" w:rsidR="004A7A85" w:rsidRPr="00B51E75" w:rsidRDefault="004A7A8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9795C" w14:textId="03B183BC" w:rsidR="00B51E75" w:rsidRPr="00B51E75" w:rsidRDefault="00B51E7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27512F" w14:textId="77777777" w:rsidR="00B51E75" w:rsidRP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A7D607" w14:textId="03624807" w:rsidR="00B51E75" w:rsidRPr="00B51E75" w:rsidRDefault="00B51E75">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4D6737" w14:textId="77777777" w:rsidR="00B51E75" w:rsidRPr="00B51E75" w:rsidRDefault="00B51E75">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FAD4B8" w14:textId="2CBF5616" w:rsidR="00F63FDB" w:rsidRPr="00B51E75"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564928" w14:textId="60416217" w:rsidR="00F63FDB" w:rsidRPr="00B51E75" w:rsidRDefault="00F63FDB">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Arial" w:eastAsiaTheme="minorHAnsi" w:hAnsi="Arial" w:cs="Arial"/>
          <w:color w:val="auto"/>
          <w:sz w:val="24"/>
          <w:szCs w:val="22"/>
        </w:rPr>
        <w:id w:val="-98416582"/>
        <w:docPartObj>
          <w:docPartGallery w:val="Table of Contents"/>
          <w:docPartUnique/>
        </w:docPartObj>
      </w:sdtPr>
      <w:sdtEndPr>
        <w:rPr>
          <w:sz w:val="22"/>
        </w:rPr>
      </w:sdtEndPr>
      <w:sdtContent>
        <w:p w14:paraId="7E14DA8F" w14:textId="5F3ED72C" w:rsidR="00F63FDB" w:rsidRPr="004A7A85" w:rsidRDefault="00F63FDB" w:rsidP="004A7A85">
          <w:pPr>
            <w:pStyle w:val="Heading1"/>
            <w:rPr>
              <w:rFonts w:ascii="Arial" w:hAnsi="Arial" w:cs="Arial"/>
              <w:b/>
              <w:bCs/>
              <w:noProof/>
              <w:szCs w:val="24"/>
            </w:rPr>
          </w:pPr>
        </w:p>
        <w:p w14:paraId="1B39F581" w14:textId="77777777" w:rsidR="00F63FDB" w:rsidRDefault="00F63FDB" w:rsidP="00F63FDB"/>
        <w:p w14:paraId="2BCDD19A" w14:textId="77777777" w:rsidR="00F63FDB" w:rsidRDefault="00F63FDB" w:rsidP="00F63FDB"/>
        <w:p w14:paraId="4A41394B" w14:textId="198C05F9" w:rsidR="00F63FDB" w:rsidRPr="00F63FDB" w:rsidRDefault="003032DC" w:rsidP="00F63FDB"/>
      </w:sdtContent>
    </w:sdt>
    <w:bookmarkStart w:id="0" w:name="_Toc118841945" w:displacedByCustomXml="prev"/>
    <w:bookmarkStart w:id="1" w:name="_Toc118841720" w:displacedByCustomXml="prev"/>
    <w:p w14:paraId="2E147262" w14:textId="69DC52AD" w:rsidR="00F63FDB" w:rsidRPr="004A7A85" w:rsidRDefault="00F63FDB" w:rsidP="00F63FDB">
      <w:pPr>
        <w:pStyle w:val="Heading1"/>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7A85">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bookmarkEnd w:id="0"/>
    </w:p>
    <w:p w14:paraId="445CA691" w14:textId="77777777" w:rsidR="004A7A85" w:rsidRPr="004A7A85" w:rsidRDefault="004A7A85" w:rsidP="004A7A85"/>
    <w:p w14:paraId="6174F696" w14:textId="72F98D10" w:rsidR="00F63FDB" w:rsidRDefault="00F63FDB" w:rsidP="00F63FDB">
      <w:pPr>
        <w:spacing w:line="360" w:lineRule="auto"/>
        <w:ind w:firstLine="851"/>
        <w:rPr>
          <w:rFonts w:ascii="Arial" w:hAnsi="Arial" w:cs="Arial"/>
          <w:szCs w:val="24"/>
        </w:rPr>
      </w:pPr>
      <w:r>
        <w:rPr>
          <w:rFonts w:ascii="Arial" w:hAnsi="Arial" w:cs="Arial"/>
          <w:szCs w:val="24"/>
        </w:rPr>
        <w:t>A person's inaction may result in criminal charges under English law in certain circumstances. There may be dire results from inaction. As a rule of thumb, the criminal law requires that the motivation behind an offence be negative</w:t>
      </w:r>
      <w:r>
        <w:rPr>
          <w:rFonts w:ascii="Arial" w:hAnsi="Arial" w:cs="Arial"/>
          <w:szCs w:val="24"/>
        </w:rPr>
        <w:fldChar w:fldCharType="begin"/>
      </w:r>
      <w:r>
        <w:rPr>
          <w:rFonts w:ascii="Arial" w:hAnsi="Arial" w:cs="Arial"/>
          <w:szCs w:val="24"/>
        </w:rPr>
        <w:instrText xml:space="preserve"> ADDIN ZOTERO_ITEM CSL_CITATION {"citationID":"vDJDuqqi","properties":{"formattedCitation":"(Simester et al., 2013)","plainCitation":"(Simester et al., 2013)","noteIndex":0},"citationItems":[{"id":265,"uris":["http://zotero.org/users/10480388/items/9DJXVXPQ"],"itemData":{"id":265,"type":"book","call-number":"KD7869 .S56 2013","edition":"Fifth edition","event-place":"Oxford, United Kingdom","ISBN":"978-1-84946-444-4","number-of-pages":"893","publisher":"Hart Publishing","publisher-place":"Oxford, United Kingdom","source":"Library of Congress ISBN","title":"Simester and Sullivan's criminal law: theory and doctrine","title-short":"Simester and Sullivan's criminal law","author":[{"family":"Simester","given":"A. P."},{"family":"Spencer","given":"John R."},{"family":"Sullivan","given":"G. R."},{"family":"Virgo","given":"Graham"}],"issued":{"date-parts":[["2013"]]}}}],"schema":"https://github.com/citation-style-language/schema/raw/master/csl-citation.json"} </w:instrText>
      </w:r>
      <w:r>
        <w:rPr>
          <w:rFonts w:ascii="Arial" w:hAnsi="Arial" w:cs="Arial"/>
          <w:szCs w:val="24"/>
        </w:rPr>
        <w:fldChar w:fldCharType="separate"/>
      </w:r>
      <w:r>
        <w:rPr>
          <w:rFonts w:ascii="Arial" w:hAnsi="Arial" w:cs="Arial"/>
        </w:rPr>
        <w:t>(Simester et al., 2013)</w:t>
      </w:r>
      <w:r>
        <w:rPr>
          <w:rFonts w:ascii="Arial" w:hAnsi="Arial" w:cs="Arial"/>
          <w:szCs w:val="24"/>
        </w:rPr>
        <w:fldChar w:fldCharType="end"/>
      </w:r>
      <w:r>
        <w:rPr>
          <w:rFonts w:ascii="Arial" w:hAnsi="Arial" w:cs="Arial"/>
          <w:szCs w:val="24"/>
        </w:rPr>
        <w:t>. However, under UK criminal law, people who fail to protect the person or property for which they are accountable will be held liable, whether that obligation is acknowledged or imposed. We need to ask ourselves if the kind of society we want to live in includes criminal culpability for inaction. When responsibility can and should be assigned for inaction is discussed in this article.</w:t>
      </w:r>
    </w:p>
    <w:p w14:paraId="6AA588E9" w14:textId="6B823446" w:rsidR="004A7A85" w:rsidRDefault="004A7A85" w:rsidP="00F63FDB">
      <w:pPr>
        <w:spacing w:line="360" w:lineRule="auto"/>
        <w:ind w:firstLine="851"/>
        <w:rPr>
          <w:rFonts w:ascii="Arial" w:hAnsi="Arial" w:cs="Arial"/>
          <w:szCs w:val="24"/>
        </w:rPr>
      </w:pPr>
    </w:p>
    <w:p w14:paraId="7D1C5544" w14:textId="40E7B5F6" w:rsidR="004A7A85" w:rsidRDefault="004A7A85" w:rsidP="00F63FDB">
      <w:pPr>
        <w:spacing w:line="360" w:lineRule="auto"/>
        <w:ind w:firstLine="851"/>
        <w:rPr>
          <w:rFonts w:ascii="Arial" w:hAnsi="Arial" w:cs="Arial"/>
          <w:szCs w:val="24"/>
        </w:rPr>
      </w:pPr>
    </w:p>
    <w:p w14:paraId="143C6C85" w14:textId="06731D15" w:rsidR="004A7A85" w:rsidRDefault="004A7A85" w:rsidP="00F63FDB">
      <w:pPr>
        <w:spacing w:line="360" w:lineRule="auto"/>
        <w:ind w:firstLine="851"/>
        <w:rPr>
          <w:rFonts w:ascii="Arial" w:hAnsi="Arial" w:cs="Arial"/>
          <w:szCs w:val="24"/>
        </w:rPr>
      </w:pPr>
    </w:p>
    <w:p w14:paraId="092F6747" w14:textId="0C91DC46" w:rsidR="004A7A85" w:rsidRDefault="004A7A85" w:rsidP="00F63FDB">
      <w:pPr>
        <w:spacing w:line="360" w:lineRule="auto"/>
        <w:ind w:firstLine="851"/>
        <w:rPr>
          <w:rFonts w:ascii="Arial" w:hAnsi="Arial" w:cs="Arial"/>
          <w:szCs w:val="24"/>
        </w:rPr>
      </w:pPr>
    </w:p>
    <w:p w14:paraId="52BC1004" w14:textId="66612941" w:rsidR="004A7A85" w:rsidRDefault="004A7A85" w:rsidP="00F63FDB">
      <w:pPr>
        <w:spacing w:line="360" w:lineRule="auto"/>
        <w:ind w:firstLine="851"/>
        <w:rPr>
          <w:rFonts w:ascii="Arial" w:hAnsi="Arial" w:cs="Arial"/>
          <w:szCs w:val="24"/>
        </w:rPr>
      </w:pPr>
    </w:p>
    <w:p w14:paraId="38788CA3" w14:textId="5DC1F5A9" w:rsidR="004A7A85" w:rsidRDefault="004A7A85" w:rsidP="00F63FDB">
      <w:pPr>
        <w:spacing w:line="360" w:lineRule="auto"/>
        <w:ind w:firstLine="851"/>
        <w:rPr>
          <w:rFonts w:ascii="Arial" w:hAnsi="Arial" w:cs="Arial"/>
          <w:szCs w:val="24"/>
        </w:rPr>
      </w:pPr>
    </w:p>
    <w:p w14:paraId="74FA4D1A" w14:textId="4D79D60D" w:rsidR="004A7A85" w:rsidRDefault="004A7A85" w:rsidP="00F63FDB">
      <w:pPr>
        <w:spacing w:line="360" w:lineRule="auto"/>
        <w:ind w:firstLine="851"/>
        <w:rPr>
          <w:rFonts w:ascii="Arial" w:hAnsi="Arial" w:cs="Arial"/>
          <w:szCs w:val="24"/>
        </w:rPr>
      </w:pPr>
    </w:p>
    <w:p w14:paraId="5615A17D" w14:textId="3EC14E76" w:rsidR="004A7A85" w:rsidRDefault="004A7A85" w:rsidP="00F63FDB">
      <w:pPr>
        <w:spacing w:line="360" w:lineRule="auto"/>
        <w:ind w:firstLine="851"/>
        <w:rPr>
          <w:rFonts w:ascii="Arial" w:hAnsi="Arial" w:cs="Arial"/>
          <w:szCs w:val="24"/>
        </w:rPr>
      </w:pPr>
    </w:p>
    <w:p w14:paraId="18EBCD2D" w14:textId="2033ADB1" w:rsidR="004A7A85" w:rsidRDefault="004A7A85" w:rsidP="00F63FDB">
      <w:pPr>
        <w:spacing w:line="360" w:lineRule="auto"/>
        <w:ind w:firstLine="851"/>
        <w:rPr>
          <w:rFonts w:ascii="Arial" w:hAnsi="Arial" w:cs="Arial"/>
          <w:szCs w:val="24"/>
        </w:rPr>
      </w:pPr>
    </w:p>
    <w:p w14:paraId="799B1745" w14:textId="70CD9D64" w:rsidR="004A7A85" w:rsidRDefault="004A7A85" w:rsidP="00F63FDB">
      <w:pPr>
        <w:spacing w:line="360" w:lineRule="auto"/>
        <w:ind w:firstLine="851"/>
        <w:rPr>
          <w:rFonts w:ascii="Arial" w:hAnsi="Arial" w:cs="Arial"/>
          <w:szCs w:val="24"/>
        </w:rPr>
      </w:pPr>
    </w:p>
    <w:p w14:paraId="1B1C0216" w14:textId="07B397D3" w:rsidR="004A7A85" w:rsidRDefault="004A7A85" w:rsidP="00F63FDB">
      <w:pPr>
        <w:spacing w:line="360" w:lineRule="auto"/>
        <w:ind w:firstLine="851"/>
        <w:rPr>
          <w:rFonts w:ascii="Arial" w:hAnsi="Arial" w:cs="Arial"/>
          <w:szCs w:val="24"/>
        </w:rPr>
      </w:pPr>
    </w:p>
    <w:p w14:paraId="0FD427F6" w14:textId="43354741" w:rsidR="004A7A85" w:rsidRDefault="004A7A85" w:rsidP="00F63FDB">
      <w:pPr>
        <w:spacing w:line="360" w:lineRule="auto"/>
        <w:ind w:firstLine="851"/>
        <w:rPr>
          <w:rFonts w:ascii="Arial" w:hAnsi="Arial" w:cs="Arial"/>
          <w:szCs w:val="24"/>
        </w:rPr>
      </w:pPr>
    </w:p>
    <w:p w14:paraId="6DFB612D" w14:textId="735DBF4B" w:rsidR="004A7A85" w:rsidRDefault="004A7A85" w:rsidP="00F63FDB">
      <w:pPr>
        <w:spacing w:line="360" w:lineRule="auto"/>
        <w:ind w:firstLine="851"/>
        <w:rPr>
          <w:rFonts w:ascii="Arial" w:hAnsi="Arial" w:cs="Arial"/>
          <w:szCs w:val="24"/>
        </w:rPr>
      </w:pPr>
    </w:p>
    <w:p w14:paraId="6E809EF3" w14:textId="4B263B8D" w:rsidR="004A7A85" w:rsidRDefault="004A7A85" w:rsidP="00F63FDB">
      <w:pPr>
        <w:spacing w:line="360" w:lineRule="auto"/>
        <w:ind w:firstLine="851"/>
        <w:rPr>
          <w:rFonts w:ascii="Arial" w:hAnsi="Arial" w:cs="Arial"/>
          <w:szCs w:val="24"/>
        </w:rPr>
      </w:pPr>
    </w:p>
    <w:p w14:paraId="14C7784D" w14:textId="77777777" w:rsidR="004A7A85" w:rsidRDefault="004A7A85" w:rsidP="00F63FDB">
      <w:pPr>
        <w:spacing w:line="360" w:lineRule="auto"/>
        <w:ind w:firstLine="851"/>
        <w:rPr>
          <w:rFonts w:ascii="Arial" w:hAnsi="Arial" w:cs="Arial"/>
          <w:szCs w:val="24"/>
        </w:rPr>
      </w:pPr>
    </w:p>
    <w:p w14:paraId="5F24C24A" w14:textId="77777777" w:rsidR="00F63FDB" w:rsidRPr="004A7A85" w:rsidRDefault="00F63FDB" w:rsidP="00F63FDB">
      <w:pPr>
        <w:pStyle w:val="Heading1"/>
        <w:keepNext w:val="0"/>
        <w:keepLines w:val="0"/>
        <w:numPr>
          <w:ilvl w:val="0"/>
          <w:numId w:val="2"/>
        </w:numPr>
        <w:spacing w:before="0" w:after="160" w:line="480" w:lineRule="auto"/>
        <w:jc w:val="both"/>
        <w:rPr>
          <w:rFonts w:ascii="Arial" w:eastAsiaTheme="minorHAnsi" w:hAnsi="Arial"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18841721"/>
      <w:bookmarkStart w:id="3" w:name="_Toc118841946"/>
      <w:r w:rsidRPr="004A7A85">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Omission</w:t>
      </w:r>
      <w:bookmarkEnd w:id="2"/>
      <w:bookmarkEnd w:id="3"/>
    </w:p>
    <w:p w14:paraId="203E7D02" w14:textId="009A94A7" w:rsidR="00F63FDB" w:rsidRDefault="00F63FDB" w:rsidP="00F63FDB">
      <w:pPr>
        <w:spacing w:after="0" w:line="360" w:lineRule="auto"/>
        <w:rPr>
          <w:rFonts w:ascii="Arial" w:hAnsi="Arial" w:cs="Arial"/>
          <w:szCs w:val="24"/>
        </w:rPr>
      </w:pPr>
      <w:r>
        <w:rPr>
          <w:rFonts w:ascii="Arial" w:hAnsi="Arial" w:cs="Arial"/>
          <w:szCs w:val="24"/>
        </w:rPr>
        <w:t xml:space="preserve">Although it is true that criminal liability only arises in cases where a positive act has been committed, this is not always the case </w:t>
      </w:r>
      <w:r>
        <w:rPr>
          <w:rFonts w:ascii="Arial" w:hAnsi="Arial" w:cs="Arial"/>
          <w:szCs w:val="24"/>
        </w:rPr>
        <w:fldChar w:fldCharType="begin"/>
      </w:r>
      <w:r>
        <w:rPr>
          <w:rFonts w:ascii="Arial" w:hAnsi="Arial" w:cs="Arial"/>
          <w:szCs w:val="24"/>
        </w:rPr>
        <w:instrText xml:space="preserve"> ADDIN ZOTERO_ITEM CSL_CITATION {"citationID":"Z4T7QtHs","properties":{"formattedCitation":"(Ashworth and Horder, 2013)","plainCitation":"(Ashworth and Horder, 2013)","noteIndex":0},"citationItems":[{"id":264,"uris":["http://zotero.org/users/10480388/items/DKIESVNY"],"itemData":{"id":264,"type":"book","call-number":"KD7869 .A84 2013","edition":"Seventh edition","event-place":"Oxford, United Kingdom","ISBN":"978-0-19-967268-4","number-of-pages":"510","publisher":"Oxford University Press","publisher-place":"Oxford, United Kingdom","source":"Library of Congress ISBN","title":"Principles of criminal law","author":[{"family":"Ashworth","given":"Andrew"},{"family":"Horder","given":"Jeremy"}],"issued":{"date-parts":[["2013"]]}}}],"schema":"https://github.com/citation-style-language/schema/raw/master/csl-citation.json"} </w:instrText>
      </w:r>
      <w:r>
        <w:rPr>
          <w:rFonts w:ascii="Arial" w:hAnsi="Arial" w:cs="Arial"/>
          <w:szCs w:val="24"/>
        </w:rPr>
        <w:fldChar w:fldCharType="separate"/>
      </w:r>
      <w:r>
        <w:rPr>
          <w:rFonts w:ascii="Arial" w:hAnsi="Arial" w:cs="Arial"/>
        </w:rPr>
        <w:t>(Ashworth and Horder, 2013)</w:t>
      </w:r>
      <w:r>
        <w:rPr>
          <w:rFonts w:ascii="Arial" w:hAnsi="Arial" w:cs="Arial"/>
          <w:szCs w:val="24"/>
        </w:rPr>
        <w:fldChar w:fldCharType="end"/>
      </w:r>
      <w:r>
        <w:rPr>
          <w:rFonts w:ascii="Arial" w:hAnsi="Arial" w:cs="Arial"/>
          <w:szCs w:val="24"/>
        </w:rPr>
        <w:t xml:space="preserve">. According to Article 63(2) of the French Penal Code, everyone has an obligation to assist a distressed person if they are able to do so without putting themself in danger </w:t>
      </w:r>
      <w:r>
        <w:rPr>
          <w:rFonts w:ascii="Arial" w:hAnsi="Arial" w:cs="Arial"/>
          <w:szCs w:val="24"/>
        </w:rPr>
        <w:fldChar w:fldCharType="begin"/>
      </w:r>
      <w:r>
        <w:rPr>
          <w:rFonts w:ascii="Arial" w:hAnsi="Arial" w:cs="Arial"/>
          <w:szCs w:val="24"/>
        </w:rPr>
        <w:instrText xml:space="preserve"> ADDIN ZOTERO_ITEM CSL_CITATION {"citationID":"bIPzZIBg","properties":{"formattedCitation":"(Wells, Quick and Lacey, 2010)","plainCitation":"(Wells, Quick and Lacey, 2010)","noteIndex":0},"citationItems":[{"id":270,"uris":["http://zotero.org/users/10480388/items/RYA6RK2C"],"itemData":{"id":270,"type":"book","call-number":"KD7869 .L33 2010","collection-title":"Law in context series","edition":"4th ed","event-place":"Cambridge ; New York","ISBN":"978-0-521-73739-5","note":"OCLC: ocn496958818","number-of-pages":"894","publisher":"Cambridge University Press","publisher-place":"Cambridge ; New York","source":"Library of Congress ISBN","title":"Lacey, Wells and Quick Reconstructing criminal law: text and materials","title-short":"Lacey, Wells and Quick Reconstructing criminal law","author":[{"family":"Wells","given":"Celia"},{"family":"Quick","given":"Oliver"},{"family":"Lacey","given":"Nicola"}],"issued":{"date-parts":[["2010"]]}}}],"schema":"https://github.com/citation-style-language/schema/raw/master/csl-citation.json"} </w:instrText>
      </w:r>
      <w:r>
        <w:rPr>
          <w:rFonts w:ascii="Arial" w:hAnsi="Arial" w:cs="Arial"/>
          <w:szCs w:val="24"/>
        </w:rPr>
        <w:fldChar w:fldCharType="separate"/>
      </w:r>
      <w:r>
        <w:rPr>
          <w:rFonts w:ascii="Arial" w:hAnsi="Arial" w:cs="Arial"/>
        </w:rPr>
        <w:t>(Wells, Quick and Lacey, 2010)</w:t>
      </w:r>
      <w:r>
        <w:rPr>
          <w:rFonts w:ascii="Arial" w:hAnsi="Arial" w:cs="Arial"/>
          <w:szCs w:val="24"/>
        </w:rPr>
        <w:fldChar w:fldCharType="end"/>
      </w:r>
      <w:r>
        <w:rPr>
          <w:rFonts w:ascii="Arial" w:hAnsi="Arial" w:cs="Arial"/>
          <w:szCs w:val="24"/>
        </w:rPr>
        <w:t>. However, criminal law in England and Wales imposes really no responsibilities and is hesitant to expand the list for fear of infringing on people's freedoms. Stephen LJ's 19th century example of a bystander allowing a child to submerge in a hot tub illustrates that "as morally repugnant as the neglect to just provide assistance to a distraught individual may be, ethical slip ups carry with no lawful denouncements," as evidenced by the killing of Kitty Genovese in 1964</w:t>
      </w:r>
      <w:r>
        <w:rPr>
          <w:rFonts w:ascii="Arial" w:hAnsi="Arial" w:cs="Arial"/>
          <w:szCs w:val="24"/>
        </w:rPr>
        <w:fldChar w:fldCharType="begin"/>
      </w:r>
      <w:r>
        <w:rPr>
          <w:rFonts w:ascii="Arial" w:hAnsi="Arial" w:cs="Arial"/>
          <w:szCs w:val="24"/>
        </w:rPr>
        <w:instrText xml:space="preserve"> ADDIN ZOTERO_ITEM CSL_CITATION {"citationID":"4VCvK3V1","properties":{"formattedCitation":"(Time, K Payne and R Gainey, 2010)","plainCitation":"(Time, K Payne and R Gainey, 2010)","noteIndex":0},"citationItems":[{"id":274,"uris":["http://zotero.org/users/10480388/items/GWLNVCRX"],"itemData":{"id":274,"type":"article-journal","journalAbbreviation":"JCJ","title":"Don’t help victims of crime if you don't have the time: Assessing support for Good Samaritan laws","volume":"38","author":[{"family":"Time","given":"Victoria"},{"family":"K Payne","given":"Brian"},{"family":"R Gainey","given":"Randy"}],"issued":{"date-parts":[["2010"]]}}}],"schema":"https://github.com/citation-style-language/schema/raw/master/csl-citation.json"} </w:instrText>
      </w:r>
      <w:r>
        <w:rPr>
          <w:rFonts w:ascii="Arial" w:hAnsi="Arial" w:cs="Arial"/>
          <w:szCs w:val="24"/>
        </w:rPr>
        <w:fldChar w:fldCharType="separate"/>
      </w:r>
      <w:r>
        <w:rPr>
          <w:rFonts w:ascii="Arial" w:hAnsi="Arial" w:cs="Arial"/>
        </w:rPr>
        <w:t>(Time, K Payne and R Gainey, 2010)</w:t>
      </w:r>
      <w:r>
        <w:rPr>
          <w:rFonts w:ascii="Arial" w:hAnsi="Arial" w:cs="Arial"/>
          <w:szCs w:val="24"/>
        </w:rPr>
        <w:fldChar w:fldCharType="end"/>
      </w:r>
      <w:r>
        <w:rPr>
          <w:rFonts w:ascii="Arial" w:hAnsi="Arial" w:cs="Arial"/>
          <w:szCs w:val="24"/>
        </w:rPr>
        <w:t>. The justice system as it stands "doesn't really require a person to do nice, it simply precludes them from misbehaving."</w:t>
      </w:r>
    </w:p>
    <w:p w14:paraId="4545724E" w14:textId="143EF78D" w:rsidR="004A7A85" w:rsidRDefault="004A7A85" w:rsidP="00F63FDB">
      <w:pPr>
        <w:spacing w:after="0" w:line="360" w:lineRule="auto"/>
        <w:rPr>
          <w:rFonts w:ascii="Arial" w:hAnsi="Arial" w:cs="Arial"/>
          <w:szCs w:val="24"/>
        </w:rPr>
      </w:pPr>
    </w:p>
    <w:p w14:paraId="4EAB99AA" w14:textId="2832E680" w:rsidR="004A7A85" w:rsidRDefault="004A7A85" w:rsidP="00F63FDB">
      <w:pPr>
        <w:spacing w:after="0" w:line="360" w:lineRule="auto"/>
        <w:rPr>
          <w:rFonts w:ascii="Arial" w:hAnsi="Arial" w:cs="Arial"/>
          <w:szCs w:val="24"/>
        </w:rPr>
      </w:pPr>
    </w:p>
    <w:p w14:paraId="43C18AE0" w14:textId="77777777" w:rsidR="004A7A85" w:rsidRDefault="004A7A85" w:rsidP="00F63FDB">
      <w:pPr>
        <w:spacing w:after="0" w:line="360" w:lineRule="auto"/>
        <w:rPr>
          <w:rFonts w:ascii="Arial" w:hAnsi="Arial" w:cs="Arial"/>
          <w:i/>
          <w:szCs w:val="24"/>
        </w:rPr>
      </w:pPr>
    </w:p>
    <w:p w14:paraId="184E6D53" w14:textId="77777777" w:rsidR="00F63FDB" w:rsidRDefault="00F63FDB" w:rsidP="00F63FDB">
      <w:pPr>
        <w:spacing w:after="0" w:line="360" w:lineRule="auto"/>
        <w:ind w:firstLine="851"/>
        <w:rPr>
          <w:rFonts w:ascii="Arial" w:eastAsiaTheme="minorEastAsia" w:hAnsi="Arial" w:cs="Arial"/>
          <w:szCs w:val="24"/>
          <w:lang w:eastAsia="en-GB"/>
        </w:rPr>
      </w:pPr>
    </w:p>
    <w:p w14:paraId="13C4DA74" w14:textId="77777777" w:rsidR="00F63FDB" w:rsidRDefault="00F63FDB" w:rsidP="00F63FDB">
      <w:pPr>
        <w:pStyle w:val="Heading2"/>
        <w:numPr>
          <w:ilvl w:val="1"/>
          <w:numId w:val="2"/>
        </w:numPr>
        <w:rPr>
          <w:rFonts w:ascii="Arial" w:hAnsi="Arial" w:cs="Arial"/>
        </w:rPr>
      </w:pPr>
      <w:bookmarkStart w:id="4" w:name="_Toc118841722"/>
      <w:bookmarkStart w:id="5" w:name="_Toc118841947"/>
      <w:r>
        <w:rPr>
          <w:rFonts w:ascii="Arial" w:hAnsi="Arial" w:cs="Arial"/>
        </w:rPr>
        <w:t>General duty to act in criminal law</w:t>
      </w:r>
      <w:bookmarkEnd w:id="4"/>
      <w:bookmarkEnd w:id="5"/>
    </w:p>
    <w:p w14:paraId="01FD4AB1" w14:textId="77777777" w:rsidR="00F63FDB" w:rsidRDefault="00F63FDB" w:rsidP="00F63FDB">
      <w:pPr>
        <w:pStyle w:val="ListParagraph"/>
        <w:spacing w:line="360" w:lineRule="auto"/>
        <w:rPr>
          <w:rFonts w:ascii="Arial" w:eastAsiaTheme="minorHAnsi" w:hAnsi="Arial" w:cs="Arial"/>
          <w:sz w:val="24"/>
          <w:szCs w:val="24"/>
          <w:lang w:eastAsia="en-US"/>
        </w:rPr>
      </w:pPr>
      <w:r>
        <w:rPr>
          <w:rFonts w:ascii="Arial" w:eastAsiaTheme="minorHAnsi" w:hAnsi="Arial" w:cs="Arial"/>
          <w:sz w:val="24"/>
          <w:szCs w:val="24"/>
          <w:lang w:eastAsia="en-US"/>
        </w:rPr>
        <w:t>There may be times when one party has a legal obligation to take action to protect another or the public from imminent danger. A standard of reasonable care to avoid causing harm or injury is an element of personal injury law</w:t>
      </w:r>
      <w:r>
        <w:rPr>
          <w:rFonts w:ascii="Arial" w:eastAsiaTheme="minorHAnsi" w:hAnsi="Arial" w:cs="Arial"/>
          <w:sz w:val="24"/>
          <w:szCs w:val="24"/>
          <w:lang w:eastAsia="en-US"/>
        </w:rPr>
        <w:fldChar w:fldCharType="begin"/>
      </w:r>
      <w:r>
        <w:rPr>
          <w:rFonts w:ascii="Arial" w:eastAsiaTheme="minorHAnsi" w:hAnsi="Arial" w:cs="Arial"/>
          <w:sz w:val="24"/>
          <w:szCs w:val="24"/>
          <w:lang w:eastAsia="en-US"/>
        </w:rPr>
        <w:instrText xml:space="preserve"> ADDIN ZOTERO_ITEM CSL_CITATION {"citationID":"0MrYA2Iv","properties":{"formattedCitation":"(Stark, 2014)","plainCitation":"(Stark, 2014)","noteIndex":0},"citationItems":[{"id":263,"uris":["http://zotero.org/users/10480388/items/6R7G3PIS"],"itemData":{"id":263,"type":"article-journal","container-title":"The Cambridge Law Journal","DOI":"10.1017/S000819731400035X","ISSN":"0008-1973, 1469-2139","issue":"1","journalAbbreviation":"C.L.J.","language":"en","page":"220-224","source":"DOI.org (Crossref)","title":"Positive Obligations in Criminal Law. by Andrew Ashworth. [Oxford: Hart. 2013. 221 pp. Hardback £45. ISBN 978-1-84946-505-2.]","title-short":"Positive Obligations in Criminal Law. by Andrew Ashworth. [Oxford","volume":"73","author":[{"family":"Stark","given":"Findlay"}],"issued":{"date-parts":[["2014",3]]}}}],"schema":"https://github.com/citation-style-language/schema/raw/master/csl-citation.json"} </w:instrText>
      </w:r>
      <w:r>
        <w:rPr>
          <w:rFonts w:ascii="Arial" w:eastAsiaTheme="minorHAnsi" w:hAnsi="Arial" w:cs="Arial"/>
          <w:sz w:val="24"/>
          <w:szCs w:val="24"/>
          <w:lang w:eastAsia="en-US"/>
        </w:rPr>
        <w:fldChar w:fldCharType="separate"/>
      </w:r>
      <w:r>
        <w:rPr>
          <w:rFonts w:ascii="Arial" w:hAnsi="Arial" w:cs="Arial"/>
          <w:sz w:val="24"/>
        </w:rPr>
        <w:t>(Stark, 2014)</w:t>
      </w:r>
      <w:r>
        <w:rPr>
          <w:rFonts w:ascii="Arial" w:eastAsiaTheme="minorHAnsi" w:hAnsi="Arial" w:cs="Arial"/>
          <w:sz w:val="24"/>
          <w:szCs w:val="24"/>
          <w:lang w:eastAsia="en-US"/>
        </w:rPr>
        <w:fldChar w:fldCharType="end"/>
      </w:r>
      <w:r>
        <w:rPr>
          <w:rFonts w:ascii="Arial" w:eastAsiaTheme="minorHAnsi" w:hAnsi="Arial" w:cs="Arial"/>
          <w:sz w:val="24"/>
          <w:szCs w:val="24"/>
          <w:lang w:eastAsia="en-US"/>
        </w:rPr>
        <w:t>. Usually, a person has a duty to do something because of a law or because of a contract. A few illustrations are:</w:t>
      </w:r>
    </w:p>
    <w:p w14:paraId="6D2724C4" w14:textId="77777777" w:rsidR="00F63FDB" w:rsidRDefault="00F63FDB" w:rsidP="00F63FDB">
      <w:pPr>
        <w:pStyle w:val="ListParagraph"/>
        <w:spacing w:line="360" w:lineRule="auto"/>
        <w:rPr>
          <w:rFonts w:ascii="Arial" w:eastAsiaTheme="minorHAnsi" w:hAnsi="Arial" w:cs="Arial"/>
          <w:sz w:val="24"/>
          <w:szCs w:val="24"/>
          <w:lang w:eastAsia="en-US"/>
        </w:rPr>
      </w:pPr>
      <w:r>
        <w:rPr>
          <w:rFonts w:ascii="Arial" w:eastAsiaTheme="minorHAnsi" w:hAnsi="Arial" w:cs="Arial"/>
          <w:sz w:val="24"/>
          <w:szCs w:val="24"/>
          <w:lang w:eastAsia="en-US"/>
        </w:rPr>
        <w:t>Responsibility of a physician toward patients</w:t>
      </w:r>
    </w:p>
    <w:p w14:paraId="11BA6374" w14:textId="77777777" w:rsidR="00F63FDB" w:rsidRDefault="00F63FDB" w:rsidP="00F63FDB">
      <w:pPr>
        <w:pStyle w:val="ListParagraph"/>
        <w:spacing w:line="360" w:lineRule="auto"/>
        <w:rPr>
          <w:rFonts w:ascii="Arial" w:eastAsiaTheme="minorHAnsi" w:hAnsi="Arial" w:cs="Arial"/>
          <w:sz w:val="24"/>
          <w:szCs w:val="24"/>
          <w:lang w:eastAsia="en-US"/>
        </w:rPr>
      </w:pPr>
      <w:r>
        <w:rPr>
          <w:rFonts w:ascii="Arial" w:eastAsiaTheme="minorHAnsi" w:hAnsi="Arial" w:cs="Arial"/>
          <w:sz w:val="24"/>
          <w:szCs w:val="24"/>
          <w:lang w:eastAsia="en-US"/>
        </w:rPr>
        <w:t>It is the host's responsibility to ensure the safety of anybody on his property at the host's invitation.</w:t>
      </w:r>
    </w:p>
    <w:p w14:paraId="36860114" w14:textId="77777777" w:rsidR="00F63FDB" w:rsidRDefault="00F63FDB" w:rsidP="00F63FDB">
      <w:pPr>
        <w:pStyle w:val="ListParagraph"/>
        <w:spacing w:line="360" w:lineRule="auto"/>
        <w:rPr>
          <w:rFonts w:ascii="Arial" w:eastAsiaTheme="minorHAnsi" w:hAnsi="Arial" w:cs="Arial"/>
          <w:sz w:val="24"/>
          <w:szCs w:val="24"/>
          <w:lang w:eastAsia="en-US"/>
        </w:rPr>
      </w:pPr>
    </w:p>
    <w:p w14:paraId="4DE42EFC" w14:textId="77777777" w:rsidR="00F63FDB" w:rsidRDefault="00F63FDB" w:rsidP="00F63FDB">
      <w:pPr>
        <w:pStyle w:val="ListParagraph"/>
        <w:spacing w:line="360" w:lineRule="auto"/>
        <w:rPr>
          <w:rFonts w:ascii="Arial" w:eastAsiaTheme="minorHAnsi" w:hAnsi="Arial" w:cs="Arial"/>
          <w:sz w:val="24"/>
          <w:szCs w:val="24"/>
          <w:lang w:eastAsia="en-US"/>
        </w:rPr>
      </w:pPr>
      <w:r>
        <w:rPr>
          <w:rFonts w:ascii="Arial" w:eastAsiaTheme="minorHAnsi" w:hAnsi="Arial" w:cs="Arial"/>
          <w:sz w:val="24"/>
          <w:szCs w:val="24"/>
          <w:lang w:eastAsia="en-US"/>
        </w:rPr>
        <w:t>Fire safety exits are a responsibility of the restaurant owner.</w:t>
      </w:r>
    </w:p>
    <w:p w14:paraId="45EB67C4" w14:textId="77777777" w:rsidR="00F63FDB" w:rsidRDefault="00F63FDB" w:rsidP="00F63FDB">
      <w:pPr>
        <w:pStyle w:val="ListParagraph"/>
        <w:spacing w:line="360" w:lineRule="auto"/>
        <w:jc w:val="both"/>
        <w:rPr>
          <w:rFonts w:ascii="Arial" w:hAnsi="Arial" w:cs="Arial"/>
          <w:sz w:val="24"/>
          <w:szCs w:val="24"/>
        </w:rPr>
      </w:pPr>
      <w:r>
        <w:rPr>
          <w:rFonts w:ascii="Arial" w:eastAsiaTheme="minorHAnsi" w:hAnsi="Arial" w:cs="Arial"/>
          <w:sz w:val="24"/>
          <w:szCs w:val="24"/>
          <w:lang w:eastAsia="en-US"/>
        </w:rPr>
        <w:t>A parent has an obligation to take reasonable precautions to protect his children and to keep them from causing harm to others. No duty to take action exists unless expressly stated otherwise by law or a written agreement. The assumption of responsibility for another, however, may give birth to an obligation.</w:t>
      </w:r>
    </w:p>
    <w:p w14:paraId="72F8AB75" w14:textId="77777777" w:rsidR="00F63FDB" w:rsidRDefault="00F63FDB" w:rsidP="00F63FDB">
      <w:pPr>
        <w:pStyle w:val="ListParagraph"/>
        <w:spacing w:line="360" w:lineRule="auto"/>
        <w:jc w:val="both"/>
        <w:rPr>
          <w:rFonts w:ascii="Arial" w:hAnsi="Arial" w:cs="Arial"/>
          <w:sz w:val="24"/>
          <w:szCs w:val="24"/>
        </w:rPr>
      </w:pPr>
    </w:p>
    <w:p w14:paraId="48D69EDD" w14:textId="77777777" w:rsidR="00F63FDB" w:rsidRDefault="00F63FDB" w:rsidP="00F63FDB">
      <w:pPr>
        <w:pStyle w:val="Heading2"/>
        <w:numPr>
          <w:ilvl w:val="1"/>
          <w:numId w:val="2"/>
        </w:numPr>
        <w:rPr>
          <w:rFonts w:ascii="Arial" w:hAnsi="Arial" w:cs="Arial"/>
        </w:rPr>
      </w:pPr>
      <w:bookmarkStart w:id="6" w:name="_Toc118841723"/>
      <w:bookmarkStart w:id="7" w:name="_Toc118841948"/>
      <w:r>
        <w:rPr>
          <w:rFonts w:ascii="Arial" w:hAnsi="Arial" w:cs="Arial"/>
        </w:rPr>
        <w:lastRenderedPageBreak/>
        <w:t>Requirements for a crime to be committed by omission</w:t>
      </w:r>
      <w:bookmarkEnd w:id="6"/>
      <w:bookmarkEnd w:id="7"/>
    </w:p>
    <w:p w14:paraId="6C996BC2" w14:textId="77777777" w:rsidR="00F63FDB" w:rsidRDefault="00F63FDB" w:rsidP="00F63FDB">
      <w:pPr>
        <w:spacing w:line="360" w:lineRule="auto"/>
        <w:rPr>
          <w:rFonts w:ascii="Arial" w:hAnsi="Arial" w:cs="Arial"/>
          <w:b/>
          <w:bCs/>
          <w:szCs w:val="24"/>
        </w:rPr>
      </w:pPr>
      <w:r>
        <w:rPr>
          <w:rFonts w:ascii="Arial" w:hAnsi="Arial" w:cs="Arial"/>
          <w:szCs w:val="24"/>
        </w:rPr>
        <w:t>Penal culpability for an absence is only possible if we can refute the view that individuals should be free to make their own decisions and act in their own self-interest. Accepting a duty, whether self-inflicted or enforced by others, is the quickest and most direct way to fulfil this requirement. However, where there is a duty to prevent the harm and no action is taken, criminal culpability can be shown</w:t>
      </w:r>
      <w:r>
        <w:rPr>
          <w:rFonts w:ascii="Arial" w:hAnsi="Arial" w:cs="Arial"/>
          <w:szCs w:val="24"/>
        </w:rPr>
        <w:fldChar w:fldCharType="begin"/>
      </w:r>
      <w:r>
        <w:rPr>
          <w:rFonts w:ascii="Arial" w:hAnsi="Arial" w:cs="Arial"/>
          <w:szCs w:val="24"/>
        </w:rPr>
        <w:instrText xml:space="preserve"> ADDIN ZOTERO_ITEM CSL_CITATION {"citationID":"aH4UvZUL","properties":{"formattedCitation":"(Baker, 2010)","plainCitation":"(Baker, 2010)","noteIndex":0},"citationItems":[{"id":277,"uris":["http://zotero.org/users/10480388/items/44MVRA5M"],"itemData":{"id":277,"type":"article-journal","container-title":"The Journal of Criminal Law","DOI":"10.1350/jcla.2010.74.4.645","ISSN":"0022-0183, 1740-5580","issue":"4","journalAbbreviation":"The Journal of Criminal Law","language":"en","page":"310-320","source":"DOI.org (Crossref)","title":"Omissions Liability for Homicide Offences: Reconciling R v Kennedy with R v Evans","title-short":"Omissions Liability for Homicide Offences","volume":"74","author":[{"family":"Baker","given":"Dennis J."}],"issued":{"date-parts":[["2010",8]]}}}],"schema":"https://github.com/citation-style-language/schema/raw/master/csl-citation.json"} </w:instrText>
      </w:r>
      <w:r>
        <w:rPr>
          <w:rFonts w:ascii="Arial" w:hAnsi="Arial" w:cs="Arial"/>
          <w:szCs w:val="24"/>
        </w:rPr>
        <w:fldChar w:fldCharType="separate"/>
      </w:r>
      <w:r>
        <w:rPr>
          <w:rFonts w:ascii="Arial" w:hAnsi="Arial" w:cs="Arial"/>
        </w:rPr>
        <w:t>(Baker, 2010)</w:t>
      </w:r>
      <w:r>
        <w:rPr>
          <w:rFonts w:ascii="Arial" w:hAnsi="Arial" w:cs="Arial"/>
          <w:szCs w:val="24"/>
        </w:rPr>
        <w:fldChar w:fldCharType="end"/>
      </w:r>
      <w:r>
        <w:rPr>
          <w:rFonts w:ascii="Arial" w:hAnsi="Arial" w:cs="Arial"/>
          <w:szCs w:val="24"/>
        </w:rPr>
        <w:t>.</w:t>
      </w:r>
    </w:p>
    <w:p w14:paraId="54C7EBC2" w14:textId="77777777" w:rsidR="00F63FDB" w:rsidRPr="004A7A85" w:rsidRDefault="00F63FDB" w:rsidP="00F63FDB">
      <w:pPr>
        <w:pStyle w:val="Heading1"/>
        <w:keepNext w:val="0"/>
        <w:keepLines w:val="0"/>
        <w:numPr>
          <w:ilvl w:val="0"/>
          <w:numId w:val="2"/>
        </w:numPr>
        <w:spacing w:before="0" w:after="160" w:line="480" w:lineRule="auto"/>
        <w:jc w:val="both"/>
        <w:rPr>
          <w:rFonts w:ascii="Arial" w:eastAsiaTheme="minorHAnsi" w:hAnsi="Arial"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18841724"/>
      <w:bookmarkStart w:id="9" w:name="_Toc118841949"/>
      <w:r w:rsidRPr="004A7A85">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Criminal Liability will be Upheld for Failing to Act</w:t>
      </w:r>
      <w:bookmarkEnd w:id="8"/>
      <w:bookmarkEnd w:id="9"/>
    </w:p>
    <w:p w14:paraId="14AC5C1A" w14:textId="77777777" w:rsidR="00F63FDB" w:rsidRDefault="00F63FDB" w:rsidP="00F63FDB">
      <w:pPr>
        <w:spacing w:after="0" w:line="360" w:lineRule="auto"/>
        <w:ind w:firstLine="851"/>
        <w:rPr>
          <w:rFonts w:ascii="Arial" w:hAnsi="Arial" w:cs="Arial"/>
          <w:szCs w:val="24"/>
        </w:rPr>
      </w:pPr>
    </w:p>
    <w:p w14:paraId="33561721" w14:textId="77777777" w:rsidR="00F63FDB" w:rsidRDefault="00F63FDB" w:rsidP="00F63FDB">
      <w:pPr>
        <w:pStyle w:val="Heading2"/>
        <w:numPr>
          <w:ilvl w:val="1"/>
          <w:numId w:val="2"/>
        </w:numPr>
        <w:rPr>
          <w:rFonts w:ascii="Arial" w:hAnsi="Arial" w:cs="Arial"/>
        </w:rPr>
      </w:pPr>
      <w:bookmarkStart w:id="10" w:name="_Toc118841725"/>
      <w:bookmarkStart w:id="11" w:name="_Toc118841950"/>
      <w:r>
        <w:rPr>
          <w:rFonts w:ascii="Arial" w:hAnsi="Arial" w:cs="Arial"/>
        </w:rPr>
        <w:t>When a statutory duty to act be present</w:t>
      </w:r>
      <w:bookmarkEnd w:id="10"/>
      <w:bookmarkEnd w:id="11"/>
    </w:p>
    <w:p w14:paraId="08C223FC" w14:textId="77777777" w:rsidR="00F63FDB" w:rsidRDefault="00F63FDB" w:rsidP="00F63FDB">
      <w:pPr>
        <w:pStyle w:val="ListParagraph"/>
        <w:spacing w:line="360" w:lineRule="auto"/>
        <w:ind w:left="0" w:firstLine="851"/>
        <w:jc w:val="both"/>
        <w:rPr>
          <w:rFonts w:ascii="Arial" w:hAnsi="Arial" w:cs="Arial"/>
          <w:sz w:val="24"/>
          <w:szCs w:val="24"/>
          <w:lang w:val="en-US"/>
        </w:rPr>
      </w:pPr>
      <w:r>
        <w:rPr>
          <w:rFonts w:ascii="Arial" w:hAnsi="Arial" w:cs="Arial"/>
          <w:sz w:val="24"/>
          <w:szCs w:val="24"/>
        </w:rPr>
        <w:t xml:space="preserve">While </w:t>
      </w:r>
      <w:proofErr w:type="spellStart"/>
      <w:r>
        <w:rPr>
          <w:rFonts w:ascii="Arial" w:hAnsi="Arial" w:cs="Arial"/>
          <w:sz w:val="24"/>
          <w:szCs w:val="24"/>
        </w:rPr>
        <w:t>Uk</w:t>
      </w:r>
      <w:proofErr w:type="spellEnd"/>
      <w:r>
        <w:rPr>
          <w:rFonts w:ascii="Arial" w:hAnsi="Arial" w:cs="Arial"/>
          <w:sz w:val="24"/>
          <w:szCs w:val="24"/>
        </w:rPr>
        <w:t xml:space="preserve"> doesn't really place wide-ranging responsibilities on its inhabitants, criminal responsibility is required in specific situations when liberty and soul must be overweighed by the law </w:t>
      </w:r>
      <w:r>
        <w:rPr>
          <w:rFonts w:ascii="Arial" w:hAnsi="Arial" w:cs="Arial"/>
          <w:sz w:val="24"/>
          <w:szCs w:val="24"/>
        </w:rPr>
        <w:fldChar w:fldCharType="begin"/>
      </w:r>
      <w:r>
        <w:rPr>
          <w:rFonts w:ascii="Arial" w:hAnsi="Arial" w:cs="Arial"/>
          <w:sz w:val="24"/>
          <w:szCs w:val="24"/>
        </w:rPr>
        <w:instrText xml:space="preserve"> ADDIN ZOTERO_ITEM CSL_CITATION {"citationID":"hNeH4zAp","properties":{"formattedCitation":"(Elliott, 2010)","plainCitation":"(Elliott, 2010)","noteIndex":0},"citationItems":[{"id":275,"uris":["http://zotero.org/users/10480388/items/2WV3SISJ"],"itemData":{"id":275,"type":"article-journal","abstract":"By removing the common law rules on a duty to act from liability for manslaughter by omission, the law would more accurately reflect the intention of the House of Lords in R v Adomako (1995). The current duplicitous requirement of both a duty to act and a duty of care appears to be confusing both the trial judge and the jury. The causing of a harm by an omission does not automatically mean the conduct was less morally reprehensible than where harm is caused by an act and this reform would therefore potentially bring the law more closely into line with society's moral values. The law would be rendered clearer and simpler and injustices would be avoided due to the other requirements of the Law Commission's proposed offence of killing by gross carelessness, including causation and gross carelessness. Through this reform justice could at last be offered should a stranger choose to walk by a drowning baby.","container-title":"The Journal of Criminal Law","DOI":"10.1350/jcla.2010.74.2.627","ISSN":"0022-0183, 1740-5580","issue":"2","journalAbbreviation":"The Journal of Criminal Law","language":"en","page":"163-179","source":"DOI.org (Crossref)","title":"Liability for Manslaughter by Omission: Don't Let the Baby Drown!","title-short":"Liability for Manslaughter by Omission","volume":"74","author":[{"family":"Elliott","given":"Catherine"}],"issued":{"date-parts":[["2010",4]]}}}],"schema":"https://github.com/citation-style-language/schema/raw/master/csl-citation.json"} </w:instrText>
      </w:r>
      <w:r>
        <w:rPr>
          <w:rFonts w:ascii="Arial" w:hAnsi="Arial" w:cs="Arial"/>
          <w:sz w:val="24"/>
          <w:szCs w:val="24"/>
        </w:rPr>
        <w:fldChar w:fldCharType="separate"/>
      </w:r>
      <w:r>
        <w:rPr>
          <w:rFonts w:ascii="Arial" w:hAnsi="Arial" w:cs="Arial"/>
          <w:sz w:val="24"/>
        </w:rPr>
        <w:t>(Elliott, 2010)</w:t>
      </w:r>
      <w:r>
        <w:rPr>
          <w:rFonts w:ascii="Arial" w:hAnsi="Arial" w:cs="Arial"/>
          <w:sz w:val="24"/>
          <w:szCs w:val="24"/>
        </w:rPr>
        <w:fldChar w:fldCharType="end"/>
      </w:r>
      <w:r>
        <w:rPr>
          <w:rFonts w:ascii="Arial" w:hAnsi="Arial" w:cs="Arial"/>
          <w:sz w:val="24"/>
          <w:szCs w:val="24"/>
        </w:rPr>
        <w:t xml:space="preserve">. In close familial connections, the Child's and Young Persons Act 1933 requires parents to even provide lawfully dependants with enough food and other essentials. In </w:t>
      </w:r>
      <w:r>
        <w:rPr>
          <w:rFonts w:ascii="Arial" w:hAnsi="Arial" w:cs="Arial"/>
        </w:rPr>
        <w:t xml:space="preserve"> </w:t>
      </w:r>
      <w:r>
        <w:rPr>
          <w:rFonts w:ascii="Arial" w:hAnsi="Arial" w:cs="Arial"/>
          <w:sz w:val="24"/>
          <w:szCs w:val="24"/>
        </w:rPr>
        <w:t>R v Gibbins and Proctor (1918) 13 Cr App, a man and his partner starved his kid. Both guilty of murder because a parent's obligation to a small kid was ego and required no study or authorities, and his girlfriend had taken facto custody rights. R v Shepherd (1988) 86 Cr App R 47 concluded that an 18-year-old daughter owed no obligation, implying that paternal duty may stop once a child reaches legal age. It's uncertain how far judges will stretch familial responsibilities. R. v. Smith (Thomas Joseph) [1959] ruled that one brother is not required to feed the other.</w:t>
      </w:r>
    </w:p>
    <w:p w14:paraId="1AEB299B" w14:textId="77777777" w:rsidR="00F63FDB" w:rsidRDefault="00F63FDB" w:rsidP="00F63FDB">
      <w:pPr>
        <w:pStyle w:val="ListParagraph"/>
        <w:spacing w:line="360" w:lineRule="auto"/>
        <w:ind w:left="0" w:firstLine="851"/>
        <w:jc w:val="both"/>
        <w:rPr>
          <w:rFonts w:ascii="Arial" w:hAnsi="Arial" w:cs="Arial"/>
          <w:sz w:val="24"/>
          <w:szCs w:val="24"/>
        </w:rPr>
      </w:pPr>
    </w:p>
    <w:p w14:paraId="4AA7D57B" w14:textId="77777777" w:rsidR="00F63FDB" w:rsidRDefault="00F63FDB" w:rsidP="00F63FDB">
      <w:pPr>
        <w:pStyle w:val="Heading2"/>
        <w:numPr>
          <w:ilvl w:val="1"/>
          <w:numId w:val="2"/>
        </w:numPr>
        <w:rPr>
          <w:rFonts w:ascii="Arial" w:hAnsi="Arial" w:cs="Arial"/>
        </w:rPr>
      </w:pPr>
      <w:bookmarkStart w:id="12" w:name="_Toc118841726"/>
      <w:bookmarkStart w:id="13" w:name="_Toc118841951"/>
      <w:r>
        <w:rPr>
          <w:rFonts w:ascii="Arial" w:hAnsi="Arial" w:cs="Arial"/>
        </w:rPr>
        <w:t>When a contractual/ duty based on office be present</w:t>
      </w:r>
      <w:bookmarkEnd w:id="12"/>
      <w:bookmarkEnd w:id="13"/>
    </w:p>
    <w:p w14:paraId="23B5B60A" w14:textId="77777777" w:rsidR="00F63FDB" w:rsidRDefault="00F63FDB" w:rsidP="00F63FDB">
      <w:pPr>
        <w:spacing w:line="360" w:lineRule="auto"/>
        <w:ind w:firstLine="851"/>
        <w:rPr>
          <w:rFonts w:ascii="Arial" w:hAnsi="Arial" w:cs="Arial"/>
          <w:szCs w:val="24"/>
        </w:rPr>
      </w:pPr>
      <w:r>
        <w:rPr>
          <w:rFonts w:ascii="Arial" w:hAnsi="Arial" w:cs="Arial"/>
          <w:szCs w:val="24"/>
        </w:rPr>
        <w:t xml:space="preserve">Police personnel have an obligation to help citizens in need. In R v </w:t>
      </w:r>
      <w:proofErr w:type="spellStart"/>
      <w:r>
        <w:rPr>
          <w:rFonts w:ascii="Arial" w:hAnsi="Arial" w:cs="Arial"/>
          <w:szCs w:val="24"/>
        </w:rPr>
        <w:t>Dytham</w:t>
      </w:r>
      <w:proofErr w:type="spellEnd"/>
      <w:r>
        <w:rPr>
          <w:rFonts w:ascii="Arial" w:hAnsi="Arial" w:cs="Arial"/>
          <w:szCs w:val="24"/>
        </w:rPr>
        <w:t xml:space="preserve"> [1979] Q.B. 722, Lord Widgery said, "The charge was not of outnumbered but of purposeful failure and wilful negligence," against the public interests, asking for censure and penalty after he refused to safeguard the Queen's peace.</w:t>
      </w:r>
    </w:p>
    <w:p w14:paraId="0D1555C2" w14:textId="77777777" w:rsidR="00F63FDB" w:rsidRDefault="00F63FDB" w:rsidP="00F63FDB">
      <w:pPr>
        <w:spacing w:line="360" w:lineRule="auto"/>
        <w:ind w:firstLine="851"/>
        <w:rPr>
          <w:rFonts w:ascii="Arial" w:hAnsi="Arial" w:cs="Arial"/>
          <w:szCs w:val="24"/>
        </w:rPr>
      </w:pPr>
      <w:r>
        <w:rPr>
          <w:rFonts w:ascii="Arial" w:hAnsi="Arial" w:cs="Arial"/>
          <w:szCs w:val="24"/>
        </w:rPr>
        <w:t xml:space="preserve">Since agreements are private arrangements without any outside terms of the law, courts have indeed been hesitant to criminalise scope of work. R v </w:t>
      </w:r>
      <w:proofErr w:type="spellStart"/>
      <w:r>
        <w:rPr>
          <w:rFonts w:ascii="Arial" w:hAnsi="Arial" w:cs="Arial"/>
          <w:szCs w:val="24"/>
        </w:rPr>
        <w:t>Pittwood</w:t>
      </w:r>
      <w:proofErr w:type="spellEnd"/>
      <w:r>
        <w:rPr>
          <w:rFonts w:ascii="Arial" w:hAnsi="Arial" w:cs="Arial"/>
          <w:szCs w:val="24"/>
        </w:rPr>
        <w:t xml:space="preserve"> (1902) 19 TLR 37 found that while D's obligation was to his employer, his contractual breach threatened the </w:t>
      </w:r>
      <w:r>
        <w:rPr>
          <w:rFonts w:ascii="Arial" w:hAnsi="Arial" w:cs="Arial"/>
          <w:szCs w:val="24"/>
        </w:rPr>
        <w:lastRenderedPageBreak/>
        <w:t xml:space="preserve">public, establishing authority that "a man can acquire criminal culpability from a contractual duty." </w:t>
      </w:r>
      <w:proofErr w:type="spellStart"/>
      <w:r>
        <w:rPr>
          <w:rFonts w:ascii="Arial" w:hAnsi="Arial" w:cs="Arial"/>
          <w:szCs w:val="24"/>
        </w:rPr>
        <w:t>McAlhone</w:t>
      </w:r>
      <w:proofErr w:type="spellEnd"/>
      <w:r>
        <w:rPr>
          <w:rFonts w:ascii="Arial" w:hAnsi="Arial" w:cs="Arial"/>
          <w:szCs w:val="24"/>
        </w:rPr>
        <w:t xml:space="preserve"> says a comparable scenario today may be governed by the Miller principle.</w:t>
      </w:r>
    </w:p>
    <w:p w14:paraId="0687A8D4" w14:textId="77777777" w:rsidR="00F63FDB" w:rsidRDefault="00F63FDB" w:rsidP="00F63FDB">
      <w:pPr>
        <w:spacing w:after="0" w:line="360" w:lineRule="auto"/>
        <w:rPr>
          <w:rFonts w:ascii="Arial" w:hAnsi="Arial" w:cs="Arial"/>
          <w:szCs w:val="24"/>
        </w:rPr>
      </w:pPr>
    </w:p>
    <w:p w14:paraId="1D648D15" w14:textId="77777777" w:rsidR="00F63FDB" w:rsidRDefault="00F63FDB" w:rsidP="00F63FDB">
      <w:pPr>
        <w:pStyle w:val="Heading2"/>
        <w:numPr>
          <w:ilvl w:val="1"/>
          <w:numId w:val="2"/>
        </w:numPr>
        <w:rPr>
          <w:rFonts w:ascii="Arial" w:hAnsi="Arial" w:cs="Arial"/>
        </w:rPr>
      </w:pPr>
      <w:bookmarkStart w:id="14" w:name="_Toc118841727"/>
      <w:bookmarkStart w:id="15" w:name="_Toc118841952"/>
      <w:r>
        <w:rPr>
          <w:rFonts w:ascii="Arial" w:hAnsi="Arial" w:cs="Arial"/>
        </w:rPr>
        <w:t>Assumption of responsibility</w:t>
      </w:r>
      <w:bookmarkEnd w:id="14"/>
      <w:bookmarkEnd w:id="15"/>
    </w:p>
    <w:p w14:paraId="35851DB8" w14:textId="77777777" w:rsidR="00F63FDB" w:rsidRDefault="00F63FDB" w:rsidP="00F63FDB">
      <w:pPr>
        <w:spacing w:after="0" w:line="360" w:lineRule="auto"/>
        <w:rPr>
          <w:rFonts w:ascii="Arial" w:hAnsi="Arial" w:cs="Arial"/>
          <w:szCs w:val="24"/>
        </w:rPr>
      </w:pPr>
      <w:r>
        <w:rPr>
          <w:rFonts w:ascii="Arial" w:hAnsi="Arial" w:cs="Arial"/>
          <w:szCs w:val="24"/>
        </w:rPr>
        <w:t>Penal law's use of obligation in "lack of action" resembles civil law. In terms of the law, the plaintiff's duty for the perpetrator's health is more important than their intimacy. R v Stone &amp; Dobinson [1977] 1 QB 354 didn't impose a sibling responsibility. When she moved into their home, they knowingly and willingly presumed a responsibility to care for her</w:t>
      </w:r>
      <w:r>
        <w:rPr>
          <w:rFonts w:ascii="Arial" w:hAnsi="Arial" w:cs="Arial"/>
          <w:szCs w:val="24"/>
        </w:rPr>
        <w:fldChar w:fldCharType="begin"/>
      </w:r>
      <w:r>
        <w:rPr>
          <w:rFonts w:ascii="Arial" w:hAnsi="Arial" w:cs="Arial"/>
          <w:szCs w:val="24"/>
        </w:rPr>
        <w:instrText xml:space="preserve"> ADDIN ZOTERO_ITEM CSL_CITATION {"citationID":"0Vd8uFOr","properties":{"formattedCitation":"(Ormerod, 2008)","plainCitation":"(Ormerod, 2008)","noteIndex":0},"citationItems":[{"id":273,"uris":["http://zotero.org/users/10480388/items/CJ8FTKA5"],"itemData":{"id":273,"type":"article-journal","journalAbbreviation":"LR","title":"Acts and omissions - a distinction without a difference?","volume":"39","author":[{"family":"","given":"Tracey"},{"family":"Ormerod","given":"David"}],"issued":{"date-parts":[["2008"]]}}}],"schema":"https://github.com/citation-style-language/schema/raw/master/csl-citation.json"} </w:instrText>
      </w:r>
      <w:r>
        <w:rPr>
          <w:rFonts w:ascii="Arial" w:hAnsi="Arial" w:cs="Arial"/>
          <w:szCs w:val="24"/>
        </w:rPr>
        <w:fldChar w:fldCharType="separate"/>
      </w:r>
      <w:r>
        <w:rPr>
          <w:rFonts w:ascii="Arial" w:hAnsi="Arial" w:cs="Arial"/>
        </w:rPr>
        <w:t>(Ormerod, 2008)</w:t>
      </w:r>
      <w:r>
        <w:rPr>
          <w:rFonts w:ascii="Arial" w:hAnsi="Arial" w:cs="Arial"/>
          <w:szCs w:val="24"/>
        </w:rPr>
        <w:fldChar w:fldCharType="end"/>
      </w:r>
      <w:r>
        <w:rPr>
          <w:rFonts w:ascii="Arial" w:hAnsi="Arial" w:cs="Arial"/>
          <w:szCs w:val="24"/>
        </w:rPr>
        <w:t>. The Court of Appeal affirmed their murder verdicts but drew criticism for describing the convicts as "completely ineffective and incompetent." This pretty contentious consider this option a source of misunderstanding as it is unclear what precisely formed the duty, the physiological connection, or the assumption of responsibility for the victim's welfare.</w:t>
      </w:r>
    </w:p>
    <w:p w14:paraId="4ED1F36F" w14:textId="77777777" w:rsidR="00F63FDB" w:rsidRDefault="00F63FDB" w:rsidP="00F63FDB">
      <w:pPr>
        <w:spacing w:after="0" w:line="360" w:lineRule="auto"/>
        <w:rPr>
          <w:rFonts w:ascii="Arial" w:eastAsiaTheme="minorEastAsia" w:hAnsi="Arial" w:cs="Arial"/>
          <w:szCs w:val="24"/>
          <w:lang w:val="en-US"/>
        </w:rPr>
      </w:pPr>
      <w:r>
        <w:rPr>
          <w:rFonts w:ascii="Arial" w:hAnsi="Arial" w:cs="Arial"/>
          <w:szCs w:val="24"/>
        </w:rPr>
        <w:t>In R v Hood [2004] 1 Cr App R (s) 73, a spouse can be published from an obligation if the victim can make logical social assistance decisions.</w:t>
      </w:r>
    </w:p>
    <w:p w14:paraId="6774D020" w14:textId="77777777" w:rsidR="00F63FDB" w:rsidRDefault="00F63FDB" w:rsidP="00F63FDB">
      <w:pPr>
        <w:pStyle w:val="Heading2"/>
        <w:numPr>
          <w:ilvl w:val="1"/>
          <w:numId w:val="2"/>
        </w:numPr>
        <w:rPr>
          <w:rFonts w:ascii="Arial" w:eastAsiaTheme="minorEastAsia" w:hAnsi="Arial" w:cs="Arial"/>
          <w:lang w:val="en-US"/>
        </w:rPr>
      </w:pPr>
      <w:bookmarkStart w:id="16" w:name="_Toc118841728"/>
      <w:bookmarkStart w:id="17" w:name="_Toc118841953"/>
      <w:r>
        <w:rPr>
          <w:rFonts w:ascii="Arial" w:hAnsi="Arial" w:cs="Arial"/>
        </w:rPr>
        <w:t>A professional responsibility:</w:t>
      </w:r>
      <w:bookmarkEnd w:id="16"/>
      <w:bookmarkEnd w:id="17"/>
    </w:p>
    <w:p w14:paraId="07613D8F" w14:textId="77777777" w:rsidR="00F63FDB" w:rsidRDefault="00F63FDB" w:rsidP="00F63FDB">
      <w:pPr>
        <w:spacing w:after="0" w:line="360" w:lineRule="auto"/>
        <w:ind w:firstLine="851"/>
        <w:rPr>
          <w:rFonts w:ascii="Arial" w:hAnsi="Arial" w:cs="Arial"/>
          <w:szCs w:val="24"/>
        </w:rPr>
      </w:pPr>
      <w:r>
        <w:rPr>
          <w:rFonts w:ascii="Arial" w:hAnsi="Arial" w:cs="Arial"/>
          <w:szCs w:val="24"/>
        </w:rPr>
        <w:t>A physician who keeps failing to treat a client is another example of a circumstance where inaction is viewed as an act. In each of these cases, the overall independence assertion doesn't really apply, so criminal responsibility may be essential and inaction may be enough to trigger it.</w:t>
      </w:r>
    </w:p>
    <w:p w14:paraId="388359F0" w14:textId="77777777" w:rsidR="00F63FDB" w:rsidRDefault="00F63FDB" w:rsidP="00F63FDB">
      <w:pPr>
        <w:spacing w:after="0" w:line="360" w:lineRule="auto"/>
        <w:ind w:firstLine="851"/>
        <w:rPr>
          <w:rFonts w:ascii="Arial" w:hAnsi="Arial" w:cs="Arial"/>
          <w:szCs w:val="24"/>
        </w:rPr>
      </w:pPr>
      <w:r>
        <w:rPr>
          <w:rFonts w:ascii="Arial" w:hAnsi="Arial" w:cs="Arial"/>
          <w:szCs w:val="24"/>
        </w:rPr>
        <w:t>What is a physician's duty? Under Airedale NHS Trust v Bland [1993] A.C. 789, a physician's duty is not to maintain a patient, but to make sensible efforts inside the patient's best interests. R (Nicklinson) v. Ministry of Justice illustrates the difficult balance in doctor-patient cases. Lord Neuberger distinguished between assisted suicide (murder) and aiding murder. The particular instance result indicates that professionals will probably face trial if they aid in suicidal behaviour under DPP guidance.</w:t>
      </w:r>
    </w:p>
    <w:p w14:paraId="221E0E80" w14:textId="77777777" w:rsidR="00F63FDB" w:rsidRDefault="00F63FDB" w:rsidP="00F63FDB">
      <w:pPr>
        <w:spacing w:after="0" w:line="360" w:lineRule="auto"/>
        <w:ind w:firstLine="851"/>
        <w:rPr>
          <w:rFonts w:ascii="Arial" w:hAnsi="Arial" w:cs="Arial"/>
          <w:szCs w:val="24"/>
        </w:rPr>
      </w:pPr>
    </w:p>
    <w:p w14:paraId="761F14D2" w14:textId="77777777" w:rsidR="00F63FDB" w:rsidRDefault="00F63FDB" w:rsidP="00F63FDB">
      <w:pPr>
        <w:pStyle w:val="Heading2"/>
        <w:numPr>
          <w:ilvl w:val="1"/>
          <w:numId w:val="2"/>
        </w:numPr>
        <w:rPr>
          <w:rFonts w:ascii="Arial" w:hAnsi="Arial" w:cs="Arial"/>
        </w:rPr>
      </w:pPr>
      <w:bookmarkStart w:id="18" w:name="_Toc118841729"/>
      <w:bookmarkStart w:id="19" w:name="_Toc118841954"/>
      <w:r>
        <w:rPr>
          <w:rFonts w:ascii="Arial" w:hAnsi="Arial" w:cs="Arial"/>
        </w:rPr>
        <w:t>Creating harm:</w:t>
      </w:r>
      <w:bookmarkEnd w:id="18"/>
      <w:bookmarkEnd w:id="19"/>
      <w:r>
        <w:rPr>
          <w:rFonts w:ascii="Arial" w:hAnsi="Arial" w:cs="Arial"/>
        </w:rPr>
        <w:t xml:space="preserve"> </w:t>
      </w:r>
    </w:p>
    <w:p w14:paraId="216EB1B4" w14:textId="77777777" w:rsidR="00F63FDB" w:rsidRDefault="00F63FDB" w:rsidP="00F63FDB">
      <w:pPr>
        <w:spacing w:after="0" w:line="360" w:lineRule="auto"/>
        <w:ind w:firstLine="851"/>
        <w:rPr>
          <w:rFonts w:ascii="Arial" w:hAnsi="Arial" w:cs="Arial"/>
          <w:szCs w:val="24"/>
        </w:rPr>
      </w:pPr>
      <w:r>
        <w:rPr>
          <w:rFonts w:ascii="Arial" w:hAnsi="Arial" w:cs="Arial"/>
          <w:szCs w:val="24"/>
        </w:rPr>
        <w:t>If the defendant has a unique connection to the injury, for example, then their inaction may be enough to establish criminal culpability. An insomniac guy lights his mattress on fire with a cigarette in</w:t>
      </w:r>
      <w:r>
        <w:rPr>
          <w:rFonts w:ascii="Arial" w:hAnsi="Arial" w:cs="Arial"/>
        </w:rPr>
        <w:t xml:space="preserve"> </w:t>
      </w:r>
      <w:r>
        <w:rPr>
          <w:rFonts w:ascii="Arial" w:hAnsi="Arial" w:cs="Arial"/>
          <w:szCs w:val="24"/>
        </w:rPr>
        <w:t xml:space="preserve">R v Miller [1983] 2 AC 161. The man woke up to find that his mattress was on fire, but instead of putting out the blaze he just relocated to a another room. As was to be expected, the structure had burned down. The Appeals Court relied on the "continuous act doctrine" in its analysis. The House of Lords, however, decided that Miller would be responsible for the fire because of an oversight on his part. Miller's </w:t>
      </w:r>
      <w:r>
        <w:rPr>
          <w:rFonts w:ascii="Arial" w:hAnsi="Arial" w:cs="Arial"/>
          <w:szCs w:val="24"/>
        </w:rPr>
        <w:lastRenderedPageBreak/>
        <w:t>intentional starting of the fire was the basis for their conclusion that he owed a responsibility to put out the blaze.</w:t>
      </w:r>
    </w:p>
    <w:p w14:paraId="2EA41225" w14:textId="77777777" w:rsidR="00F63FDB" w:rsidRDefault="00F63FDB" w:rsidP="00F63FDB">
      <w:pPr>
        <w:spacing w:after="0" w:line="360" w:lineRule="auto"/>
        <w:ind w:firstLine="851"/>
        <w:rPr>
          <w:rFonts w:ascii="Arial" w:hAnsi="Arial" w:cs="Arial"/>
          <w:szCs w:val="24"/>
        </w:rPr>
      </w:pPr>
    </w:p>
    <w:p w14:paraId="6758E16B" w14:textId="77777777" w:rsidR="00F63FDB" w:rsidRDefault="00F63FDB" w:rsidP="00F63FDB">
      <w:pPr>
        <w:pStyle w:val="Heading2"/>
        <w:numPr>
          <w:ilvl w:val="1"/>
          <w:numId w:val="2"/>
        </w:numPr>
        <w:rPr>
          <w:rFonts w:ascii="Arial" w:hAnsi="Arial" w:cs="Arial"/>
        </w:rPr>
      </w:pPr>
      <w:bookmarkStart w:id="20" w:name="_Toc118841730"/>
      <w:bookmarkStart w:id="21" w:name="_Toc118841955"/>
      <w:r>
        <w:rPr>
          <w:rFonts w:ascii="Arial" w:hAnsi="Arial" w:cs="Arial"/>
        </w:rPr>
        <w:t>A dubious extension and the need for restraint:</w:t>
      </w:r>
      <w:bookmarkEnd w:id="20"/>
      <w:bookmarkEnd w:id="21"/>
      <w:r>
        <w:rPr>
          <w:rFonts w:ascii="Arial" w:hAnsi="Arial" w:cs="Arial"/>
        </w:rPr>
        <w:t xml:space="preserve"> </w:t>
      </w:r>
    </w:p>
    <w:p w14:paraId="57CCA6C1" w14:textId="77777777" w:rsidR="00F63FDB" w:rsidRDefault="00F63FDB" w:rsidP="00F63FDB">
      <w:pPr>
        <w:spacing w:after="0" w:line="360" w:lineRule="auto"/>
        <w:ind w:firstLine="851"/>
        <w:rPr>
          <w:rFonts w:ascii="Arial" w:eastAsiaTheme="minorEastAsia" w:hAnsi="Arial" w:cs="Arial"/>
          <w:szCs w:val="24"/>
          <w:lang w:eastAsia="en-GB"/>
        </w:rPr>
      </w:pPr>
      <w:r>
        <w:rPr>
          <w:rFonts w:ascii="Arial" w:hAnsi="Arial" w:cs="Arial"/>
          <w:szCs w:val="24"/>
        </w:rPr>
        <w:t>More later, in the instance of Evans involving narcotics, the Court of Appeal attempted to broaden the finding in Miller. In R v Evans [2009] 2 Cr App R 10, the Court of Appeal adopted the Miller principle, holding that if an individual ends up creating or adds to a "set of circumstances" of the kind that he understands, ought sanely to know, has become life threatening, then a subsequent duty would then arise to take reasonable precautions to save the other human's career. This is the only case in which a person was found liable for manslaughter on both sides. However, the idea is clouded by a lack of clarity in the legal precedent, with Williams condemning the courts for relying too much on the "risk principle" to create an obligation of care rather than a duty of unique connection.</w:t>
      </w:r>
    </w:p>
    <w:p w14:paraId="61260EA1" w14:textId="77777777" w:rsidR="00F63FDB" w:rsidRDefault="00F63FDB" w:rsidP="00F63FDB">
      <w:pPr>
        <w:spacing w:line="360" w:lineRule="auto"/>
        <w:rPr>
          <w:rFonts w:ascii="Arial" w:hAnsi="Arial" w:cs="Arial"/>
          <w:b/>
          <w:bCs/>
          <w:szCs w:val="24"/>
        </w:rPr>
      </w:pPr>
    </w:p>
    <w:p w14:paraId="0C0C3280" w14:textId="77777777" w:rsidR="00F63FDB" w:rsidRDefault="00F63FDB" w:rsidP="00F63FDB">
      <w:pPr>
        <w:pStyle w:val="Heading1"/>
        <w:rPr>
          <w:rFonts w:ascii="Arial" w:eastAsiaTheme="minorHAnsi" w:hAnsi="Arial" w:cs="Arial"/>
          <w:b/>
          <w:szCs w:val="22"/>
        </w:rPr>
      </w:pPr>
      <w:bookmarkStart w:id="22" w:name="_Toc118841956"/>
    </w:p>
    <w:p w14:paraId="4AF9FD37" w14:textId="13CAEE95" w:rsidR="00F63FDB" w:rsidRPr="004A7A85" w:rsidRDefault="00F63FDB" w:rsidP="00F63FDB">
      <w:pPr>
        <w:pStyle w:val="Heading1"/>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7A85">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2"/>
    </w:p>
    <w:p w14:paraId="6B2F79DB" w14:textId="77777777" w:rsidR="004A7A85" w:rsidRPr="004A7A85" w:rsidRDefault="004A7A85" w:rsidP="004A7A85"/>
    <w:p w14:paraId="737400F7" w14:textId="26C25471" w:rsidR="00F63FDB" w:rsidRDefault="00F63FDB" w:rsidP="00F63FDB">
      <w:pPr>
        <w:spacing w:line="360" w:lineRule="auto"/>
        <w:rPr>
          <w:rFonts w:ascii="Arial" w:hAnsi="Arial" w:cs="Arial"/>
          <w:szCs w:val="24"/>
        </w:rPr>
      </w:pPr>
      <w:r>
        <w:rPr>
          <w:rFonts w:ascii="Arial" w:hAnsi="Arial" w:cs="Arial"/>
          <w:szCs w:val="24"/>
        </w:rPr>
        <w:t>If we accept the idea that people should be free to make their own judgments and act in their own self-interest, then it's impossible to hold someone criminally responsible for being absent</w:t>
      </w:r>
      <w:r>
        <w:rPr>
          <w:rFonts w:ascii="Arial" w:hAnsi="Arial" w:cs="Arial"/>
          <w:szCs w:val="24"/>
        </w:rPr>
        <w:fldChar w:fldCharType="begin"/>
      </w:r>
      <w:r>
        <w:rPr>
          <w:rFonts w:ascii="Arial" w:hAnsi="Arial" w:cs="Arial"/>
          <w:szCs w:val="24"/>
        </w:rPr>
        <w:instrText xml:space="preserve"> ADDIN ZOTERO_ITEM CSL_CITATION {"citationID":"cEFhj28E","properties":{"formattedCitation":"(Elliott and Quinn, 2010)","plainCitation":"(Elliott and Quinn, 2010)","noteIndex":0},"citationItems":[{"id":267,"uris":["http://zotero.org/users/10480388/items/52WWP58U"],"itemData":{"id":267,"type":"book","abstract":"As well as setting out the law itself, the authors examine the principles behind criminal law, and discuss some of the issues and debates arising from it","edition":"8th ed","event-place":"Harlow, Essex, England","ISBN":"978-1-4082-3053-4","language":"eng","note":"OCLC: 496742292","publisher":"Pearson Longman","publisher-place":"Harlow, Essex, England","source":"Open WorldCat","title":"Criminal law","author":[{"family":"Elliott","given":"Catherine"},{"family":"Quinn","given":"Frances"}],"issued":{"date-parts":[["2010"]]}}}],"schema":"https://github.com/citation-style-language/schema/raw/master/csl-citation.json"} </w:instrText>
      </w:r>
      <w:r>
        <w:rPr>
          <w:rFonts w:ascii="Arial" w:hAnsi="Arial" w:cs="Arial"/>
          <w:szCs w:val="24"/>
        </w:rPr>
        <w:fldChar w:fldCharType="separate"/>
      </w:r>
      <w:r>
        <w:rPr>
          <w:rFonts w:ascii="Arial" w:hAnsi="Arial" w:cs="Arial"/>
        </w:rPr>
        <w:t>(Elliott and Quinn, 2010)</w:t>
      </w:r>
      <w:r>
        <w:rPr>
          <w:rFonts w:ascii="Arial" w:hAnsi="Arial" w:cs="Arial"/>
          <w:szCs w:val="24"/>
        </w:rPr>
        <w:fldChar w:fldCharType="end"/>
      </w:r>
      <w:r>
        <w:rPr>
          <w:rFonts w:ascii="Arial" w:hAnsi="Arial" w:cs="Arial"/>
          <w:szCs w:val="24"/>
        </w:rPr>
        <w:t>. The easiest and most direct method to satisfy this urge is to take on some kind of duty, whether it is one you take on willingly or one that is imposed on you by others. It is possible to prove criminal guilt, however, when the offender had the power to avert the harm but chose not to</w:t>
      </w:r>
      <w:r>
        <w:rPr>
          <w:rFonts w:ascii="Arial" w:hAnsi="Arial" w:cs="Arial"/>
          <w:szCs w:val="24"/>
        </w:rPr>
        <w:fldChar w:fldCharType="begin"/>
      </w:r>
      <w:r>
        <w:rPr>
          <w:rFonts w:ascii="Arial" w:hAnsi="Arial" w:cs="Arial"/>
          <w:szCs w:val="24"/>
        </w:rPr>
        <w:instrText xml:space="preserve"> ADDIN ZOTERO_ITEM CSL_CITATION {"citationID":"QjNNlczq","properties":{"formattedCitation":"(MacAlhone and Wortley, 2013)","plainCitation":"(MacAlhone and Wortley, 2013)","noteIndex":0},"citationItems":[{"id":268,"uris":["http://zotero.org/users/10480388/items/PNTHCCDG"],"itemData":{"id":268,"type":"book","edition":"3. ed","event-place":"London","ISBN":"978-0-414-04241-4","language":"eng","number-of-pages":"529","publisher":"Thomson Reuters","publisher-place":"London","source":"K10plus ISBN","title":"Criminal law: the fundamentals","title-short":"Criminal law","author":[{"family":"MacAlhone","given":"Christina"},{"family":"Wortley","given":"Natalie"}],"issued":{"date-parts":[["2013"]]}}}],"schema":"https://github.com/citation-style-language/schema/raw/master/csl-citation.json"} </w:instrText>
      </w:r>
      <w:r>
        <w:rPr>
          <w:rFonts w:ascii="Arial" w:hAnsi="Arial" w:cs="Arial"/>
          <w:szCs w:val="24"/>
        </w:rPr>
        <w:fldChar w:fldCharType="separate"/>
      </w:r>
      <w:r>
        <w:rPr>
          <w:rFonts w:ascii="Arial" w:hAnsi="Arial" w:cs="Arial"/>
        </w:rPr>
        <w:t>(MacAlhone and Wortley, 2013)</w:t>
      </w:r>
      <w:r>
        <w:rPr>
          <w:rFonts w:ascii="Arial" w:hAnsi="Arial" w:cs="Arial"/>
          <w:szCs w:val="24"/>
        </w:rPr>
        <w:fldChar w:fldCharType="end"/>
      </w:r>
      <w:r>
        <w:rPr>
          <w:rFonts w:ascii="Arial" w:hAnsi="Arial" w:cs="Arial"/>
          <w:szCs w:val="24"/>
        </w:rPr>
        <w:t>.</w:t>
      </w:r>
    </w:p>
    <w:p w14:paraId="082E2DE0" w14:textId="65A9282E" w:rsidR="004A7A85" w:rsidRDefault="004A7A85" w:rsidP="00F63FDB">
      <w:pPr>
        <w:spacing w:line="360" w:lineRule="auto"/>
        <w:rPr>
          <w:rFonts w:ascii="Arial" w:hAnsi="Arial" w:cs="Arial"/>
          <w:szCs w:val="24"/>
        </w:rPr>
      </w:pPr>
    </w:p>
    <w:p w14:paraId="25776606" w14:textId="6C0A5997" w:rsidR="004A7A85" w:rsidRDefault="004A7A85" w:rsidP="00F63FDB">
      <w:pPr>
        <w:spacing w:line="360" w:lineRule="auto"/>
        <w:rPr>
          <w:rFonts w:ascii="Arial" w:hAnsi="Arial" w:cs="Arial"/>
          <w:szCs w:val="24"/>
        </w:rPr>
      </w:pPr>
    </w:p>
    <w:p w14:paraId="641BD9A8" w14:textId="4357050B" w:rsidR="004A7A85" w:rsidRDefault="004A7A85" w:rsidP="00F63FDB">
      <w:pPr>
        <w:spacing w:line="360" w:lineRule="auto"/>
        <w:rPr>
          <w:rFonts w:ascii="Arial" w:hAnsi="Arial" w:cs="Arial"/>
          <w:szCs w:val="24"/>
        </w:rPr>
      </w:pPr>
    </w:p>
    <w:p w14:paraId="7C696117" w14:textId="7F77DBB9" w:rsidR="004A7A85" w:rsidRDefault="004A7A85" w:rsidP="00F63FDB">
      <w:pPr>
        <w:spacing w:line="360" w:lineRule="auto"/>
        <w:rPr>
          <w:rFonts w:ascii="Arial" w:hAnsi="Arial" w:cs="Arial"/>
          <w:szCs w:val="24"/>
        </w:rPr>
      </w:pPr>
    </w:p>
    <w:p w14:paraId="3435403E" w14:textId="0B635B7C" w:rsidR="004A7A85" w:rsidRDefault="004A7A85" w:rsidP="00F63FDB">
      <w:pPr>
        <w:spacing w:line="360" w:lineRule="auto"/>
        <w:rPr>
          <w:rFonts w:ascii="Arial" w:hAnsi="Arial" w:cs="Arial"/>
          <w:szCs w:val="24"/>
        </w:rPr>
      </w:pPr>
    </w:p>
    <w:p w14:paraId="7DB95858" w14:textId="26E8F352" w:rsidR="004A7A85" w:rsidRDefault="004A7A85" w:rsidP="00F63FDB">
      <w:pPr>
        <w:spacing w:line="360" w:lineRule="auto"/>
        <w:rPr>
          <w:rFonts w:ascii="Arial" w:hAnsi="Arial" w:cs="Arial"/>
          <w:szCs w:val="24"/>
        </w:rPr>
      </w:pPr>
    </w:p>
    <w:p w14:paraId="51CB580C" w14:textId="77777777" w:rsidR="004A7A85" w:rsidRDefault="004A7A85" w:rsidP="00F63FDB">
      <w:pPr>
        <w:spacing w:line="360" w:lineRule="auto"/>
        <w:rPr>
          <w:rFonts w:ascii="Arial" w:hAnsi="Arial" w:cs="Arial"/>
          <w:szCs w:val="24"/>
        </w:rPr>
      </w:pPr>
    </w:p>
    <w:p w14:paraId="445609B4" w14:textId="1762BB73" w:rsidR="00F63FDB" w:rsidRPr="004A7A85" w:rsidRDefault="00F63FDB" w:rsidP="00F63FDB">
      <w:pPr>
        <w:pStyle w:val="Heading1"/>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18841957"/>
      <w:r w:rsidRPr="004A7A85">
        <w:rPr>
          <w:rFonts w:ascii="Arial" w:eastAsiaTheme="minorHAns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Bibliography</w:t>
      </w:r>
      <w:bookmarkEnd w:id="23"/>
    </w:p>
    <w:p w14:paraId="41BDEC0A" w14:textId="77777777" w:rsidR="004A7A85" w:rsidRPr="004A7A85" w:rsidRDefault="004A7A85" w:rsidP="004A7A85"/>
    <w:p w14:paraId="33BF0F8A" w14:textId="77777777" w:rsidR="00F63FDB" w:rsidRDefault="00F63FDB" w:rsidP="00F63FDB">
      <w:pPr>
        <w:rPr>
          <w:rFonts w:ascii="Arial" w:hAnsi="Arial" w:cs="Arial"/>
          <w:b/>
          <w:bCs/>
        </w:rPr>
      </w:pPr>
      <w:r>
        <w:rPr>
          <w:rFonts w:ascii="Arial" w:hAnsi="Arial" w:cs="Arial"/>
          <w:b/>
          <w:bCs/>
        </w:rPr>
        <w:t>Books</w:t>
      </w:r>
    </w:p>
    <w:p w14:paraId="43C3F01B" w14:textId="77777777" w:rsidR="00F63FDB" w:rsidRDefault="00F63FDB" w:rsidP="00F63FDB">
      <w:pPr>
        <w:pStyle w:val="Bibliography"/>
        <w:numPr>
          <w:ilvl w:val="0"/>
          <w:numId w:val="3"/>
        </w:numPr>
        <w:spacing w:after="240" w:line="240" w:lineRule="auto"/>
        <w:rPr>
          <w:rFonts w:ascii="Arial" w:hAnsi="Arial" w:cs="Arial"/>
        </w:rPr>
      </w:pPr>
      <w:r>
        <w:rPr>
          <w:rFonts w:ascii="Arial" w:hAnsi="Arial" w:cs="Arial"/>
        </w:rPr>
        <w:t xml:space="preserve">Ashworth, A. and </w:t>
      </w:r>
      <w:proofErr w:type="spellStart"/>
      <w:r>
        <w:rPr>
          <w:rFonts w:ascii="Arial" w:hAnsi="Arial" w:cs="Arial"/>
        </w:rPr>
        <w:t>Horder</w:t>
      </w:r>
      <w:proofErr w:type="spellEnd"/>
      <w:r>
        <w:rPr>
          <w:rFonts w:ascii="Arial" w:hAnsi="Arial" w:cs="Arial"/>
        </w:rPr>
        <w:t xml:space="preserve">, J., 2013. </w:t>
      </w:r>
      <w:r>
        <w:rPr>
          <w:rFonts w:ascii="Arial" w:hAnsi="Arial" w:cs="Arial"/>
          <w:i/>
          <w:iCs/>
        </w:rPr>
        <w:t>Principles of criminal law</w:t>
      </w:r>
      <w:r>
        <w:rPr>
          <w:rFonts w:ascii="Arial" w:hAnsi="Arial" w:cs="Arial"/>
        </w:rPr>
        <w:t>. Seventh edition ed. Oxford, United Kingdom: Oxford University Press.</w:t>
      </w:r>
    </w:p>
    <w:p w14:paraId="4EDF26E1" w14:textId="77777777" w:rsidR="00F63FDB" w:rsidRDefault="00F63FDB" w:rsidP="00F63FDB">
      <w:pPr>
        <w:pStyle w:val="Bibliography"/>
        <w:numPr>
          <w:ilvl w:val="0"/>
          <w:numId w:val="3"/>
        </w:numPr>
        <w:spacing w:after="240" w:line="240" w:lineRule="auto"/>
        <w:rPr>
          <w:rFonts w:ascii="Arial" w:hAnsi="Arial" w:cs="Arial"/>
        </w:rPr>
      </w:pPr>
      <w:r>
        <w:rPr>
          <w:rFonts w:ascii="Arial" w:hAnsi="Arial" w:cs="Arial"/>
        </w:rPr>
        <w:t xml:space="preserve">Elliott, C. and Quinn, F., 2010. </w:t>
      </w:r>
      <w:r>
        <w:rPr>
          <w:rFonts w:ascii="Arial" w:hAnsi="Arial" w:cs="Arial"/>
          <w:i/>
          <w:iCs/>
        </w:rPr>
        <w:t>Criminal law</w:t>
      </w:r>
      <w:r>
        <w:rPr>
          <w:rFonts w:ascii="Arial" w:hAnsi="Arial" w:cs="Arial"/>
        </w:rPr>
        <w:t xml:space="preserve">. 8th ed </w:t>
      </w:r>
      <w:proofErr w:type="spellStart"/>
      <w:r>
        <w:rPr>
          <w:rFonts w:ascii="Arial" w:hAnsi="Arial" w:cs="Arial"/>
        </w:rPr>
        <w:t>ed</w:t>
      </w:r>
      <w:proofErr w:type="spellEnd"/>
      <w:r>
        <w:rPr>
          <w:rFonts w:ascii="Arial" w:hAnsi="Arial" w:cs="Arial"/>
        </w:rPr>
        <w:t>. Harlow, Essex, England: Pearson Longman.</w:t>
      </w:r>
    </w:p>
    <w:p w14:paraId="61E3753B" w14:textId="77777777" w:rsidR="00F63FDB" w:rsidRDefault="00F63FDB" w:rsidP="00F63FDB">
      <w:pPr>
        <w:pStyle w:val="Bibliography"/>
        <w:numPr>
          <w:ilvl w:val="0"/>
          <w:numId w:val="3"/>
        </w:numPr>
        <w:spacing w:after="240" w:line="240" w:lineRule="auto"/>
        <w:rPr>
          <w:rFonts w:ascii="Arial" w:hAnsi="Arial" w:cs="Arial"/>
        </w:rPr>
      </w:pPr>
      <w:proofErr w:type="spellStart"/>
      <w:r>
        <w:rPr>
          <w:rFonts w:ascii="Arial" w:hAnsi="Arial" w:cs="Arial"/>
        </w:rPr>
        <w:t>MacAlhone</w:t>
      </w:r>
      <w:proofErr w:type="spellEnd"/>
      <w:r>
        <w:rPr>
          <w:rFonts w:ascii="Arial" w:hAnsi="Arial" w:cs="Arial"/>
        </w:rPr>
        <w:t xml:space="preserve">, C. and Wortley, N., 2013. </w:t>
      </w:r>
      <w:r>
        <w:rPr>
          <w:rFonts w:ascii="Arial" w:hAnsi="Arial" w:cs="Arial"/>
          <w:i/>
          <w:iCs/>
        </w:rPr>
        <w:t>Criminal law: the fundamentals</w:t>
      </w:r>
      <w:r>
        <w:rPr>
          <w:rFonts w:ascii="Arial" w:hAnsi="Arial" w:cs="Arial"/>
        </w:rPr>
        <w:t xml:space="preserve">. 3. ed </w:t>
      </w:r>
      <w:proofErr w:type="spellStart"/>
      <w:r>
        <w:rPr>
          <w:rFonts w:ascii="Arial" w:hAnsi="Arial" w:cs="Arial"/>
        </w:rPr>
        <w:t>ed</w:t>
      </w:r>
      <w:proofErr w:type="spellEnd"/>
      <w:r>
        <w:rPr>
          <w:rFonts w:ascii="Arial" w:hAnsi="Arial" w:cs="Arial"/>
        </w:rPr>
        <w:t>. London: Thomson Reuters.</w:t>
      </w:r>
    </w:p>
    <w:p w14:paraId="6E153D0F" w14:textId="77777777" w:rsidR="00F63FDB" w:rsidRDefault="00F63FDB" w:rsidP="00F63FDB">
      <w:pPr>
        <w:pStyle w:val="Bibliography"/>
        <w:numPr>
          <w:ilvl w:val="0"/>
          <w:numId w:val="3"/>
        </w:numPr>
        <w:spacing w:after="240" w:line="240" w:lineRule="auto"/>
        <w:rPr>
          <w:rFonts w:ascii="Arial" w:hAnsi="Arial" w:cs="Arial"/>
        </w:rPr>
      </w:pPr>
      <w:proofErr w:type="spellStart"/>
      <w:r>
        <w:rPr>
          <w:rFonts w:ascii="Arial" w:hAnsi="Arial" w:cs="Arial"/>
        </w:rPr>
        <w:t>Simester</w:t>
      </w:r>
      <w:proofErr w:type="spellEnd"/>
      <w:r>
        <w:rPr>
          <w:rFonts w:ascii="Arial" w:hAnsi="Arial" w:cs="Arial"/>
        </w:rPr>
        <w:t xml:space="preserve">, A.P., Spencer, J.R., Sullivan, G.R. and Virgo, G., 2013. </w:t>
      </w:r>
      <w:proofErr w:type="spellStart"/>
      <w:r>
        <w:rPr>
          <w:rFonts w:ascii="Arial" w:hAnsi="Arial" w:cs="Arial"/>
          <w:i/>
          <w:iCs/>
        </w:rPr>
        <w:t>Simester</w:t>
      </w:r>
      <w:proofErr w:type="spellEnd"/>
      <w:r>
        <w:rPr>
          <w:rFonts w:ascii="Arial" w:hAnsi="Arial" w:cs="Arial"/>
          <w:i/>
          <w:iCs/>
        </w:rPr>
        <w:t xml:space="preserve"> and Sullivan’s criminal law: theory and doctrine</w:t>
      </w:r>
      <w:r>
        <w:rPr>
          <w:rFonts w:ascii="Arial" w:hAnsi="Arial" w:cs="Arial"/>
        </w:rPr>
        <w:t>. Fifth edition ed. Oxford, United Kingdom: Hart Publishing.</w:t>
      </w:r>
    </w:p>
    <w:p w14:paraId="3FD4667B" w14:textId="77777777" w:rsidR="00F63FDB" w:rsidRDefault="00F63FDB" w:rsidP="00F63FDB">
      <w:pPr>
        <w:pStyle w:val="Bibliography"/>
        <w:numPr>
          <w:ilvl w:val="0"/>
          <w:numId w:val="3"/>
        </w:numPr>
        <w:spacing w:after="240" w:line="240" w:lineRule="auto"/>
        <w:rPr>
          <w:rFonts w:ascii="Arial" w:hAnsi="Arial" w:cs="Arial"/>
        </w:rPr>
      </w:pPr>
      <w:r>
        <w:rPr>
          <w:rFonts w:ascii="Arial" w:hAnsi="Arial" w:cs="Arial"/>
        </w:rPr>
        <w:t xml:space="preserve">Wells, C., Quick, O. and Lacey, N., 2010. </w:t>
      </w:r>
      <w:r>
        <w:rPr>
          <w:rFonts w:ascii="Arial" w:hAnsi="Arial" w:cs="Arial"/>
          <w:i/>
          <w:iCs/>
        </w:rPr>
        <w:t>Lacey, Wells and Quick Reconstructing criminal law: text and materials</w:t>
      </w:r>
      <w:r>
        <w:rPr>
          <w:rFonts w:ascii="Arial" w:hAnsi="Arial" w:cs="Arial"/>
        </w:rPr>
        <w:t xml:space="preserve">. 4th ed </w:t>
      </w:r>
      <w:proofErr w:type="spellStart"/>
      <w:r>
        <w:rPr>
          <w:rFonts w:ascii="Arial" w:hAnsi="Arial" w:cs="Arial"/>
        </w:rPr>
        <w:t>ed</w:t>
      </w:r>
      <w:proofErr w:type="spellEnd"/>
      <w:r>
        <w:rPr>
          <w:rFonts w:ascii="Arial" w:hAnsi="Arial" w:cs="Arial"/>
        </w:rPr>
        <w:t>. Law in context series. Cambridge ; New York: Cambridge University Press.</w:t>
      </w:r>
    </w:p>
    <w:p w14:paraId="526C443D" w14:textId="77777777" w:rsidR="00F63FDB" w:rsidRDefault="00F63FDB" w:rsidP="00F63FDB">
      <w:pPr>
        <w:rPr>
          <w:rFonts w:ascii="Arial" w:hAnsi="Arial" w:cs="Arial"/>
          <w:b/>
          <w:bCs/>
        </w:rPr>
      </w:pPr>
    </w:p>
    <w:p w14:paraId="1E82C3E9" w14:textId="77777777" w:rsidR="00F63FDB" w:rsidRDefault="00F63FDB" w:rsidP="00F63FDB">
      <w:pPr>
        <w:rPr>
          <w:rFonts w:ascii="Arial" w:hAnsi="Arial" w:cs="Arial"/>
          <w:b/>
          <w:bCs/>
        </w:rPr>
      </w:pPr>
      <w:r>
        <w:rPr>
          <w:rFonts w:ascii="Arial" w:hAnsi="Arial" w:cs="Arial"/>
          <w:b/>
          <w:bCs/>
        </w:rPr>
        <w:t>Cases</w:t>
      </w:r>
    </w:p>
    <w:p w14:paraId="19A27CC4" w14:textId="77777777" w:rsidR="00F63FDB" w:rsidRDefault="00F63FDB" w:rsidP="00F63FDB">
      <w:pPr>
        <w:pStyle w:val="ListParagraph"/>
        <w:numPr>
          <w:ilvl w:val="0"/>
          <w:numId w:val="4"/>
        </w:numPr>
        <w:rPr>
          <w:rFonts w:ascii="Arial" w:hAnsi="Arial" w:cs="Arial"/>
        </w:rPr>
      </w:pPr>
      <w:r>
        <w:rPr>
          <w:rFonts w:ascii="Arial" w:hAnsi="Arial" w:cs="Arial"/>
        </w:rPr>
        <w:t>Airedale NHS Trust v Bland [1993] A.C. 789</w:t>
      </w:r>
    </w:p>
    <w:p w14:paraId="09992ABF" w14:textId="77777777" w:rsidR="00F63FDB" w:rsidRDefault="00F63FDB" w:rsidP="00F63FDB">
      <w:pPr>
        <w:pStyle w:val="ListParagraph"/>
        <w:numPr>
          <w:ilvl w:val="0"/>
          <w:numId w:val="4"/>
        </w:numPr>
        <w:rPr>
          <w:rFonts w:ascii="Arial" w:hAnsi="Arial" w:cs="Arial"/>
        </w:rPr>
      </w:pPr>
      <w:r>
        <w:rPr>
          <w:rFonts w:ascii="Arial" w:hAnsi="Arial" w:cs="Arial"/>
        </w:rPr>
        <w:t xml:space="preserve">R v </w:t>
      </w:r>
      <w:proofErr w:type="spellStart"/>
      <w:r>
        <w:rPr>
          <w:rFonts w:ascii="Arial" w:hAnsi="Arial" w:cs="Arial"/>
        </w:rPr>
        <w:t>Dytham</w:t>
      </w:r>
      <w:proofErr w:type="spellEnd"/>
      <w:r>
        <w:rPr>
          <w:rFonts w:ascii="Arial" w:hAnsi="Arial" w:cs="Arial"/>
        </w:rPr>
        <w:t xml:space="preserve"> [1979] Q.B. 722</w:t>
      </w:r>
    </w:p>
    <w:p w14:paraId="5409960F" w14:textId="77777777" w:rsidR="00F63FDB" w:rsidRDefault="00F63FDB" w:rsidP="00F63FDB">
      <w:pPr>
        <w:pStyle w:val="ListParagraph"/>
        <w:numPr>
          <w:ilvl w:val="0"/>
          <w:numId w:val="4"/>
        </w:numPr>
        <w:rPr>
          <w:rFonts w:ascii="Arial" w:hAnsi="Arial" w:cs="Arial"/>
        </w:rPr>
      </w:pPr>
      <w:r>
        <w:rPr>
          <w:rFonts w:ascii="Arial" w:hAnsi="Arial" w:cs="Arial"/>
        </w:rPr>
        <w:t>R v Evans [2009] 2 Cr App R 10</w:t>
      </w:r>
    </w:p>
    <w:p w14:paraId="0ECEB1E4" w14:textId="77777777" w:rsidR="00F63FDB" w:rsidRDefault="00F63FDB" w:rsidP="00F63FDB">
      <w:pPr>
        <w:pStyle w:val="ListParagraph"/>
        <w:numPr>
          <w:ilvl w:val="0"/>
          <w:numId w:val="4"/>
        </w:numPr>
        <w:rPr>
          <w:rFonts w:ascii="Arial" w:hAnsi="Arial" w:cs="Arial"/>
        </w:rPr>
      </w:pPr>
      <w:r>
        <w:rPr>
          <w:rFonts w:ascii="Arial" w:hAnsi="Arial" w:cs="Arial"/>
        </w:rPr>
        <w:t>R v Gibbins and Proctor (1918) 13 Cr App</w:t>
      </w:r>
    </w:p>
    <w:p w14:paraId="2A8B35A5" w14:textId="77777777" w:rsidR="00F63FDB" w:rsidRDefault="00F63FDB" w:rsidP="00F63FDB">
      <w:pPr>
        <w:pStyle w:val="ListParagraph"/>
        <w:numPr>
          <w:ilvl w:val="0"/>
          <w:numId w:val="4"/>
        </w:numPr>
        <w:rPr>
          <w:rFonts w:ascii="Arial" w:hAnsi="Arial" w:cs="Arial"/>
        </w:rPr>
      </w:pPr>
      <w:r>
        <w:rPr>
          <w:rFonts w:ascii="Arial" w:hAnsi="Arial" w:cs="Arial"/>
        </w:rPr>
        <w:t>R v Hood [2004] 1 Cr App R (s) 73</w:t>
      </w:r>
    </w:p>
    <w:p w14:paraId="3995CF29" w14:textId="77777777" w:rsidR="00F63FDB" w:rsidRDefault="00F63FDB" w:rsidP="00F63FDB">
      <w:pPr>
        <w:pStyle w:val="ListParagraph"/>
        <w:numPr>
          <w:ilvl w:val="0"/>
          <w:numId w:val="4"/>
        </w:numPr>
        <w:rPr>
          <w:rFonts w:ascii="Arial" w:hAnsi="Arial" w:cs="Arial"/>
        </w:rPr>
      </w:pPr>
      <w:r>
        <w:rPr>
          <w:rFonts w:ascii="Arial" w:hAnsi="Arial" w:cs="Arial"/>
        </w:rPr>
        <w:t>R v Miller [1983] 2 AC 161</w:t>
      </w:r>
    </w:p>
    <w:p w14:paraId="43393807" w14:textId="77777777" w:rsidR="00F63FDB" w:rsidRDefault="00F63FDB" w:rsidP="00F63FDB">
      <w:pPr>
        <w:pStyle w:val="ListParagraph"/>
        <w:numPr>
          <w:ilvl w:val="0"/>
          <w:numId w:val="4"/>
        </w:numPr>
        <w:rPr>
          <w:rFonts w:ascii="Arial" w:hAnsi="Arial" w:cs="Arial"/>
        </w:rPr>
      </w:pPr>
      <w:r>
        <w:rPr>
          <w:rFonts w:ascii="Arial" w:hAnsi="Arial" w:cs="Arial"/>
        </w:rPr>
        <w:t xml:space="preserve">R v </w:t>
      </w:r>
      <w:proofErr w:type="spellStart"/>
      <w:r>
        <w:rPr>
          <w:rFonts w:ascii="Arial" w:hAnsi="Arial" w:cs="Arial"/>
        </w:rPr>
        <w:t>Pittwood</w:t>
      </w:r>
      <w:proofErr w:type="spellEnd"/>
      <w:r>
        <w:rPr>
          <w:rFonts w:ascii="Arial" w:hAnsi="Arial" w:cs="Arial"/>
        </w:rPr>
        <w:t xml:space="preserve"> (1902) 19 TLR 37</w:t>
      </w:r>
    </w:p>
    <w:p w14:paraId="5009092D" w14:textId="77777777" w:rsidR="00F947A3" w:rsidRDefault="00F947A3" w:rsidP="00F947A3">
      <w:pPr>
        <w:pStyle w:val="ListParagraph"/>
        <w:numPr>
          <w:ilvl w:val="0"/>
          <w:numId w:val="5"/>
        </w:numPr>
        <w:rPr>
          <w:rFonts w:ascii="Arial" w:hAnsi="Arial" w:cs="Arial"/>
        </w:rPr>
      </w:pPr>
      <w:r>
        <w:rPr>
          <w:rFonts w:ascii="Arial" w:hAnsi="Arial" w:cs="Arial"/>
        </w:rPr>
        <w:t>R v Shepherd (1988) 86 Cr App R 47</w:t>
      </w:r>
    </w:p>
    <w:p w14:paraId="05B1F205" w14:textId="77777777" w:rsidR="00F947A3" w:rsidRDefault="00F947A3" w:rsidP="00F947A3">
      <w:pPr>
        <w:pStyle w:val="ListParagraph"/>
        <w:numPr>
          <w:ilvl w:val="0"/>
          <w:numId w:val="5"/>
        </w:numPr>
        <w:rPr>
          <w:rFonts w:ascii="Arial" w:hAnsi="Arial" w:cs="Arial"/>
        </w:rPr>
      </w:pPr>
      <w:r>
        <w:rPr>
          <w:rFonts w:ascii="Arial" w:hAnsi="Arial" w:cs="Arial"/>
        </w:rPr>
        <w:t>R v Stone &amp; Dobinson [1977] 1 QB 354</w:t>
      </w:r>
    </w:p>
    <w:p w14:paraId="169E6829" w14:textId="77777777" w:rsidR="00F947A3" w:rsidRDefault="00F947A3" w:rsidP="00F947A3">
      <w:pPr>
        <w:pStyle w:val="ListParagraph"/>
        <w:numPr>
          <w:ilvl w:val="0"/>
          <w:numId w:val="5"/>
        </w:numPr>
        <w:rPr>
          <w:rFonts w:ascii="Arial" w:hAnsi="Arial" w:cs="Arial"/>
        </w:rPr>
      </w:pPr>
      <w:r>
        <w:rPr>
          <w:rFonts w:ascii="Arial" w:hAnsi="Arial" w:cs="Arial"/>
        </w:rPr>
        <w:t>R. v. Smith (Thomas Joseph) [1959]</w:t>
      </w:r>
    </w:p>
    <w:p w14:paraId="560EA52A" w14:textId="77777777" w:rsidR="00F947A3" w:rsidRDefault="00F947A3" w:rsidP="00F947A3">
      <w:pPr>
        <w:rPr>
          <w:rFonts w:ascii="Arial" w:hAnsi="Arial" w:cs="Arial"/>
          <w:b/>
          <w:bCs/>
        </w:rPr>
      </w:pPr>
    </w:p>
    <w:p w14:paraId="0AE325E9" w14:textId="77777777" w:rsidR="00F947A3" w:rsidRDefault="00F947A3" w:rsidP="00F947A3">
      <w:pPr>
        <w:rPr>
          <w:rFonts w:ascii="Arial" w:hAnsi="Arial" w:cs="Arial"/>
          <w:b/>
          <w:bCs/>
        </w:rPr>
      </w:pPr>
      <w:r>
        <w:rPr>
          <w:rFonts w:ascii="Arial" w:hAnsi="Arial" w:cs="Arial"/>
          <w:b/>
          <w:bCs/>
        </w:rPr>
        <w:t>Journal Article</w:t>
      </w:r>
    </w:p>
    <w:p w14:paraId="47321377" w14:textId="77777777" w:rsidR="00F947A3" w:rsidRDefault="00F947A3" w:rsidP="00F947A3">
      <w:pPr>
        <w:pStyle w:val="Bibliography"/>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p>
    <w:p w14:paraId="6721A26E" w14:textId="77777777" w:rsidR="00F947A3" w:rsidRDefault="00F947A3" w:rsidP="00F947A3">
      <w:pPr>
        <w:pStyle w:val="Bibliography"/>
        <w:numPr>
          <w:ilvl w:val="0"/>
          <w:numId w:val="6"/>
        </w:numPr>
        <w:spacing w:after="240" w:line="240" w:lineRule="auto"/>
        <w:rPr>
          <w:rFonts w:ascii="Arial" w:hAnsi="Arial" w:cs="Arial"/>
        </w:rPr>
      </w:pPr>
      <w:r>
        <w:rPr>
          <w:rFonts w:ascii="Arial" w:hAnsi="Arial" w:cs="Arial"/>
        </w:rPr>
        <w:t xml:space="preserve">Baker, D.J., 2010. Omissions Liability for Homicide Offences: Reconciling R v Kennedy with R v Evans. </w:t>
      </w:r>
      <w:r>
        <w:rPr>
          <w:rFonts w:ascii="Arial" w:hAnsi="Arial" w:cs="Arial"/>
          <w:i/>
          <w:iCs/>
        </w:rPr>
        <w:t>The Journal of Criminal Law</w:t>
      </w:r>
      <w:r>
        <w:rPr>
          <w:rFonts w:ascii="Arial" w:hAnsi="Arial" w:cs="Arial"/>
        </w:rPr>
        <w:t>, 74(4), pp.310–320. https://doi.org/10.1350/jcla.2010.74.4.645.</w:t>
      </w:r>
    </w:p>
    <w:p w14:paraId="10614CE0" w14:textId="77777777" w:rsidR="00F947A3" w:rsidRDefault="00F947A3" w:rsidP="00F947A3">
      <w:pPr>
        <w:pStyle w:val="Bibliography"/>
        <w:numPr>
          <w:ilvl w:val="0"/>
          <w:numId w:val="6"/>
        </w:numPr>
        <w:spacing w:after="240" w:line="240" w:lineRule="auto"/>
        <w:rPr>
          <w:rFonts w:ascii="Arial" w:hAnsi="Arial" w:cs="Arial"/>
        </w:rPr>
      </w:pPr>
      <w:r>
        <w:rPr>
          <w:rFonts w:ascii="Arial" w:hAnsi="Arial" w:cs="Arial"/>
        </w:rPr>
        <w:t xml:space="preserve">Elliott, C., 2010. Liability for Manslaughter by Omission: Don’t Let the Baby Drown! </w:t>
      </w:r>
      <w:r>
        <w:rPr>
          <w:rFonts w:ascii="Arial" w:hAnsi="Arial" w:cs="Arial"/>
          <w:i/>
          <w:iCs/>
        </w:rPr>
        <w:t>The Journal of Criminal Law</w:t>
      </w:r>
      <w:r>
        <w:rPr>
          <w:rFonts w:ascii="Arial" w:hAnsi="Arial" w:cs="Arial"/>
        </w:rPr>
        <w:t>, 74(2), pp.163–179. https://doi.org/10.1350/jcla.2010.74.2.627.</w:t>
      </w:r>
    </w:p>
    <w:p w14:paraId="7FCEEAF6" w14:textId="77777777" w:rsidR="00F947A3" w:rsidRDefault="00F947A3" w:rsidP="00F947A3">
      <w:pPr>
        <w:pStyle w:val="Bibliography"/>
        <w:numPr>
          <w:ilvl w:val="0"/>
          <w:numId w:val="6"/>
        </w:numPr>
        <w:spacing w:after="240" w:line="240" w:lineRule="auto"/>
        <w:rPr>
          <w:rFonts w:ascii="Arial" w:hAnsi="Arial" w:cs="Arial"/>
        </w:rPr>
      </w:pPr>
      <w:r>
        <w:rPr>
          <w:rFonts w:ascii="Arial" w:hAnsi="Arial" w:cs="Arial"/>
        </w:rPr>
        <w:lastRenderedPageBreak/>
        <w:t xml:space="preserve">Stark, F., 2014. Positive Obligations in Criminal Law. by Andrew Ashworth. [Oxford: Hart. 2013. 221 pp. Hardback £45. ISBN 978-1-84946-505-2.]. </w:t>
      </w:r>
      <w:r>
        <w:rPr>
          <w:rFonts w:ascii="Arial" w:hAnsi="Arial" w:cs="Arial"/>
          <w:i/>
          <w:iCs/>
        </w:rPr>
        <w:t>The Cambridge Law Journal</w:t>
      </w:r>
      <w:r>
        <w:rPr>
          <w:rFonts w:ascii="Arial" w:hAnsi="Arial" w:cs="Arial"/>
        </w:rPr>
        <w:t>, 73(1), pp.220–224. https://doi.org/10.1017/S000819731400035X.</w:t>
      </w:r>
    </w:p>
    <w:p w14:paraId="4018EB69" w14:textId="77777777" w:rsidR="00F947A3" w:rsidRDefault="00F947A3" w:rsidP="00F947A3">
      <w:pPr>
        <w:pStyle w:val="Bibliography"/>
        <w:numPr>
          <w:ilvl w:val="0"/>
          <w:numId w:val="6"/>
        </w:numPr>
        <w:spacing w:after="240" w:line="240" w:lineRule="auto"/>
        <w:rPr>
          <w:rFonts w:ascii="Arial" w:hAnsi="Arial" w:cs="Arial"/>
        </w:rPr>
      </w:pPr>
      <w:r>
        <w:rPr>
          <w:rFonts w:ascii="Arial" w:hAnsi="Arial" w:cs="Arial"/>
        </w:rPr>
        <w:t>Time, V., K Payne, B. and R Gainey, R., 2010. Don’t help victims of crime if you don’t have the time: Assessing support for Good Samaritan laws. 38.</w:t>
      </w:r>
    </w:p>
    <w:p w14:paraId="170BE15B" w14:textId="77777777" w:rsidR="00F947A3" w:rsidRDefault="00F947A3" w:rsidP="00F947A3">
      <w:pPr>
        <w:pStyle w:val="Bibliography"/>
        <w:numPr>
          <w:ilvl w:val="0"/>
          <w:numId w:val="6"/>
        </w:numPr>
        <w:spacing w:after="240" w:line="240" w:lineRule="auto"/>
        <w:rPr>
          <w:rFonts w:ascii="Arial" w:hAnsi="Arial" w:cs="Arial"/>
        </w:rPr>
      </w:pPr>
      <w:r>
        <w:rPr>
          <w:rFonts w:ascii="Arial" w:hAnsi="Arial" w:cs="Arial"/>
        </w:rPr>
        <w:t>Tracey and Ormerod, D., 2008. Acts and omissions - a distinction without a difference? 39.</w:t>
      </w:r>
    </w:p>
    <w:p w14:paraId="4EF97B1E" w14:textId="3DD11B1A" w:rsidR="00F63FDB" w:rsidRDefault="00F947A3" w:rsidP="00F947A3">
      <w:pPr>
        <w:spacing w:line="240" w:lineRule="auto"/>
        <w:rPr>
          <w:rFonts w:ascii="Arial" w:hAnsi="Arial" w:cs="Arial"/>
          <w:b/>
          <w:bCs/>
          <w:noProof/>
        </w:rPr>
      </w:pPr>
      <w:r>
        <w:rPr>
          <w:rFonts w:ascii="Arial" w:hAnsi="Arial" w:cs="Arial"/>
        </w:rPr>
        <w:fldChar w:fldCharType="end"/>
      </w:r>
    </w:p>
    <w:sectPr w:rsidR="00F63F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86964"/>
    <w:multiLevelType w:val="multilevel"/>
    <w:tmpl w:val="8D36DAD0"/>
    <w:lvl w:ilvl="0">
      <w:start w:val="1"/>
      <w:numFmt w:val="decimal"/>
      <w:lvlText w:val="%1."/>
      <w:lvlJc w:val="left"/>
      <w:pPr>
        <w:ind w:left="1211" w:hanging="360"/>
      </w:pPr>
    </w:lvl>
    <w:lvl w:ilvl="1">
      <w:start w:val="1"/>
      <w:numFmt w:val="decimal"/>
      <w:isLgl/>
      <w:lvlText w:val="%1.%2."/>
      <w:lvlJc w:val="left"/>
      <w:pPr>
        <w:ind w:left="1571" w:hanging="720"/>
      </w:pPr>
    </w:lvl>
    <w:lvl w:ilvl="2">
      <w:start w:val="1"/>
      <w:numFmt w:val="decimal"/>
      <w:isLgl/>
      <w:lvlText w:val="%1.%2.%3."/>
      <w:lvlJc w:val="left"/>
      <w:pPr>
        <w:ind w:left="1571" w:hanging="720"/>
      </w:pPr>
    </w:lvl>
    <w:lvl w:ilvl="3">
      <w:start w:val="1"/>
      <w:numFmt w:val="decimal"/>
      <w:isLgl/>
      <w:lvlText w:val="%1.%2.%3.%4."/>
      <w:lvlJc w:val="left"/>
      <w:pPr>
        <w:ind w:left="1931" w:hanging="1080"/>
      </w:pPr>
    </w:lvl>
    <w:lvl w:ilvl="4">
      <w:start w:val="1"/>
      <w:numFmt w:val="decimal"/>
      <w:isLgl/>
      <w:lvlText w:val="%1.%2.%3.%4.%5."/>
      <w:lvlJc w:val="left"/>
      <w:pPr>
        <w:ind w:left="1931" w:hanging="1080"/>
      </w:pPr>
    </w:lvl>
    <w:lvl w:ilvl="5">
      <w:start w:val="1"/>
      <w:numFmt w:val="decimal"/>
      <w:isLgl/>
      <w:lvlText w:val="%1.%2.%3.%4.%5.%6."/>
      <w:lvlJc w:val="left"/>
      <w:pPr>
        <w:ind w:left="2291" w:hanging="1440"/>
      </w:pPr>
    </w:lvl>
    <w:lvl w:ilvl="6">
      <w:start w:val="1"/>
      <w:numFmt w:val="decimal"/>
      <w:isLgl/>
      <w:lvlText w:val="%1.%2.%3.%4.%5.%6.%7."/>
      <w:lvlJc w:val="left"/>
      <w:pPr>
        <w:ind w:left="2291" w:hanging="1440"/>
      </w:pPr>
    </w:lvl>
    <w:lvl w:ilvl="7">
      <w:start w:val="1"/>
      <w:numFmt w:val="decimal"/>
      <w:isLgl/>
      <w:lvlText w:val="%1.%2.%3.%4.%5.%6.%7.%8."/>
      <w:lvlJc w:val="left"/>
      <w:pPr>
        <w:ind w:left="2651" w:hanging="1800"/>
      </w:pPr>
    </w:lvl>
    <w:lvl w:ilvl="8">
      <w:start w:val="1"/>
      <w:numFmt w:val="decimal"/>
      <w:isLgl/>
      <w:lvlText w:val="%1.%2.%3.%4.%5.%6.%7.%8.%9."/>
      <w:lvlJc w:val="left"/>
      <w:pPr>
        <w:ind w:left="2651" w:hanging="1800"/>
      </w:pPr>
    </w:lvl>
  </w:abstractNum>
  <w:abstractNum w:abstractNumId="1" w15:restartNumberingAfterBreak="0">
    <w:nsid w:val="485F17FD"/>
    <w:multiLevelType w:val="hybridMultilevel"/>
    <w:tmpl w:val="D42EA5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C885394"/>
    <w:multiLevelType w:val="hybridMultilevel"/>
    <w:tmpl w:val="4FCA4D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C40210E"/>
    <w:multiLevelType w:val="hybridMultilevel"/>
    <w:tmpl w:val="AFC0D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18694557">
    <w:abstractNumId w:val="3"/>
  </w:num>
  <w:num w:numId="2" w16cid:durableId="2841670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15948238">
    <w:abstractNumId w:val="1"/>
  </w:num>
  <w:num w:numId="4" w16cid:durableId="227806588">
    <w:abstractNumId w:val="2"/>
  </w:num>
  <w:num w:numId="5" w16cid:durableId="936645078">
    <w:abstractNumId w:val="2"/>
  </w:num>
  <w:num w:numId="6" w16cid:durableId="19436802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FDB"/>
    <w:rsid w:val="003032DC"/>
    <w:rsid w:val="004A7A85"/>
    <w:rsid w:val="00B51E75"/>
    <w:rsid w:val="00F63FDB"/>
    <w:rsid w:val="00F94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AF328"/>
  <w15:chartTrackingRefBased/>
  <w15:docId w15:val="{1DAD7160-5F5D-47E5-B1E6-7962203B6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F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63FDB"/>
    <w:pPr>
      <w:keepNext/>
      <w:keepLines/>
      <w:spacing w:before="40" w:after="0" w:line="480" w:lineRule="auto"/>
      <w:jc w:val="both"/>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3FDB"/>
    <w:rPr>
      <w:color w:val="0563C1" w:themeColor="hyperlink"/>
      <w:u w:val="single"/>
    </w:rPr>
  </w:style>
  <w:style w:type="paragraph" w:styleId="TOC1">
    <w:name w:val="toc 1"/>
    <w:basedOn w:val="Normal"/>
    <w:next w:val="Normal"/>
    <w:autoRedefine/>
    <w:uiPriority w:val="39"/>
    <w:semiHidden/>
    <w:unhideWhenUsed/>
    <w:rsid w:val="00F63FDB"/>
    <w:pPr>
      <w:tabs>
        <w:tab w:val="left" w:pos="440"/>
        <w:tab w:val="right" w:leader="dot" w:pos="9016"/>
      </w:tabs>
      <w:spacing w:after="100" w:line="480" w:lineRule="auto"/>
      <w:jc w:val="both"/>
    </w:pPr>
    <w:rPr>
      <w:rFonts w:ascii="Times New Roman" w:hAnsi="Times New Roman"/>
      <w:b/>
      <w:bCs/>
      <w:noProof/>
      <w:sz w:val="24"/>
    </w:rPr>
  </w:style>
  <w:style w:type="paragraph" w:styleId="TOC2">
    <w:name w:val="toc 2"/>
    <w:basedOn w:val="Normal"/>
    <w:next w:val="Normal"/>
    <w:autoRedefine/>
    <w:uiPriority w:val="39"/>
    <w:semiHidden/>
    <w:unhideWhenUsed/>
    <w:rsid w:val="00F63FDB"/>
    <w:pPr>
      <w:spacing w:after="100" w:line="480" w:lineRule="auto"/>
      <w:ind w:left="240"/>
      <w:jc w:val="both"/>
    </w:pPr>
    <w:rPr>
      <w:rFonts w:ascii="Times New Roman" w:hAnsi="Times New Roman"/>
      <w:sz w:val="24"/>
    </w:rPr>
  </w:style>
  <w:style w:type="character" w:customStyle="1" w:styleId="Heading1Char">
    <w:name w:val="Heading 1 Char"/>
    <w:basedOn w:val="DefaultParagraphFont"/>
    <w:link w:val="Heading1"/>
    <w:uiPriority w:val="9"/>
    <w:rsid w:val="00F63F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63FDB"/>
    <w:pPr>
      <w:spacing w:line="256" w:lineRule="auto"/>
      <w:outlineLvl w:val="9"/>
    </w:pPr>
    <w:rPr>
      <w:lang w:val="en-US"/>
    </w:rPr>
  </w:style>
  <w:style w:type="paragraph" w:styleId="Bibliography">
    <w:name w:val="Bibliography"/>
    <w:basedOn w:val="Normal"/>
    <w:next w:val="Normal"/>
    <w:uiPriority w:val="37"/>
    <w:semiHidden/>
    <w:unhideWhenUsed/>
    <w:rsid w:val="00F63FDB"/>
    <w:pPr>
      <w:spacing w:line="480" w:lineRule="auto"/>
      <w:jc w:val="both"/>
    </w:pPr>
    <w:rPr>
      <w:rFonts w:ascii="Times New Roman" w:hAnsi="Times New Roman"/>
      <w:sz w:val="24"/>
    </w:rPr>
  </w:style>
  <w:style w:type="character" w:customStyle="1" w:styleId="Heading2Char">
    <w:name w:val="Heading 2 Char"/>
    <w:basedOn w:val="DefaultParagraphFont"/>
    <w:link w:val="Heading2"/>
    <w:uiPriority w:val="9"/>
    <w:semiHidden/>
    <w:rsid w:val="00F63FDB"/>
    <w:rPr>
      <w:rFonts w:ascii="Times New Roman" w:eastAsiaTheme="majorEastAsia" w:hAnsi="Times New Roman" w:cstheme="majorBidi"/>
      <w:b/>
      <w:sz w:val="26"/>
      <w:szCs w:val="26"/>
    </w:rPr>
  </w:style>
  <w:style w:type="paragraph" w:styleId="ListParagraph">
    <w:name w:val="List Paragraph"/>
    <w:basedOn w:val="Normal"/>
    <w:uiPriority w:val="34"/>
    <w:qFormat/>
    <w:rsid w:val="00F63FDB"/>
    <w:pPr>
      <w:spacing w:line="254" w:lineRule="auto"/>
      <w:ind w:left="720"/>
      <w:contextualSpacing/>
    </w:pPr>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939640">
      <w:bodyDiv w:val="1"/>
      <w:marLeft w:val="0"/>
      <w:marRight w:val="0"/>
      <w:marTop w:val="0"/>
      <w:marBottom w:val="0"/>
      <w:divBdr>
        <w:top w:val="none" w:sz="0" w:space="0" w:color="auto"/>
        <w:left w:val="none" w:sz="0" w:space="0" w:color="auto"/>
        <w:bottom w:val="none" w:sz="0" w:space="0" w:color="auto"/>
        <w:right w:val="none" w:sz="0" w:space="0" w:color="auto"/>
      </w:divBdr>
    </w:div>
    <w:div w:id="1247493467">
      <w:bodyDiv w:val="1"/>
      <w:marLeft w:val="0"/>
      <w:marRight w:val="0"/>
      <w:marTop w:val="0"/>
      <w:marBottom w:val="0"/>
      <w:divBdr>
        <w:top w:val="none" w:sz="0" w:space="0" w:color="auto"/>
        <w:left w:val="none" w:sz="0" w:space="0" w:color="auto"/>
        <w:bottom w:val="none" w:sz="0" w:space="0" w:color="auto"/>
        <w:right w:val="none" w:sz="0" w:space="0" w:color="auto"/>
      </w:divBdr>
    </w:div>
    <w:div w:id="1512571768">
      <w:bodyDiv w:val="1"/>
      <w:marLeft w:val="0"/>
      <w:marRight w:val="0"/>
      <w:marTop w:val="0"/>
      <w:marBottom w:val="0"/>
      <w:divBdr>
        <w:top w:val="none" w:sz="0" w:space="0" w:color="auto"/>
        <w:left w:val="none" w:sz="0" w:space="0" w:color="auto"/>
        <w:bottom w:val="none" w:sz="0" w:space="0" w:color="auto"/>
        <w:right w:val="none" w:sz="0" w:space="0" w:color="auto"/>
      </w:divBdr>
    </w:div>
    <w:div w:id="208615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3135</Words>
  <Characters>17875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Vlasceanu</dc:creator>
  <cp:keywords/>
  <dc:description/>
  <cp:lastModifiedBy>Iuliana Vlasceanu</cp:lastModifiedBy>
  <cp:revision>3</cp:revision>
  <dcterms:created xsi:type="dcterms:W3CDTF">2022-11-11T20:49:00Z</dcterms:created>
  <dcterms:modified xsi:type="dcterms:W3CDTF">2022-11-11T21:27:00Z</dcterms:modified>
</cp:coreProperties>
</file>