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4BC8F" w14:textId="595E1C85" w:rsidR="00D2553D" w:rsidRDefault="00B91D07" w:rsidP="006D0439">
      <w:pPr>
        <w:spacing w:line="360" w:lineRule="auto"/>
        <w:jc w:val="both"/>
        <w:rPr>
          <w:rFonts w:ascii="Arial" w:hAnsi="Arial" w:cs="Arial"/>
          <w:b/>
          <w:bCs/>
          <w:sz w:val="22"/>
          <w:szCs w:val="22"/>
        </w:rPr>
      </w:pPr>
      <w:r>
        <w:rPr>
          <w:noProof/>
        </w:rPr>
        <w:drawing>
          <wp:inline distT="0" distB="0" distL="0" distR="0" wp14:anchorId="7BC48287" wp14:editId="3CD0698F">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46046A2E" w14:textId="77777777" w:rsidR="00D2553D" w:rsidRDefault="00D2553D" w:rsidP="006D0439">
      <w:pPr>
        <w:spacing w:line="360" w:lineRule="auto"/>
        <w:jc w:val="both"/>
        <w:rPr>
          <w:rFonts w:ascii="Arial" w:hAnsi="Arial" w:cs="Arial"/>
          <w:b/>
          <w:bCs/>
          <w:sz w:val="22"/>
          <w:szCs w:val="22"/>
        </w:rPr>
      </w:pPr>
    </w:p>
    <w:p w14:paraId="2FF94161" w14:textId="77777777" w:rsidR="00D2553D" w:rsidRDefault="00D2553D" w:rsidP="006D0439">
      <w:pPr>
        <w:spacing w:line="360" w:lineRule="auto"/>
        <w:jc w:val="both"/>
        <w:rPr>
          <w:rFonts w:ascii="Arial" w:hAnsi="Arial" w:cs="Arial"/>
          <w:b/>
          <w:bCs/>
          <w:sz w:val="22"/>
          <w:szCs w:val="22"/>
        </w:rPr>
      </w:pPr>
    </w:p>
    <w:p w14:paraId="15E67A62" w14:textId="77777777" w:rsidR="006729E4" w:rsidRDefault="006729E4" w:rsidP="006D0439">
      <w:pPr>
        <w:spacing w:line="360" w:lineRule="auto"/>
        <w:jc w:val="both"/>
        <w:rPr>
          <w:rFonts w:ascii="Arial" w:hAnsi="Arial" w:cs="Arial"/>
          <w:b/>
          <w:bCs/>
          <w:sz w:val="22"/>
          <w:szCs w:val="22"/>
        </w:rPr>
      </w:pPr>
    </w:p>
    <w:p w14:paraId="68FE00EC" w14:textId="77777777" w:rsidR="006729E4" w:rsidRDefault="006729E4" w:rsidP="006D0439">
      <w:pPr>
        <w:spacing w:line="360" w:lineRule="auto"/>
        <w:jc w:val="both"/>
        <w:rPr>
          <w:rFonts w:ascii="Arial" w:hAnsi="Arial" w:cs="Arial"/>
          <w:b/>
          <w:bCs/>
          <w:sz w:val="22"/>
          <w:szCs w:val="22"/>
        </w:rPr>
      </w:pPr>
    </w:p>
    <w:p w14:paraId="330040EF" w14:textId="12B1998F" w:rsidR="0010612B" w:rsidRPr="008B0BDA" w:rsidRDefault="0010612B" w:rsidP="0010612B">
      <w:pPr>
        <w:spacing w:line="360" w:lineRule="auto"/>
        <w:jc w:val="both"/>
        <w:rPr>
          <w:rFonts w:ascii="Arial" w:eastAsia="Times New Roman" w:hAnsi="Arial" w:cs="Arial"/>
          <w:kern w:val="36"/>
          <w:sz w:val="32"/>
          <w:szCs w:val="32"/>
          <w:lang w:eastAsia="en-GB"/>
          <w14:ligatures w14:val="none"/>
        </w:rPr>
      </w:pPr>
      <w:r w:rsidRPr="00013C5D">
        <w:rPr>
          <w:rFonts w:ascii="Arial" w:hAnsi="Arial" w:cs="Arial"/>
          <w:sz w:val="32"/>
          <w:szCs w:val="32"/>
        </w:rPr>
        <w:t>Module name:</w:t>
      </w:r>
      <w:r w:rsidRPr="00013C5D">
        <w:rPr>
          <w:rFonts w:ascii="Arial" w:eastAsia="Times New Roman" w:hAnsi="Arial" w:cs="Arial"/>
          <w:b/>
          <w:bCs/>
          <w:kern w:val="36"/>
          <w:sz w:val="32"/>
          <w:szCs w:val="32"/>
          <w:lang w:eastAsia="en-GB"/>
          <w14:ligatures w14:val="none"/>
        </w:rPr>
        <w:t xml:space="preserve"> </w:t>
      </w:r>
      <w:r w:rsidR="008B0BDA" w:rsidRPr="008B0BDA">
        <w:rPr>
          <w:rFonts w:ascii="Arial" w:eastAsia="Times New Roman" w:hAnsi="Arial" w:cs="Arial"/>
          <w:kern w:val="36"/>
          <w:sz w:val="32"/>
          <w:szCs w:val="32"/>
          <w:lang w:eastAsia="en-GB"/>
          <w14:ligatures w14:val="none"/>
        </w:rPr>
        <w:t>Introduction to Independent Research Skills</w:t>
      </w:r>
    </w:p>
    <w:p w14:paraId="16D82EE2" w14:textId="2E5FFA7E" w:rsidR="0010612B" w:rsidRPr="00013C5D" w:rsidRDefault="0010612B" w:rsidP="0010612B">
      <w:pPr>
        <w:spacing w:line="360" w:lineRule="auto"/>
        <w:jc w:val="both"/>
        <w:rPr>
          <w:rFonts w:ascii="Arial" w:hAnsi="Arial" w:cs="Arial"/>
          <w:sz w:val="32"/>
          <w:szCs w:val="32"/>
        </w:rPr>
      </w:pPr>
      <w:r w:rsidRPr="00013C5D">
        <w:rPr>
          <w:rFonts w:ascii="Arial" w:hAnsi="Arial" w:cs="Arial"/>
          <w:sz w:val="32"/>
          <w:szCs w:val="32"/>
        </w:rPr>
        <w:t>Module number: (BMHP501</w:t>
      </w:r>
      <w:r>
        <w:rPr>
          <w:rFonts w:ascii="Arial" w:hAnsi="Arial" w:cs="Arial"/>
          <w:sz w:val="32"/>
          <w:szCs w:val="32"/>
        </w:rPr>
        <w:t>9</w:t>
      </w:r>
      <w:r w:rsidRPr="00013C5D">
        <w:rPr>
          <w:rFonts w:ascii="Arial" w:hAnsi="Arial" w:cs="Arial"/>
          <w:sz w:val="32"/>
          <w:szCs w:val="32"/>
        </w:rPr>
        <w:t>_BIRM)</w:t>
      </w:r>
    </w:p>
    <w:p w14:paraId="7E8B6518" w14:textId="77777777" w:rsidR="0010612B" w:rsidRPr="00013C5D" w:rsidRDefault="0010612B" w:rsidP="0010612B">
      <w:pPr>
        <w:spacing w:line="360" w:lineRule="auto"/>
        <w:jc w:val="both"/>
        <w:rPr>
          <w:rFonts w:ascii="Arial" w:hAnsi="Arial" w:cs="Arial"/>
          <w:sz w:val="32"/>
          <w:szCs w:val="32"/>
        </w:rPr>
      </w:pPr>
      <w:r w:rsidRPr="00013C5D">
        <w:rPr>
          <w:rFonts w:ascii="Arial" w:hAnsi="Arial" w:cs="Arial"/>
          <w:sz w:val="32"/>
          <w:szCs w:val="32"/>
        </w:rPr>
        <w:t>Student name: Melania Ciornei</w:t>
      </w:r>
    </w:p>
    <w:p w14:paraId="44B2577C" w14:textId="77777777" w:rsidR="0010612B" w:rsidRPr="00013C5D" w:rsidRDefault="0010612B" w:rsidP="0010612B">
      <w:pPr>
        <w:spacing w:line="360" w:lineRule="auto"/>
        <w:jc w:val="both"/>
        <w:rPr>
          <w:rFonts w:ascii="Arial" w:hAnsi="Arial" w:cs="Arial"/>
          <w:sz w:val="32"/>
          <w:szCs w:val="32"/>
        </w:rPr>
      </w:pPr>
      <w:r w:rsidRPr="00013C5D">
        <w:rPr>
          <w:rFonts w:ascii="Arial" w:hAnsi="Arial" w:cs="Arial"/>
          <w:sz w:val="32"/>
          <w:szCs w:val="32"/>
        </w:rPr>
        <w:t>Student number: 2329516</w:t>
      </w:r>
    </w:p>
    <w:p w14:paraId="08D2FD00" w14:textId="229AD30D" w:rsidR="0010612B" w:rsidRPr="00013C5D" w:rsidRDefault="0010612B" w:rsidP="0010612B">
      <w:pPr>
        <w:spacing w:line="360" w:lineRule="auto"/>
        <w:jc w:val="both"/>
        <w:rPr>
          <w:rFonts w:ascii="Arial" w:hAnsi="Arial" w:cs="Arial"/>
          <w:sz w:val="32"/>
          <w:szCs w:val="32"/>
        </w:rPr>
      </w:pPr>
      <w:r w:rsidRPr="00013C5D">
        <w:rPr>
          <w:rFonts w:ascii="Arial" w:hAnsi="Arial" w:cs="Arial"/>
          <w:sz w:val="32"/>
          <w:szCs w:val="32"/>
        </w:rPr>
        <w:t xml:space="preserve">Lecturer name: </w:t>
      </w:r>
      <w:r w:rsidR="00545301" w:rsidRPr="00545301">
        <w:rPr>
          <w:rFonts w:ascii="Arial" w:hAnsi="Arial" w:cs="Arial"/>
          <w:sz w:val="32"/>
          <w:szCs w:val="32"/>
        </w:rPr>
        <w:t>Rizwan Nadim</w:t>
      </w:r>
    </w:p>
    <w:p w14:paraId="1139FE06" w14:textId="77777777" w:rsidR="00D2553D" w:rsidRDefault="00D2553D" w:rsidP="006D0439">
      <w:pPr>
        <w:spacing w:line="360" w:lineRule="auto"/>
        <w:jc w:val="both"/>
        <w:rPr>
          <w:rFonts w:ascii="Arial" w:hAnsi="Arial" w:cs="Arial"/>
          <w:b/>
          <w:bCs/>
          <w:sz w:val="22"/>
          <w:szCs w:val="22"/>
        </w:rPr>
      </w:pPr>
    </w:p>
    <w:p w14:paraId="46F91C47" w14:textId="77777777" w:rsidR="00D2553D" w:rsidRDefault="00D2553D" w:rsidP="006D0439">
      <w:pPr>
        <w:spacing w:line="360" w:lineRule="auto"/>
        <w:jc w:val="both"/>
        <w:rPr>
          <w:rFonts w:ascii="Arial" w:hAnsi="Arial" w:cs="Arial"/>
          <w:b/>
          <w:bCs/>
          <w:sz w:val="22"/>
          <w:szCs w:val="22"/>
        </w:rPr>
      </w:pPr>
    </w:p>
    <w:p w14:paraId="12399436" w14:textId="76743642" w:rsidR="00B51211" w:rsidRPr="00B51211" w:rsidRDefault="00B51211" w:rsidP="00B51211">
      <w:pPr>
        <w:spacing w:line="360" w:lineRule="auto"/>
        <w:rPr>
          <w:rFonts w:ascii="Arial" w:hAnsi="Arial" w:cs="Arial"/>
          <w:b/>
          <w:bCs/>
          <w:sz w:val="40"/>
          <w:szCs w:val="40"/>
        </w:rPr>
      </w:pPr>
      <w:r w:rsidRPr="00B51211">
        <w:rPr>
          <w:rFonts w:ascii="Arial" w:hAnsi="Arial" w:cs="Arial"/>
          <w:b/>
          <w:bCs/>
          <w:sz w:val="40"/>
          <w:szCs w:val="40"/>
        </w:rPr>
        <w:t>Understanding Anxiety in Teenagers in the UK</w:t>
      </w:r>
      <w:r>
        <w:rPr>
          <w:rFonts w:ascii="Arial" w:hAnsi="Arial" w:cs="Arial"/>
          <w:b/>
          <w:bCs/>
          <w:sz w:val="40"/>
          <w:szCs w:val="40"/>
        </w:rPr>
        <w:t xml:space="preserve"> </w:t>
      </w:r>
      <w:r w:rsidR="008458BC">
        <w:rPr>
          <w:rFonts w:ascii="Arial" w:hAnsi="Arial" w:cs="Arial"/>
          <w:b/>
          <w:bCs/>
          <w:sz w:val="40"/>
          <w:szCs w:val="40"/>
        </w:rPr>
        <w:t>:</w:t>
      </w:r>
      <w:r>
        <w:rPr>
          <w:rFonts w:ascii="Arial" w:hAnsi="Arial" w:cs="Arial"/>
          <w:b/>
          <w:bCs/>
          <w:sz w:val="40"/>
          <w:szCs w:val="40"/>
        </w:rPr>
        <w:t xml:space="preserve">                                      </w:t>
      </w:r>
    </w:p>
    <w:p w14:paraId="7BA44F18" w14:textId="4A74890D" w:rsidR="00B51211" w:rsidRPr="00B51211" w:rsidRDefault="00B51211" w:rsidP="00B51211">
      <w:pPr>
        <w:spacing w:line="360" w:lineRule="auto"/>
        <w:rPr>
          <w:rFonts w:ascii="Arial" w:hAnsi="Arial" w:cs="Arial"/>
          <w:b/>
          <w:bCs/>
          <w:sz w:val="40"/>
          <w:szCs w:val="40"/>
        </w:rPr>
      </w:pPr>
      <w:r>
        <w:rPr>
          <w:rFonts w:ascii="Arial" w:hAnsi="Arial" w:cs="Arial"/>
          <w:b/>
          <w:bCs/>
          <w:sz w:val="22"/>
          <w:szCs w:val="22"/>
        </w:rPr>
        <w:t xml:space="preserve">                                    </w:t>
      </w:r>
      <w:r w:rsidRPr="00B51211">
        <w:rPr>
          <w:rFonts w:ascii="Arial" w:hAnsi="Arial" w:cs="Arial"/>
          <w:b/>
          <w:bCs/>
          <w:sz w:val="40"/>
          <w:szCs w:val="40"/>
        </w:rPr>
        <w:t>A Scoping Review</w:t>
      </w:r>
    </w:p>
    <w:p w14:paraId="76B23B31" w14:textId="697B5882" w:rsidR="00D2553D" w:rsidRDefault="00D2553D" w:rsidP="006D0439">
      <w:pPr>
        <w:spacing w:line="360" w:lineRule="auto"/>
        <w:jc w:val="both"/>
        <w:rPr>
          <w:rFonts w:ascii="Arial" w:hAnsi="Arial" w:cs="Arial"/>
          <w:b/>
          <w:bCs/>
          <w:sz w:val="22"/>
          <w:szCs w:val="22"/>
        </w:rPr>
      </w:pPr>
    </w:p>
    <w:p w14:paraId="4350BF7D" w14:textId="77777777" w:rsidR="00D2553D" w:rsidRDefault="00D2553D" w:rsidP="006D0439">
      <w:pPr>
        <w:spacing w:line="360" w:lineRule="auto"/>
        <w:jc w:val="both"/>
        <w:rPr>
          <w:rFonts w:ascii="Arial" w:hAnsi="Arial" w:cs="Arial"/>
          <w:b/>
          <w:bCs/>
          <w:sz w:val="22"/>
          <w:szCs w:val="22"/>
        </w:rPr>
      </w:pPr>
    </w:p>
    <w:p w14:paraId="606EAF58" w14:textId="77777777" w:rsidR="0062607D" w:rsidRDefault="0062607D" w:rsidP="006D0439">
      <w:pPr>
        <w:spacing w:line="360" w:lineRule="auto"/>
        <w:jc w:val="both"/>
        <w:rPr>
          <w:rFonts w:ascii="Arial" w:hAnsi="Arial" w:cs="Arial"/>
          <w:b/>
          <w:bCs/>
          <w:sz w:val="22"/>
          <w:szCs w:val="22"/>
        </w:rPr>
      </w:pPr>
    </w:p>
    <w:p w14:paraId="3098046C" w14:textId="77777777" w:rsidR="006729E4" w:rsidRDefault="006729E4" w:rsidP="006D0439">
      <w:pPr>
        <w:spacing w:line="360" w:lineRule="auto"/>
        <w:jc w:val="both"/>
        <w:rPr>
          <w:rFonts w:ascii="Arial" w:hAnsi="Arial" w:cs="Arial"/>
          <w:b/>
          <w:bCs/>
          <w:sz w:val="22"/>
          <w:szCs w:val="22"/>
        </w:rPr>
      </w:pPr>
    </w:p>
    <w:p w14:paraId="032BB94F" w14:textId="77777777" w:rsidR="006D0439" w:rsidRDefault="006D0439" w:rsidP="006D0439">
      <w:pPr>
        <w:spacing w:line="360" w:lineRule="auto"/>
        <w:jc w:val="both"/>
        <w:rPr>
          <w:rFonts w:ascii="Arial" w:hAnsi="Arial" w:cs="Arial"/>
          <w:b/>
          <w:bCs/>
          <w:sz w:val="28"/>
          <w:szCs w:val="28"/>
        </w:rPr>
      </w:pPr>
      <w:r w:rsidRPr="00B51211">
        <w:rPr>
          <w:rFonts w:ascii="Arial" w:hAnsi="Arial" w:cs="Arial"/>
          <w:b/>
          <w:bCs/>
          <w:sz w:val="28"/>
          <w:szCs w:val="28"/>
        </w:rPr>
        <w:lastRenderedPageBreak/>
        <w:t>Background and Rationale</w:t>
      </w:r>
    </w:p>
    <w:p w14:paraId="5602EF8C" w14:textId="77777777" w:rsidR="00B577F3" w:rsidRPr="00B577F3" w:rsidRDefault="00B577F3" w:rsidP="00B577F3">
      <w:pPr>
        <w:spacing w:line="360" w:lineRule="auto"/>
        <w:jc w:val="both"/>
        <w:rPr>
          <w:rFonts w:ascii="Arial" w:hAnsi="Arial" w:cs="Arial"/>
          <w:sz w:val="22"/>
          <w:szCs w:val="22"/>
        </w:rPr>
      </w:pPr>
      <w:r w:rsidRPr="00B577F3">
        <w:rPr>
          <w:rFonts w:ascii="Arial" w:hAnsi="Arial" w:cs="Arial"/>
          <w:sz w:val="22"/>
          <w:szCs w:val="22"/>
        </w:rPr>
        <w:t>Anxiety disorders are among the most common mental health difficulties experienced by teenagers and represent a significant concern within UK health, social care, and education settings (Laver-Bradbury et al., 2021; NICE, 2023). Adolescence is a key developmental period, and persistent anxiety can negatively affect education, peer relationships, emotional wellbeing, and long-term mental health outcomes (Merikangas et al., 2010).</w:t>
      </w:r>
    </w:p>
    <w:p w14:paraId="71E6E73B" w14:textId="7C4ECF50" w:rsidR="00B577F3" w:rsidRPr="008458BC" w:rsidRDefault="00B577F3" w:rsidP="006D0439">
      <w:pPr>
        <w:spacing w:line="360" w:lineRule="auto"/>
        <w:jc w:val="both"/>
        <w:rPr>
          <w:rFonts w:ascii="Arial" w:hAnsi="Arial" w:cs="Arial"/>
          <w:sz w:val="22"/>
          <w:szCs w:val="22"/>
        </w:rPr>
      </w:pPr>
      <w:r w:rsidRPr="00B577F3">
        <w:rPr>
          <w:rFonts w:ascii="Arial" w:hAnsi="Arial" w:cs="Arial"/>
          <w:sz w:val="22"/>
          <w:szCs w:val="22"/>
        </w:rPr>
        <w:t>Although a substantial body of research explores anxiety in teenagers, evidence is dispersed across healthcare, education, and digital mental health, with inconsistent findings and identified barriers to help-seeking (Walter et al., 2020; Radez et al., 2022). The expansion of digital mental health approaches adds further complexity to the evidence base (Potenza, Faust and Faust, 2020). A scoping review is therefore appropriate to provide an overview of the evidence and support evidence-informed practice.</w:t>
      </w:r>
    </w:p>
    <w:p w14:paraId="0525AA6A" w14:textId="6C1130D6" w:rsidR="006D0439" w:rsidRPr="006A6159" w:rsidRDefault="006D0439" w:rsidP="006A6159">
      <w:pPr>
        <w:spacing w:line="360" w:lineRule="auto"/>
        <w:jc w:val="both"/>
        <w:rPr>
          <w:rFonts w:ascii="Arial" w:hAnsi="Arial" w:cs="Arial"/>
          <w:b/>
          <w:bCs/>
          <w:sz w:val="22"/>
          <w:szCs w:val="22"/>
        </w:rPr>
      </w:pPr>
      <w:r w:rsidRPr="006A6159">
        <w:rPr>
          <w:rFonts w:ascii="Arial" w:hAnsi="Arial" w:cs="Arial"/>
          <w:b/>
          <w:bCs/>
          <w:sz w:val="22"/>
          <w:szCs w:val="22"/>
        </w:rPr>
        <w:t>Research Aim and Objectives</w:t>
      </w:r>
    </w:p>
    <w:p w14:paraId="085AC455" w14:textId="77777777" w:rsidR="006A6159" w:rsidRPr="006A6159" w:rsidRDefault="006A6159" w:rsidP="006A6159">
      <w:pPr>
        <w:spacing w:line="360" w:lineRule="auto"/>
        <w:jc w:val="both"/>
        <w:rPr>
          <w:rFonts w:ascii="Arial" w:hAnsi="Arial" w:cs="Arial"/>
          <w:sz w:val="22"/>
          <w:szCs w:val="22"/>
        </w:rPr>
      </w:pPr>
      <w:r w:rsidRPr="006A6159">
        <w:rPr>
          <w:rFonts w:ascii="Arial" w:hAnsi="Arial" w:cs="Arial"/>
          <w:sz w:val="22"/>
          <w:szCs w:val="22"/>
        </w:rPr>
        <w:t>The primary aim of this study is to conduct a scoping review of peer-reviewed literature on anxiety in UK teenagers.</w:t>
      </w:r>
    </w:p>
    <w:p w14:paraId="1D2A9898" w14:textId="77777777" w:rsidR="006A6159" w:rsidRPr="006A6159" w:rsidRDefault="006A6159" w:rsidP="006A6159">
      <w:pPr>
        <w:spacing w:line="360" w:lineRule="auto"/>
        <w:jc w:val="both"/>
        <w:rPr>
          <w:rFonts w:ascii="Arial" w:hAnsi="Arial" w:cs="Arial"/>
          <w:sz w:val="22"/>
          <w:szCs w:val="22"/>
        </w:rPr>
      </w:pPr>
      <w:r w:rsidRPr="006A6159">
        <w:rPr>
          <w:rFonts w:ascii="Arial" w:hAnsi="Arial" w:cs="Arial"/>
          <w:sz w:val="22"/>
          <w:szCs w:val="22"/>
        </w:rPr>
        <w:t>The objectives are to:</w:t>
      </w:r>
    </w:p>
    <w:p w14:paraId="062CBD0A" w14:textId="77777777" w:rsidR="006A6159" w:rsidRPr="006A6159" w:rsidRDefault="006A6159" w:rsidP="006A6159">
      <w:pPr>
        <w:numPr>
          <w:ilvl w:val="0"/>
          <w:numId w:val="5"/>
        </w:numPr>
        <w:spacing w:line="360" w:lineRule="auto"/>
        <w:jc w:val="both"/>
        <w:rPr>
          <w:rFonts w:ascii="Arial" w:hAnsi="Arial" w:cs="Arial"/>
          <w:sz w:val="22"/>
          <w:szCs w:val="22"/>
        </w:rPr>
      </w:pPr>
      <w:r w:rsidRPr="006A6159">
        <w:rPr>
          <w:rFonts w:ascii="Arial" w:hAnsi="Arial" w:cs="Arial"/>
          <w:sz w:val="22"/>
          <w:szCs w:val="22"/>
        </w:rPr>
        <w:t>Identify and categorise key themes within the literature.</w:t>
      </w:r>
    </w:p>
    <w:p w14:paraId="7D5CD67C" w14:textId="77777777" w:rsidR="006A6159" w:rsidRPr="006A6159" w:rsidRDefault="006A6159" w:rsidP="006A6159">
      <w:pPr>
        <w:numPr>
          <w:ilvl w:val="0"/>
          <w:numId w:val="5"/>
        </w:numPr>
        <w:spacing w:line="360" w:lineRule="auto"/>
        <w:jc w:val="both"/>
        <w:rPr>
          <w:rFonts w:ascii="Arial" w:hAnsi="Arial" w:cs="Arial"/>
          <w:sz w:val="22"/>
          <w:szCs w:val="22"/>
        </w:rPr>
      </w:pPr>
      <w:r w:rsidRPr="006A6159">
        <w:rPr>
          <w:rFonts w:ascii="Arial" w:hAnsi="Arial" w:cs="Arial"/>
          <w:sz w:val="22"/>
          <w:szCs w:val="22"/>
        </w:rPr>
        <w:t>Examine reported risk factors, lived experiences, and support or intervention approaches, including digital interventions.</w:t>
      </w:r>
    </w:p>
    <w:p w14:paraId="722D7ED8" w14:textId="0643F4BE" w:rsidR="006A6159" w:rsidRPr="006A6159" w:rsidRDefault="006A6159" w:rsidP="006D0439">
      <w:pPr>
        <w:numPr>
          <w:ilvl w:val="0"/>
          <w:numId w:val="5"/>
        </w:numPr>
        <w:spacing w:line="360" w:lineRule="auto"/>
        <w:jc w:val="both"/>
        <w:rPr>
          <w:rFonts w:ascii="Arial" w:hAnsi="Arial" w:cs="Arial"/>
          <w:sz w:val="22"/>
          <w:szCs w:val="22"/>
        </w:rPr>
      </w:pPr>
      <w:r w:rsidRPr="006A6159">
        <w:rPr>
          <w:rFonts w:ascii="Arial" w:hAnsi="Arial" w:cs="Arial"/>
          <w:sz w:val="22"/>
          <w:szCs w:val="22"/>
        </w:rPr>
        <w:t>Identify evidence gaps to inform future research and professional practice.</w:t>
      </w:r>
    </w:p>
    <w:p w14:paraId="4A8A8627" w14:textId="77777777" w:rsidR="00322A1D" w:rsidRPr="00322A1D" w:rsidRDefault="00322A1D" w:rsidP="00322A1D">
      <w:pPr>
        <w:spacing w:line="360" w:lineRule="auto"/>
        <w:jc w:val="both"/>
        <w:rPr>
          <w:rFonts w:ascii="Arial" w:hAnsi="Arial" w:cs="Arial"/>
          <w:b/>
          <w:bCs/>
        </w:rPr>
      </w:pPr>
      <w:r w:rsidRPr="00322A1D">
        <w:rPr>
          <w:rFonts w:ascii="Arial" w:hAnsi="Arial" w:cs="Arial"/>
          <w:b/>
          <w:bCs/>
        </w:rPr>
        <w:t>Research Question</w:t>
      </w:r>
    </w:p>
    <w:p w14:paraId="0DB8E9D6" w14:textId="1B7589DF" w:rsidR="007D03D9" w:rsidRPr="00927299" w:rsidRDefault="00927299" w:rsidP="006D0439">
      <w:pPr>
        <w:spacing w:line="360" w:lineRule="auto"/>
        <w:jc w:val="both"/>
        <w:rPr>
          <w:rFonts w:ascii="Arial" w:hAnsi="Arial" w:cs="Arial"/>
          <w:sz w:val="22"/>
          <w:szCs w:val="22"/>
        </w:rPr>
      </w:pPr>
      <w:r w:rsidRPr="00927299">
        <w:rPr>
          <w:rFonts w:ascii="Arial" w:hAnsi="Arial" w:cs="Arial"/>
          <w:sz w:val="22"/>
          <w:szCs w:val="22"/>
        </w:rPr>
        <w:t>What key themes are reported in peer-reviewed literature on anxiety in teenagers in the UK, including approaches to support and intervention?</w:t>
      </w:r>
    </w:p>
    <w:p w14:paraId="5A6B97B8" w14:textId="40DA740A" w:rsidR="000D637A" w:rsidRPr="008C32F2" w:rsidRDefault="006D0439" w:rsidP="000D637A">
      <w:pPr>
        <w:spacing w:line="360" w:lineRule="auto"/>
        <w:jc w:val="both"/>
        <w:rPr>
          <w:rFonts w:ascii="Arial" w:hAnsi="Arial" w:cs="Arial"/>
          <w:b/>
          <w:bCs/>
          <w:sz w:val="28"/>
          <w:szCs w:val="28"/>
        </w:rPr>
      </w:pPr>
      <w:r w:rsidRPr="00B51211">
        <w:rPr>
          <w:rFonts w:ascii="Arial" w:hAnsi="Arial" w:cs="Arial"/>
          <w:b/>
          <w:bCs/>
          <w:sz w:val="28"/>
          <w:szCs w:val="28"/>
        </w:rPr>
        <w:t>Methodology</w:t>
      </w:r>
    </w:p>
    <w:p w14:paraId="702B367E" w14:textId="77777777" w:rsidR="0065559F" w:rsidRDefault="0065559F" w:rsidP="000D637A">
      <w:pPr>
        <w:spacing w:line="360" w:lineRule="auto"/>
        <w:jc w:val="both"/>
        <w:rPr>
          <w:rFonts w:ascii="Arial" w:hAnsi="Arial" w:cs="Arial"/>
          <w:sz w:val="22"/>
          <w:szCs w:val="22"/>
        </w:rPr>
      </w:pPr>
      <w:r w:rsidRPr="0065559F">
        <w:rPr>
          <w:rFonts w:ascii="Arial" w:hAnsi="Arial" w:cs="Arial"/>
          <w:sz w:val="22"/>
          <w:szCs w:val="22"/>
        </w:rPr>
        <w:t>This scoping review will be conducted in accordance with the five-stage framework proposed by Arksey and O’Malley (2005), comprising identification of the research question, identification of relevant studies, study selection, data charting, and collation and synthesis of findings.</w:t>
      </w:r>
    </w:p>
    <w:p w14:paraId="12FD4645" w14:textId="0E01A532" w:rsidR="000D637A" w:rsidRPr="000D637A" w:rsidRDefault="000D637A" w:rsidP="000D637A">
      <w:pPr>
        <w:spacing w:line="360" w:lineRule="auto"/>
        <w:jc w:val="both"/>
        <w:rPr>
          <w:rFonts w:ascii="Arial" w:hAnsi="Arial" w:cs="Arial"/>
          <w:b/>
          <w:bCs/>
          <w:sz w:val="22"/>
          <w:szCs w:val="22"/>
        </w:rPr>
      </w:pPr>
      <w:r w:rsidRPr="000D637A">
        <w:rPr>
          <w:rFonts w:ascii="Arial" w:hAnsi="Arial" w:cs="Arial"/>
          <w:b/>
          <w:bCs/>
          <w:sz w:val="22"/>
          <w:szCs w:val="22"/>
        </w:rPr>
        <w:t>Identification of Relevant Studies</w:t>
      </w:r>
    </w:p>
    <w:p w14:paraId="6C8FEA39" w14:textId="77777777" w:rsidR="00940709" w:rsidRPr="00EA4549" w:rsidRDefault="001B75C5" w:rsidP="000D637A">
      <w:pPr>
        <w:spacing w:line="360" w:lineRule="auto"/>
        <w:jc w:val="both"/>
        <w:rPr>
          <w:rFonts w:ascii="Arial" w:hAnsi="Arial" w:cs="Arial"/>
          <w:sz w:val="22"/>
          <w:szCs w:val="22"/>
        </w:rPr>
      </w:pPr>
      <w:r w:rsidRPr="00EA4549">
        <w:rPr>
          <w:rFonts w:ascii="Arial" w:hAnsi="Arial" w:cs="Arial"/>
          <w:sz w:val="22"/>
          <w:szCs w:val="22"/>
        </w:rPr>
        <w:lastRenderedPageBreak/>
        <w:t>Electronic searches will be conducted using PubMed and Google Scholar. Keywords will include anxiety, teenagers, adolescents, UK, CAMHS, and digital mental health. Search terms will be refined iteratively to maintain relevance while preserving breadth, consistent with the exploratory nature of a scoping review.</w:t>
      </w:r>
    </w:p>
    <w:p w14:paraId="7E4F751D" w14:textId="47BE80D8" w:rsidR="000D637A" w:rsidRPr="000D637A" w:rsidRDefault="000D637A" w:rsidP="000D637A">
      <w:pPr>
        <w:spacing w:line="360" w:lineRule="auto"/>
        <w:jc w:val="both"/>
        <w:rPr>
          <w:rFonts w:ascii="Arial" w:hAnsi="Arial" w:cs="Arial"/>
          <w:b/>
          <w:bCs/>
          <w:sz w:val="22"/>
          <w:szCs w:val="22"/>
        </w:rPr>
      </w:pPr>
      <w:r w:rsidRPr="000D637A">
        <w:rPr>
          <w:rFonts w:ascii="Arial" w:hAnsi="Arial" w:cs="Arial"/>
          <w:b/>
          <w:bCs/>
          <w:sz w:val="22"/>
          <w:szCs w:val="22"/>
        </w:rPr>
        <w:t xml:space="preserve">Study Selection </w:t>
      </w:r>
    </w:p>
    <w:p w14:paraId="4175A808" w14:textId="77777777" w:rsidR="000D637A" w:rsidRDefault="000D637A" w:rsidP="000D637A">
      <w:pPr>
        <w:spacing w:line="360" w:lineRule="auto"/>
        <w:jc w:val="both"/>
        <w:rPr>
          <w:rFonts w:ascii="Arial" w:hAnsi="Arial" w:cs="Arial"/>
          <w:sz w:val="22"/>
          <w:szCs w:val="22"/>
        </w:rPr>
      </w:pPr>
      <w:r w:rsidRPr="000D637A">
        <w:rPr>
          <w:rFonts w:ascii="Arial" w:hAnsi="Arial" w:cs="Arial"/>
          <w:b/>
          <w:bCs/>
          <w:sz w:val="22"/>
          <w:szCs w:val="22"/>
        </w:rPr>
        <w:t>Inclusion criteria:</w:t>
      </w:r>
      <w:r w:rsidRPr="000D637A">
        <w:rPr>
          <w:rFonts w:ascii="Arial" w:hAnsi="Arial" w:cs="Arial"/>
          <w:sz w:val="22"/>
          <w:szCs w:val="22"/>
        </w:rPr>
        <w:t xml:space="preserve"> Peer-reviewed studies published in English within the last 10 years, focusing on anxiety in teenagers in the UK.</w:t>
      </w:r>
    </w:p>
    <w:p w14:paraId="494CC55B" w14:textId="7EE23955" w:rsidR="000D637A" w:rsidRPr="000D637A" w:rsidRDefault="000D637A" w:rsidP="000D637A">
      <w:pPr>
        <w:spacing w:line="360" w:lineRule="auto"/>
        <w:jc w:val="both"/>
        <w:rPr>
          <w:rFonts w:ascii="Arial" w:hAnsi="Arial" w:cs="Arial"/>
          <w:sz w:val="22"/>
          <w:szCs w:val="22"/>
        </w:rPr>
      </w:pPr>
      <w:r w:rsidRPr="000D637A">
        <w:rPr>
          <w:rFonts w:ascii="Arial" w:hAnsi="Arial" w:cs="Arial"/>
          <w:b/>
          <w:bCs/>
          <w:sz w:val="22"/>
          <w:szCs w:val="22"/>
        </w:rPr>
        <w:t>Exclusion criteria:</w:t>
      </w:r>
      <w:r w:rsidRPr="000D637A">
        <w:rPr>
          <w:rFonts w:ascii="Arial" w:hAnsi="Arial" w:cs="Arial"/>
          <w:sz w:val="22"/>
          <w:szCs w:val="22"/>
        </w:rPr>
        <w:t xml:space="preserve"> </w:t>
      </w:r>
      <w:r w:rsidR="002F2979" w:rsidRPr="000D637A">
        <w:rPr>
          <w:rFonts w:ascii="Arial" w:hAnsi="Arial" w:cs="Arial"/>
          <w:sz w:val="22"/>
          <w:szCs w:val="22"/>
        </w:rPr>
        <w:t>non-peer</w:t>
      </w:r>
      <w:r w:rsidRPr="000D637A">
        <w:rPr>
          <w:rFonts w:ascii="Arial" w:hAnsi="Arial" w:cs="Arial"/>
          <w:sz w:val="22"/>
          <w:szCs w:val="22"/>
        </w:rPr>
        <w:t>-reviewed literature, studies conducted outside the UK, and research not focused on adolescent anxiety.</w:t>
      </w:r>
    </w:p>
    <w:p w14:paraId="213C1C96" w14:textId="77777777" w:rsidR="000D637A" w:rsidRDefault="000D637A" w:rsidP="000D637A">
      <w:pPr>
        <w:spacing w:line="360" w:lineRule="auto"/>
        <w:jc w:val="both"/>
        <w:rPr>
          <w:rFonts w:ascii="Arial" w:hAnsi="Arial" w:cs="Arial"/>
          <w:b/>
          <w:bCs/>
          <w:sz w:val="22"/>
          <w:szCs w:val="22"/>
        </w:rPr>
      </w:pPr>
      <w:r w:rsidRPr="000D637A">
        <w:rPr>
          <w:rFonts w:ascii="Arial" w:hAnsi="Arial" w:cs="Arial"/>
          <w:b/>
          <w:bCs/>
          <w:sz w:val="22"/>
          <w:szCs w:val="22"/>
        </w:rPr>
        <w:t>Data Analysis</w:t>
      </w:r>
    </w:p>
    <w:p w14:paraId="10FBAE28" w14:textId="5A790A08" w:rsidR="0051660B" w:rsidRPr="0051660B" w:rsidRDefault="0051660B" w:rsidP="000D637A">
      <w:pPr>
        <w:spacing w:line="360" w:lineRule="auto"/>
        <w:jc w:val="both"/>
        <w:rPr>
          <w:rFonts w:ascii="Arial" w:hAnsi="Arial" w:cs="Arial"/>
          <w:sz w:val="22"/>
          <w:szCs w:val="22"/>
        </w:rPr>
      </w:pPr>
      <w:r w:rsidRPr="0051660B">
        <w:rPr>
          <w:rFonts w:ascii="Arial" w:hAnsi="Arial" w:cs="Arial"/>
          <w:sz w:val="22"/>
          <w:szCs w:val="22"/>
        </w:rPr>
        <w:t>Data will be analysed using Aveyard’s (2014) simplified thematic analysis to identify themes. As a scoping review, this study aims to map evidence rather than critically appraise study quality, which may limit conclusions regarding the effectiveness of interventions (Arksey and O’Malley, 2005).</w:t>
      </w:r>
    </w:p>
    <w:p w14:paraId="220A35C0" w14:textId="4DAFCD4A" w:rsidR="006D0439" w:rsidRDefault="006D0439" w:rsidP="006D0439">
      <w:pPr>
        <w:spacing w:line="360" w:lineRule="auto"/>
        <w:jc w:val="both"/>
        <w:rPr>
          <w:rFonts w:ascii="Arial" w:hAnsi="Arial" w:cs="Arial"/>
          <w:b/>
          <w:bCs/>
        </w:rPr>
      </w:pPr>
      <w:r w:rsidRPr="00B51211">
        <w:rPr>
          <w:rFonts w:ascii="Arial" w:hAnsi="Arial" w:cs="Arial"/>
          <w:b/>
          <w:bCs/>
        </w:rPr>
        <w:t>Expected Outcomes</w:t>
      </w:r>
    </w:p>
    <w:p w14:paraId="0A5360DA" w14:textId="4B187C22" w:rsidR="00B577F3" w:rsidRPr="00B577F3" w:rsidRDefault="00B577F3" w:rsidP="006D0439">
      <w:pPr>
        <w:spacing w:line="360" w:lineRule="auto"/>
        <w:jc w:val="both"/>
        <w:rPr>
          <w:rFonts w:ascii="Arial" w:hAnsi="Arial" w:cs="Arial"/>
          <w:sz w:val="22"/>
          <w:szCs w:val="22"/>
        </w:rPr>
      </w:pPr>
      <w:r w:rsidRPr="00B577F3">
        <w:rPr>
          <w:rFonts w:ascii="Arial" w:hAnsi="Arial" w:cs="Arial"/>
          <w:sz w:val="22"/>
          <w:szCs w:val="22"/>
        </w:rPr>
        <w:t>The scoping review will produce a thematic overview of anxiety in UK teenagers, clarifying evidence and identifying priorities for future research and service development.</w:t>
      </w:r>
    </w:p>
    <w:p w14:paraId="0C9DBCCD" w14:textId="77777777" w:rsidR="006D0439" w:rsidRPr="00B51211" w:rsidRDefault="006D0439" w:rsidP="006D0439">
      <w:pPr>
        <w:spacing w:line="360" w:lineRule="auto"/>
        <w:jc w:val="both"/>
        <w:rPr>
          <w:rFonts w:ascii="Arial" w:hAnsi="Arial" w:cs="Arial"/>
          <w:b/>
          <w:bCs/>
        </w:rPr>
      </w:pPr>
      <w:r w:rsidRPr="00B51211">
        <w:rPr>
          <w:rFonts w:ascii="Arial" w:hAnsi="Arial" w:cs="Arial"/>
          <w:b/>
          <w:bCs/>
        </w:rPr>
        <w:t>Ethical Considerations</w:t>
      </w:r>
    </w:p>
    <w:p w14:paraId="3CC98166" w14:textId="24208D01" w:rsidR="009E1A95" w:rsidRDefault="00915EF0" w:rsidP="00C45678">
      <w:pPr>
        <w:spacing w:line="360" w:lineRule="auto"/>
        <w:jc w:val="both"/>
        <w:rPr>
          <w:rFonts w:ascii="Arial" w:hAnsi="Arial" w:cs="Arial"/>
          <w:sz w:val="22"/>
          <w:szCs w:val="22"/>
        </w:rPr>
      </w:pPr>
      <w:r w:rsidRPr="00915EF0">
        <w:rPr>
          <w:rFonts w:ascii="Arial" w:hAnsi="Arial" w:cs="Arial"/>
          <w:sz w:val="22"/>
          <w:szCs w:val="22"/>
        </w:rPr>
        <w:t>Ethical research practice will be maintained through accurate reporting, transparent synthesis of published sources, and appropriate citation, in line with principles of academic integrity (Creswell, 2014).</w:t>
      </w:r>
    </w:p>
    <w:p w14:paraId="03D9A9FB" w14:textId="77777777" w:rsidR="006D0439" w:rsidRDefault="006D0439" w:rsidP="00C45678">
      <w:pPr>
        <w:spacing w:line="360" w:lineRule="auto"/>
        <w:jc w:val="both"/>
        <w:rPr>
          <w:rFonts w:ascii="Arial" w:hAnsi="Arial" w:cs="Arial"/>
          <w:sz w:val="22"/>
          <w:szCs w:val="22"/>
        </w:rPr>
      </w:pPr>
    </w:p>
    <w:p w14:paraId="41291AE3" w14:textId="77777777" w:rsidR="006D0439" w:rsidRDefault="006D0439" w:rsidP="00C45678">
      <w:pPr>
        <w:spacing w:line="360" w:lineRule="auto"/>
        <w:jc w:val="both"/>
        <w:rPr>
          <w:rFonts w:ascii="Arial" w:hAnsi="Arial" w:cs="Arial"/>
          <w:sz w:val="22"/>
          <w:szCs w:val="22"/>
        </w:rPr>
      </w:pPr>
    </w:p>
    <w:p w14:paraId="592B5F41" w14:textId="77777777" w:rsidR="006D0439" w:rsidRDefault="006D0439" w:rsidP="00C45678">
      <w:pPr>
        <w:spacing w:line="360" w:lineRule="auto"/>
        <w:jc w:val="both"/>
        <w:rPr>
          <w:rFonts w:ascii="Arial" w:hAnsi="Arial" w:cs="Arial"/>
          <w:sz w:val="22"/>
          <w:szCs w:val="22"/>
        </w:rPr>
      </w:pPr>
    </w:p>
    <w:p w14:paraId="384C2A87" w14:textId="77777777" w:rsidR="006D0439" w:rsidRDefault="006D0439" w:rsidP="00C45678">
      <w:pPr>
        <w:spacing w:line="360" w:lineRule="auto"/>
        <w:jc w:val="both"/>
        <w:rPr>
          <w:rFonts w:ascii="Arial" w:hAnsi="Arial" w:cs="Arial"/>
          <w:sz w:val="22"/>
          <w:szCs w:val="22"/>
        </w:rPr>
      </w:pPr>
    </w:p>
    <w:p w14:paraId="7FA4D54F" w14:textId="77777777" w:rsidR="00B577F3" w:rsidRDefault="00B577F3" w:rsidP="00C45678">
      <w:pPr>
        <w:spacing w:line="360" w:lineRule="auto"/>
        <w:jc w:val="both"/>
        <w:rPr>
          <w:rFonts w:ascii="Arial" w:hAnsi="Arial" w:cs="Arial"/>
          <w:sz w:val="22"/>
          <w:szCs w:val="22"/>
        </w:rPr>
      </w:pPr>
    </w:p>
    <w:p w14:paraId="10502C4E" w14:textId="77777777" w:rsidR="00874DE8" w:rsidRDefault="00874DE8" w:rsidP="00C45678">
      <w:pPr>
        <w:spacing w:line="360" w:lineRule="auto"/>
        <w:jc w:val="both"/>
        <w:rPr>
          <w:rFonts w:ascii="Arial" w:hAnsi="Arial" w:cs="Arial"/>
          <w:sz w:val="22"/>
          <w:szCs w:val="22"/>
        </w:rPr>
      </w:pPr>
    </w:p>
    <w:p w14:paraId="12409C50" w14:textId="77777777" w:rsidR="006D0439" w:rsidRDefault="006D0439" w:rsidP="00C45678">
      <w:pPr>
        <w:spacing w:line="360" w:lineRule="auto"/>
        <w:jc w:val="both"/>
        <w:rPr>
          <w:rFonts w:ascii="Arial" w:hAnsi="Arial" w:cs="Arial"/>
          <w:sz w:val="22"/>
          <w:szCs w:val="22"/>
        </w:rPr>
      </w:pPr>
    </w:p>
    <w:p w14:paraId="4B94A77F" w14:textId="77777777" w:rsidR="006D0439" w:rsidRDefault="006D0439" w:rsidP="00C45678">
      <w:pPr>
        <w:spacing w:line="360" w:lineRule="auto"/>
        <w:jc w:val="both"/>
        <w:rPr>
          <w:rFonts w:ascii="Arial" w:hAnsi="Arial" w:cs="Arial"/>
          <w:sz w:val="22"/>
          <w:szCs w:val="22"/>
        </w:rPr>
      </w:pPr>
    </w:p>
    <w:p w14:paraId="5F038492" w14:textId="493D312F" w:rsidR="009E1A95" w:rsidRDefault="009E1A95" w:rsidP="00C45678">
      <w:pPr>
        <w:spacing w:line="360" w:lineRule="auto"/>
        <w:jc w:val="both"/>
        <w:rPr>
          <w:rFonts w:ascii="Arial" w:hAnsi="Arial" w:cs="Arial"/>
          <w:sz w:val="22"/>
          <w:szCs w:val="22"/>
        </w:rPr>
      </w:pPr>
      <w:r>
        <w:rPr>
          <w:rFonts w:ascii="Arial" w:hAnsi="Arial" w:cs="Arial"/>
          <w:sz w:val="22"/>
          <w:szCs w:val="22"/>
        </w:rPr>
        <w:lastRenderedPageBreak/>
        <w:t>Reference List</w:t>
      </w:r>
    </w:p>
    <w:p w14:paraId="45695507" w14:textId="77777777" w:rsidR="009E1A95" w:rsidRDefault="009E1A95" w:rsidP="008C32F2">
      <w:pPr>
        <w:spacing w:line="360" w:lineRule="auto"/>
        <w:jc w:val="both"/>
        <w:rPr>
          <w:rFonts w:ascii="Arial" w:hAnsi="Arial" w:cs="Arial"/>
          <w:sz w:val="22"/>
          <w:szCs w:val="22"/>
        </w:rPr>
      </w:pPr>
      <w:r w:rsidRPr="009E1A95">
        <w:rPr>
          <w:rFonts w:ascii="Arial" w:hAnsi="Arial" w:cs="Arial"/>
          <w:sz w:val="22"/>
          <w:szCs w:val="22"/>
        </w:rPr>
        <w:t xml:space="preserve">Arksey, H. and O’Malley, L. (2005) ‘Scoping studies: towards a methodological framework’, </w:t>
      </w:r>
      <w:r w:rsidRPr="009E1A95">
        <w:rPr>
          <w:rFonts w:ascii="Arial" w:hAnsi="Arial" w:cs="Arial"/>
          <w:i/>
          <w:iCs/>
          <w:sz w:val="22"/>
          <w:szCs w:val="22"/>
        </w:rPr>
        <w:t>International Journal of Social Research Methodology</w:t>
      </w:r>
      <w:r w:rsidRPr="009E1A95">
        <w:rPr>
          <w:rFonts w:ascii="Arial" w:hAnsi="Arial" w:cs="Arial"/>
          <w:sz w:val="22"/>
          <w:szCs w:val="22"/>
        </w:rPr>
        <w:t>, 8(1), pp. 19–32.</w:t>
      </w:r>
      <w:r w:rsidRPr="009E1A95">
        <w:rPr>
          <w:rFonts w:ascii="Arial" w:hAnsi="Arial" w:cs="Arial"/>
          <w:sz w:val="22"/>
          <w:szCs w:val="22"/>
        </w:rPr>
        <w:br/>
        <w:t xml:space="preserve">Aveyard, H. (2014) </w:t>
      </w:r>
      <w:r w:rsidRPr="009E1A95">
        <w:rPr>
          <w:rFonts w:ascii="Arial" w:hAnsi="Arial" w:cs="Arial"/>
          <w:i/>
          <w:iCs/>
          <w:sz w:val="22"/>
          <w:szCs w:val="22"/>
        </w:rPr>
        <w:t>Doing a Literature Review in Health and Social Care</w:t>
      </w:r>
      <w:r w:rsidRPr="009E1A95">
        <w:rPr>
          <w:rFonts w:ascii="Arial" w:hAnsi="Arial" w:cs="Arial"/>
          <w:sz w:val="22"/>
          <w:szCs w:val="22"/>
        </w:rPr>
        <w:t>. 3rd edn. Maidenhead: Open University Press.</w:t>
      </w:r>
    </w:p>
    <w:p w14:paraId="43C9B315" w14:textId="74EFD4B7" w:rsidR="009E1A95" w:rsidRDefault="009E1A95" w:rsidP="008C32F2">
      <w:pPr>
        <w:spacing w:line="360" w:lineRule="auto"/>
        <w:jc w:val="both"/>
        <w:rPr>
          <w:rFonts w:ascii="Arial" w:hAnsi="Arial" w:cs="Arial"/>
          <w:sz w:val="22"/>
          <w:szCs w:val="22"/>
        </w:rPr>
      </w:pPr>
      <w:r w:rsidRPr="009E1A95">
        <w:rPr>
          <w:rFonts w:ascii="Arial" w:hAnsi="Arial" w:cs="Arial"/>
          <w:sz w:val="22"/>
          <w:szCs w:val="22"/>
        </w:rPr>
        <w:t xml:space="preserve">Creswell, J.W. (2014) </w:t>
      </w:r>
      <w:r w:rsidRPr="009E1A95">
        <w:rPr>
          <w:rFonts w:ascii="Arial" w:hAnsi="Arial" w:cs="Arial"/>
          <w:i/>
          <w:iCs/>
          <w:sz w:val="22"/>
          <w:szCs w:val="22"/>
        </w:rPr>
        <w:t>Research Design: Qualitative, Quantitative, and Mixed Methods Approaches</w:t>
      </w:r>
      <w:r w:rsidRPr="009E1A95">
        <w:rPr>
          <w:rFonts w:ascii="Arial" w:hAnsi="Arial" w:cs="Arial"/>
          <w:sz w:val="22"/>
          <w:szCs w:val="22"/>
        </w:rPr>
        <w:t>. 4th edn. London: Sage.</w:t>
      </w:r>
    </w:p>
    <w:p w14:paraId="4123A6C4" w14:textId="77777777" w:rsidR="008C32F2" w:rsidRDefault="009E1A95" w:rsidP="008C32F2">
      <w:pPr>
        <w:spacing w:line="360" w:lineRule="auto"/>
        <w:jc w:val="both"/>
        <w:rPr>
          <w:rFonts w:ascii="Arial" w:hAnsi="Arial" w:cs="Arial"/>
          <w:sz w:val="22"/>
          <w:szCs w:val="22"/>
        </w:rPr>
      </w:pPr>
      <w:r w:rsidRPr="009E1A95">
        <w:rPr>
          <w:rFonts w:ascii="Arial" w:hAnsi="Arial" w:cs="Arial"/>
          <w:sz w:val="22"/>
          <w:szCs w:val="22"/>
        </w:rPr>
        <w:t xml:space="preserve">Laver-Bradbury, C., Thompson, M.J.J., Gale, C. and Hooper, C.M. (2021) </w:t>
      </w:r>
      <w:r w:rsidRPr="009E1A95">
        <w:rPr>
          <w:rFonts w:ascii="Arial" w:hAnsi="Arial" w:cs="Arial"/>
          <w:i/>
          <w:iCs/>
          <w:sz w:val="22"/>
          <w:szCs w:val="22"/>
        </w:rPr>
        <w:t>Child and Adolescent Mental Health: Theory and Practice</w:t>
      </w:r>
      <w:r w:rsidRPr="009E1A95">
        <w:rPr>
          <w:rFonts w:ascii="Arial" w:hAnsi="Arial" w:cs="Arial"/>
          <w:sz w:val="22"/>
          <w:szCs w:val="22"/>
        </w:rPr>
        <w:t>. 3rd edn. Boca Raton: CRC Press.</w:t>
      </w:r>
      <w:r w:rsidRPr="009E1A95">
        <w:rPr>
          <w:rFonts w:ascii="Arial" w:hAnsi="Arial" w:cs="Arial"/>
          <w:sz w:val="22"/>
          <w:szCs w:val="22"/>
        </w:rPr>
        <w:br/>
        <w:t xml:space="preserve">Merikangas, K.R. et al. (2010) ‘Lifetime prevalence of mental disorders in adolescents’, </w:t>
      </w:r>
      <w:r w:rsidRPr="009E1A95">
        <w:rPr>
          <w:rFonts w:ascii="Arial" w:hAnsi="Arial" w:cs="Arial"/>
          <w:i/>
          <w:iCs/>
          <w:sz w:val="22"/>
          <w:szCs w:val="22"/>
        </w:rPr>
        <w:t>Journal of the American Academy of Child &amp; Adolescent Psychiatry</w:t>
      </w:r>
      <w:r w:rsidRPr="009E1A95">
        <w:rPr>
          <w:rFonts w:ascii="Arial" w:hAnsi="Arial" w:cs="Arial"/>
          <w:sz w:val="22"/>
          <w:szCs w:val="22"/>
        </w:rPr>
        <w:t>, 49(10), pp. 980–989.</w:t>
      </w:r>
    </w:p>
    <w:p w14:paraId="793165A0" w14:textId="50A8768E" w:rsidR="0032776A" w:rsidRDefault="0032776A" w:rsidP="008C32F2">
      <w:pPr>
        <w:spacing w:line="360" w:lineRule="auto"/>
        <w:jc w:val="both"/>
        <w:rPr>
          <w:rFonts w:ascii="Arial" w:hAnsi="Arial" w:cs="Arial"/>
          <w:sz w:val="22"/>
          <w:szCs w:val="22"/>
        </w:rPr>
      </w:pPr>
      <w:r w:rsidRPr="0032776A">
        <w:rPr>
          <w:rFonts w:ascii="Arial" w:hAnsi="Arial" w:cs="Arial"/>
          <w:sz w:val="22"/>
          <w:szCs w:val="22"/>
        </w:rPr>
        <w:t xml:space="preserve">National Institute for Health and Care Excellence (NICE) (2023) </w:t>
      </w:r>
      <w:r w:rsidRPr="0032776A">
        <w:rPr>
          <w:rFonts w:ascii="Arial" w:hAnsi="Arial" w:cs="Arial"/>
          <w:i/>
          <w:iCs/>
          <w:sz w:val="22"/>
          <w:szCs w:val="22"/>
        </w:rPr>
        <w:t>Depression and anxiety disorders in children and young people: identification and management</w:t>
      </w:r>
      <w:r w:rsidRPr="0032776A">
        <w:rPr>
          <w:rFonts w:ascii="Arial" w:hAnsi="Arial" w:cs="Arial"/>
          <w:sz w:val="22"/>
          <w:szCs w:val="22"/>
        </w:rPr>
        <w:t>. NICE guideline [NG134]. Available at:</w:t>
      </w:r>
      <w:r w:rsidRPr="0032776A">
        <w:rPr>
          <w:rFonts w:ascii="Arial" w:hAnsi="Arial" w:cs="Arial"/>
          <w:color w:val="000000" w:themeColor="text1"/>
          <w:sz w:val="22"/>
          <w:szCs w:val="22"/>
        </w:rPr>
        <w:t xml:space="preserve"> </w:t>
      </w:r>
      <w:hyperlink r:id="rId6" w:tgtFrame="_new" w:history="1">
        <w:r w:rsidRPr="0032776A">
          <w:rPr>
            <w:rStyle w:val="Hyperlink"/>
            <w:rFonts w:ascii="Arial" w:hAnsi="Arial" w:cs="Arial"/>
            <w:color w:val="000000" w:themeColor="text1"/>
            <w:sz w:val="22"/>
            <w:szCs w:val="22"/>
            <w:u w:val="none"/>
          </w:rPr>
          <w:t>https://www.nice.org.uk/guidance/ng134</w:t>
        </w:r>
      </w:hyperlink>
      <w:r w:rsidRPr="0032776A">
        <w:rPr>
          <w:rFonts w:ascii="Arial" w:hAnsi="Arial" w:cs="Arial"/>
          <w:sz w:val="22"/>
          <w:szCs w:val="22"/>
        </w:rPr>
        <w:t xml:space="preserve"> (Accessed: 1</w:t>
      </w:r>
      <w:r>
        <w:rPr>
          <w:rFonts w:ascii="Arial" w:hAnsi="Arial" w:cs="Arial"/>
          <w:sz w:val="22"/>
          <w:szCs w:val="22"/>
        </w:rPr>
        <w:t>0</w:t>
      </w:r>
      <w:r w:rsidRPr="0032776A">
        <w:rPr>
          <w:rFonts w:ascii="Arial" w:hAnsi="Arial" w:cs="Arial"/>
          <w:sz w:val="22"/>
          <w:szCs w:val="22"/>
        </w:rPr>
        <w:t xml:space="preserve"> February 2026</w:t>
      </w:r>
      <w:r>
        <w:rPr>
          <w:rFonts w:ascii="Arial" w:hAnsi="Arial" w:cs="Arial"/>
          <w:sz w:val="22"/>
          <w:szCs w:val="22"/>
        </w:rPr>
        <w:t>)</w:t>
      </w:r>
      <w:r w:rsidR="00406598">
        <w:rPr>
          <w:rFonts w:ascii="Arial" w:hAnsi="Arial" w:cs="Arial"/>
          <w:sz w:val="22"/>
          <w:szCs w:val="22"/>
        </w:rPr>
        <w:t>.</w:t>
      </w:r>
    </w:p>
    <w:p w14:paraId="46BDF6DA" w14:textId="3BFF0305" w:rsidR="009E1A95" w:rsidRDefault="009E1A95" w:rsidP="008C32F2">
      <w:pPr>
        <w:spacing w:line="360" w:lineRule="auto"/>
        <w:jc w:val="both"/>
        <w:rPr>
          <w:rFonts w:ascii="Arial" w:hAnsi="Arial" w:cs="Arial"/>
          <w:sz w:val="22"/>
          <w:szCs w:val="22"/>
        </w:rPr>
      </w:pPr>
      <w:r w:rsidRPr="009E1A95">
        <w:rPr>
          <w:rFonts w:ascii="Arial" w:hAnsi="Arial" w:cs="Arial"/>
          <w:sz w:val="22"/>
          <w:szCs w:val="22"/>
        </w:rPr>
        <w:t xml:space="preserve">Potenza, M.N., Faust, K.A. and Faust, D. (eds.) (2020) </w:t>
      </w:r>
      <w:r w:rsidRPr="009E1A95">
        <w:rPr>
          <w:rFonts w:ascii="Arial" w:hAnsi="Arial" w:cs="Arial"/>
          <w:i/>
          <w:iCs/>
          <w:sz w:val="22"/>
          <w:szCs w:val="22"/>
        </w:rPr>
        <w:t>The Oxford Handbook of Digital Technologies and Mental Health</w:t>
      </w:r>
      <w:r w:rsidRPr="009E1A95">
        <w:rPr>
          <w:rFonts w:ascii="Arial" w:hAnsi="Arial" w:cs="Arial"/>
          <w:sz w:val="22"/>
          <w:szCs w:val="22"/>
        </w:rPr>
        <w:t>. Oxford: Oxford University Press.</w:t>
      </w:r>
      <w:r w:rsidRPr="009E1A95">
        <w:rPr>
          <w:rFonts w:ascii="Arial" w:hAnsi="Arial" w:cs="Arial"/>
          <w:sz w:val="22"/>
          <w:szCs w:val="22"/>
        </w:rPr>
        <w:br/>
        <w:t xml:space="preserve">Radez, J. et al. (2022) ‘Adolescents’ perceived barriers and facilitators to seeking professional help for anxiety and depressive disorders’, </w:t>
      </w:r>
      <w:r w:rsidRPr="009E1A95">
        <w:rPr>
          <w:rFonts w:ascii="Arial" w:hAnsi="Arial" w:cs="Arial"/>
          <w:i/>
          <w:iCs/>
          <w:sz w:val="22"/>
          <w:szCs w:val="22"/>
        </w:rPr>
        <w:t>European Child &amp; Adolescent Psychiatry</w:t>
      </w:r>
      <w:r w:rsidRPr="009E1A95">
        <w:rPr>
          <w:rFonts w:ascii="Arial" w:hAnsi="Arial" w:cs="Arial"/>
          <w:sz w:val="22"/>
          <w:szCs w:val="22"/>
        </w:rPr>
        <w:t>, 31(6), pp. 891–907.</w:t>
      </w:r>
    </w:p>
    <w:p w14:paraId="512BB48B" w14:textId="77777777" w:rsidR="009E1A95" w:rsidRDefault="009E1A95" w:rsidP="008C32F2">
      <w:pPr>
        <w:spacing w:line="360" w:lineRule="auto"/>
        <w:jc w:val="both"/>
        <w:rPr>
          <w:rFonts w:ascii="Arial" w:hAnsi="Arial" w:cs="Arial"/>
          <w:sz w:val="22"/>
          <w:szCs w:val="22"/>
        </w:rPr>
      </w:pPr>
      <w:r w:rsidRPr="009E1A95">
        <w:rPr>
          <w:rFonts w:ascii="Arial" w:hAnsi="Arial" w:cs="Arial"/>
          <w:sz w:val="22"/>
          <w:szCs w:val="22"/>
        </w:rPr>
        <w:t xml:space="preserve">Walter, H.J. et al. (2020) ‘Clinical practice guideline for the assessment and treatment of children and adolescents with anxiety disorders’, </w:t>
      </w:r>
      <w:r w:rsidRPr="009E1A95">
        <w:rPr>
          <w:rFonts w:ascii="Arial" w:hAnsi="Arial" w:cs="Arial"/>
          <w:i/>
          <w:iCs/>
          <w:sz w:val="22"/>
          <w:szCs w:val="22"/>
        </w:rPr>
        <w:t>Journal of the American Academy of Child &amp; Adolescent Psychiatry</w:t>
      </w:r>
      <w:r w:rsidRPr="009E1A95">
        <w:rPr>
          <w:rFonts w:ascii="Arial" w:hAnsi="Arial" w:cs="Arial"/>
          <w:sz w:val="22"/>
          <w:szCs w:val="22"/>
        </w:rPr>
        <w:t>, 59(10), pp. 1107–1124.</w:t>
      </w:r>
    </w:p>
    <w:p w14:paraId="5E14C09F" w14:textId="15329931" w:rsidR="009E1A95" w:rsidRPr="00C45678" w:rsidRDefault="009E1A95" w:rsidP="008C32F2">
      <w:pPr>
        <w:spacing w:line="360" w:lineRule="auto"/>
        <w:jc w:val="both"/>
        <w:rPr>
          <w:rFonts w:ascii="Arial" w:hAnsi="Arial" w:cs="Arial"/>
          <w:sz w:val="22"/>
          <w:szCs w:val="22"/>
        </w:rPr>
      </w:pPr>
      <w:r w:rsidRPr="009E1A95">
        <w:rPr>
          <w:rFonts w:ascii="Arial" w:hAnsi="Arial" w:cs="Arial"/>
          <w:sz w:val="22"/>
          <w:szCs w:val="22"/>
        </w:rPr>
        <w:t xml:space="preserve">Wang, B. et al. (2023) ‘Leveraging deep learning models to understand the daily experience of anxiety in teenagers’, </w:t>
      </w:r>
      <w:r w:rsidRPr="009E1A95">
        <w:rPr>
          <w:rFonts w:ascii="Arial" w:hAnsi="Arial" w:cs="Arial"/>
          <w:i/>
          <w:iCs/>
          <w:sz w:val="22"/>
          <w:szCs w:val="22"/>
        </w:rPr>
        <w:t>Journal of Affective Disorders</w:t>
      </w:r>
      <w:r w:rsidRPr="009E1A95">
        <w:rPr>
          <w:rFonts w:ascii="Arial" w:hAnsi="Arial" w:cs="Arial"/>
          <w:sz w:val="22"/>
          <w:szCs w:val="22"/>
        </w:rPr>
        <w:t>, 329, pp. 293–299.</w:t>
      </w:r>
    </w:p>
    <w:p w14:paraId="13C317F2" w14:textId="77777777" w:rsidR="00D06952" w:rsidRPr="00C45678" w:rsidRDefault="00D06952" w:rsidP="009E1A95">
      <w:pPr>
        <w:spacing w:line="360" w:lineRule="auto"/>
        <w:jc w:val="both"/>
        <w:rPr>
          <w:rFonts w:ascii="Arial" w:hAnsi="Arial" w:cs="Arial"/>
          <w:sz w:val="22"/>
          <w:szCs w:val="22"/>
        </w:rPr>
      </w:pPr>
    </w:p>
    <w:sectPr w:rsidR="00D06952" w:rsidRPr="00C45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E4D8E"/>
    <w:multiLevelType w:val="multilevel"/>
    <w:tmpl w:val="1F488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C11953"/>
    <w:multiLevelType w:val="multilevel"/>
    <w:tmpl w:val="5944E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3376FE"/>
    <w:multiLevelType w:val="multilevel"/>
    <w:tmpl w:val="6ED45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A305D9"/>
    <w:multiLevelType w:val="multilevel"/>
    <w:tmpl w:val="0C5A2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9D6674"/>
    <w:multiLevelType w:val="multilevel"/>
    <w:tmpl w:val="676AB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5067985">
    <w:abstractNumId w:val="4"/>
  </w:num>
  <w:num w:numId="2" w16cid:durableId="1911383012">
    <w:abstractNumId w:val="0"/>
  </w:num>
  <w:num w:numId="3" w16cid:durableId="406465349">
    <w:abstractNumId w:val="3"/>
  </w:num>
  <w:num w:numId="4" w16cid:durableId="551355771">
    <w:abstractNumId w:val="2"/>
  </w:num>
  <w:num w:numId="5" w16cid:durableId="105468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58B"/>
    <w:rsid w:val="000D637A"/>
    <w:rsid w:val="0010612B"/>
    <w:rsid w:val="001B1357"/>
    <w:rsid w:val="001B426C"/>
    <w:rsid w:val="001B75C5"/>
    <w:rsid w:val="001C2BA8"/>
    <w:rsid w:val="002262F3"/>
    <w:rsid w:val="002445B2"/>
    <w:rsid w:val="00250408"/>
    <w:rsid w:val="002F2979"/>
    <w:rsid w:val="00322A1D"/>
    <w:rsid w:val="0032776A"/>
    <w:rsid w:val="00334F51"/>
    <w:rsid w:val="00336951"/>
    <w:rsid w:val="00372021"/>
    <w:rsid w:val="00391032"/>
    <w:rsid w:val="00406598"/>
    <w:rsid w:val="00417CBC"/>
    <w:rsid w:val="0051660B"/>
    <w:rsid w:val="00524EE8"/>
    <w:rsid w:val="005261F0"/>
    <w:rsid w:val="0053687C"/>
    <w:rsid w:val="00545301"/>
    <w:rsid w:val="00552F4B"/>
    <w:rsid w:val="005840A6"/>
    <w:rsid w:val="005C7D51"/>
    <w:rsid w:val="0062607D"/>
    <w:rsid w:val="0065559F"/>
    <w:rsid w:val="006624A9"/>
    <w:rsid w:val="006729E4"/>
    <w:rsid w:val="0069132A"/>
    <w:rsid w:val="006A33A8"/>
    <w:rsid w:val="006A6159"/>
    <w:rsid w:val="006C1B6E"/>
    <w:rsid w:val="006D0439"/>
    <w:rsid w:val="00700BA2"/>
    <w:rsid w:val="00706464"/>
    <w:rsid w:val="00716CCA"/>
    <w:rsid w:val="00775B31"/>
    <w:rsid w:val="00782AEE"/>
    <w:rsid w:val="0079758B"/>
    <w:rsid w:val="007D03D9"/>
    <w:rsid w:val="008075B2"/>
    <w:rsid w:val="00845176"/>
    <w:rsid w:val="008458BC"/>
    <w:rsid w:val="008633E1"/>
    <w:rsid w:val="00874DE8"/>
    <w:rsid w:val="0089717B"/>
    <w:rsid w:val="008B0BDA"/>
    <w:rsid w:val="008C32F2"/>
    <w:rsid w:val="00902EF7"/>
    <w:rsid w:val="00915EF0"/>
    <w:rsid w:val="00927299"/>
    <w:rsid w:val="00940709"/>
    <w:rsid w:val="00975A4E"/>
    <w:rsid w:val="009E1A95"/>
    <w:rsid w:val="00A016F7"/>
    <w:rsid w:val="00A52368"/>
    <w:rsid w:val="00A547E7"/>
    <w:rsid w:val="00AA41BD"/>
    <w:rsid w:val="00B478AB"/>
    <w:rsid w:val="00B51211"/>
    <w:rsid w:val="00B577F3"/>
    <w:rsid w:val="00B91D07"/>
    <w:rsid w:val="00BB2827"/>
    <w:rsid w:val="00C45678"/>
    <w:rsid w:val="00C55A49"/>
    <w:rsid w:val="00CE3D69"/>
    <w:rsid w:val="00D02CD8"/>
    <w:rsid w:val="00D054A3"/>
    <w:rsid w:val="00D06952"/>
    <w:rsid w:val="00D2553D"/>
    <w:rsid w:val="00D27B79"/>
    <w:rsid w:val="00E24529"/>
    <w:rsid w:val="00E339C5"/>
    <w:rsid w:val="00EA4549"/>
    <w:rsid w:val="00EE2106"/>
    <w:rsid w:val="00EF4596"/>
    <w:rsid w:val="00F93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DE361"/>
  <w15:chartTrackingRefBased/>
  <w15:docId w15:val="{9A1A4FB4-1ECE-4D64-8C1F-741CC6864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5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5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5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5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5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5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5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5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5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5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5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5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5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5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5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5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5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58B"/>
    <w:rPr>
      <w:rFonts w:eastAsiaTheme="majorEastAsia" w:cstheme="majorBidi"/>
      <w:color w:val="272727" w:themeColor="text1" w:themeTint="D8"/>
    </w:rPr>
  </w:style>
  <w:style w:type="paragraph" w:styleId="Title">
    <w:name w:val="Title"/>
    <w:basedOn w:val="Normal"/>
    <w:next w:val="Normal"/>
    <w:link w:val="TitleChar"/>
    <w:uiPriority w:val="10"/>
    <w:qFormat/>
    <w:rsid w:val="007975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5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5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5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58B"/>
    <w:pPr>
      <w:spacing w:before="160"/>
      <w:jc w:val="center"/>
    </w:pPr>
    <w:rPr>
      <w:i/>
      <w:iCs/>
      <w:color w:val="404040" w:themeColor="text1" w:themeTint="BF"/>
    </w:rPr>
  </w:style>
  <w:style w:type="character" w:customStyle="1" w:styleId="QuoteChar">
    <w:name w:val="Quote Char"/>
    <w:basedOn w:val="DefaultParagraphFont"/>
    <w:link w:val="Quote"/>
    <w:uiPriority w:val="29"/>
    <w:rsid w:val="0079758B"/>
    <w:rPr>
      <w:i/>
      <w:iCs/>
      <w:color w:val="404040" w:themeColor="text1" w:themeTint="BF"/>
    </w:rPr>
  </w:style>
  <w:style w:type="paragraph" w:styleId="ListParagraph">
    <w:name w:val="List Paragraph"/>
    <w:basedOn w:val="Normal"/>
    <w:uiPriority w:val="34"/>
    <w:qFormat/>
    <w:rsid w:val="0079758B"/>
    <w:pPr>
      <w:ind w:left="720"/>
      <w:contextualSpacing/>
    </w:pPr>
  </w:style>
  <w:style w:type="character" w:styleId="IntenseEmphasis">
    <w:name w:val="Intense Emphasis"/>
    <w:basedOn w:val="DefaultParagraphFont"/>
    <w:uiPriority w:val="21"/>
    <w:qFormat/>
    <w:rsid w:val="0079758B"/>
    <w:rPr>
      <w:i/>
      <w:iCs/>
      <w:color w:val="0F4761" w:themeColor="accent1" w:themeShade="BF"/>
    </w:rPr>
  </w:style>
  <w:style w:type="paragraph" w:styleId="IntenseQuote">
    <w:name w:val="Intense Quote"/>
    <w:basedOn w:val="Normal"/>
    <w:next w:val="Normal"/>
    <w:link w:val="IntenseQuoteChar"/>
    <w:uiPriority w:val="30"/>
    <w:qFormat/>
    <w:rsid w:val="00797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58B"/>
    <w:rPr>
      <w:i/>
      <w:iCs/>
      <w:color w:val="0F4761" w:themeColor="accent1" w:themeShade="BF"/>
    </w:rPr>
  </w:style>
  <w:style w:type="character" w:styleId="IntenseReference">
    <w:name w:val="Intense Reference"/>
    <w:basedOn w:val="DefaultParagraphFont"/>
    <w:uiPriority w:val="32"/>
    <w:qFormat/>
    <w:rsid w:val="0079758B"/>
    <w:rPr>
      <w:b/>
      <w:bCs/>
      <w:smallCaps/>
      <w:color w:val="0F4761" w:themeColor="accent1" w:themeShade="BF"/>
      <w:spacing w:val="5"/>
    </w:rPr>
  </w:style>
  <w:style w:type="character" w:styleId="Hyperlink">
    <w:name w:val="Hyperlink"/>
    <w:basedOn w:val="DefaultParagraphFont"/>
    <w:uiPriority w:val="99"/>
    <w:unhideWhenUsed/>
    <w:rsid w:val="0032776A"/>
    <w:rPr>
      <w:color w:val="467886" w:themeColor="hyperlink"/>
      <w:u w:val="single"/>
    </w:rPr>
  </w:style>
  <w:style w:type="character" w:styleId="UnresolvedMention">
    <w:name w:val="Unresolved Mention"/>
    <w:basedOn w:val="DefaultParagraphFont"/>
    <w:uiPriority w:val="99"/>
    <w:semiHidden/>
    <w:unhideWhenUsed/>
    <w:rsid w:val="003277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6199">
      <w:bodyDiv w:val="1"/>
      <w:marLeft w:val="0"/>
      <w:marRight w:val="0"/>
      <w:marTop w:val="0"/>
      <w:marBottom w:val="0"/>
      <w:divBdr>
        <w:top w:val="none" w:sz="0" w:space="0" w:color="auto"/>
        <w:left w:val="none" w:sz="0" w:space="0" w:color="auto"/>
        <w:bottom w:val="none" w:sz="0" w:space="0" w:color="auto"/>
        <w:right w:val="none" w:sz="0" w:space="0" w:color="auto"/>
      </w:divBdr>
    </w:div>
    <w:div w:id="68502235">
      <w:bodyDiv w:val="1"/>
      <w:marLeft w:val="0"/>
      <w:marRight w:val="0"/>
      <w:marTop w:val="0"/>
      <w:marBottom w:val="0"/>
      <w:divBdr>
        <w:top w:val="none" w:sz="0" w:space="0" w:color="auto"/>
        <w:left w:val="none" w:sz="0" w:space="0" w:color="auto"/>
        <w:bottom w:val="none" w:sz="0" w:space="0" w:color="auto"/>
        <w:right w:val="none" w:sz="0" w:space="0" w:color="auto"/>
      </w:divBdr>
    </w:div>
    <w:div w:id="93594504">
      <w:bodyDiv w:val="1"/>
      <w:marLeft w:val="0"/>
      <w:marRight w:val="0"/>
      <w:marTop w:val="0"/>
      <w:marBottom w:val="0"/>
      <w:divBdr>
        <w:top w:val="none" w:sz="0" w:space="0" w:color="auto"/>
        <w:left w:val="none" w:sz="0" w:space="0" w:color="auto"/>
        <w:bottom w:val="none" w:sz="0" w:space="0" w:color="auto"/>
        <w:right w:val="none" w:sz="0" w:space="0" w:color="auto"/>
      </w:divBdr>
    </w:div>
    <w:div w:id="120270275">
      <w:bodyDiv w:val="1"/>
      <w:marLeft w:val="0"/>
      <w:marRight w:val="0"/>
      <w:marTop w:val="0"/>
      <w:marBottom w:val="0"/>
      <w:divBdr>
        <w:top w:val="none" w:sz="0" w:space="0" w:color="auto"/>
        <w:left w:val="none" w:sz="0" w:space="0" w:color="auto"/>
        <w:bottom w:val="none" w:sz="0" w:space="0" w:color="auto"/>
        <w:right w:val="none" w:sz="0" w:space="0" w:color="auto"/>
      </w:divBdr>
    </w:div>
    <w:div w:id="327756025">
      <w:bodyDiv w:val="1"/>
      <w:marLeft w:val="0"/>
      <w:marRight w:val="0"/>
      <w:marTop w:val="0"/>
      <w:marBottom w:val="0"/>
      <w:divBdr>
        <w:top w:val="none" w:sz="0" w:space="0" w:color="auto"/>
        <w:left w:val="none" w:sz="0" w:space="0" w:color="auto"/>
        <w:bottom w:val="none" w:sz="0" w:space="0" w:color="auto"/>
        <w:right w:val="none" w:sz="0" w:space="0" w:color="auto"/>
      </w:divBdr>
    </w:div>
    <w:div w:id="445925905">
      <w:bodyDiv w:val="1"/>
      <w:marLeft w:val="0"/>
      <w:marRight w:val="0"/>
      <w:marTop w:val="0"/>
      <w:marBottom w:val="0"/>
      <w:divBdr>
        <w:top w:val="none" w:sz="0" w:space="0" w:color="auto"/>
        <w:left w:val="none" w:sz="0" w:space="0" w:color="auto"/>
        <w:bottom w:val="none" w:sz="0" w:space="0" w:color="auto"/>
        <w:right w:val="none" w:sz="0" w:space="0" w:color="auto"/>
      </w:divBdr>
    </w:div>
    <w:div w:id="737174128">
      <w:bodyDiv w:val="1"/>
      <w:marLeft w:val="0"/>
      <w:marRight w:val="0"/>
      <w:marTop w:val="0"/>
      <w:marBottom w:val="0"/>
      <w:divBdr>
        <w:top w:val="none" w:sz="0" w:space="0" w:color="auto"/>
        <w:left w:val="none" w:sz="0" w:space="0" w:color="auto"/>
        <w:bottom w:val="none" w:sz="0" w:space="0" w:color="auto"/>
        <w:right w:val="none" w:sz="0" w:space="0" w:color="auto"/>
      </w:divBdr>
    </w:div>
    <w:div w:id="948705934">
      <w:bodyDiv w:val="1"/>
      <w:marLeft w:val="0"/>
      <w:marRight w:val="0"/>
      <w:marTop w:val="0"/>
      <w:marBottom w:val="0"/>
      <w:divBdr>
        <w:top w:val="none" w:sz="0" w:space="0" w:color="auto"/>
        <w:left w:val="none" w:sz="0" w:space="0" w:color="auto"/>
        <w:bottom w:val="none" w:sz="0" w:space="0" w:color="auto"/>
        <w:right w:val="none" w:sz="0" w:space="0" w:color="auto"/>
      </w:divBdr>
    </w:div>
    <w:div w:id="1427963984">
      <w:bodyDiv w:val="1"/>
      <w:marLeft w:val="0"/>
      <w:marRight w:val="0"/>
      <w:marTop w:val="0"/>
      <w:marBottom w:val="0"/>
      <w:divBdr>
        <w:top w:val="none" w:sz="0" w:space="0" w:color="auto"/>
        <w:left w:val="none" w:sz="0" w:space="0" w:color="auto"/>
        <w:bottom w:val="none" w:sz="0" w:space="0" w:color="auto"/>
        <w:right w:val="none" w:sz="0" w:space="0" w:color="auto"/>
      </w:divBdr>
    </w:div>
    <w:div w:id="1986153655">
      <w:bodyDiv w:val="1"/>
      <w:marLeft w:val="0"/>
      <w:marRight w:val="0"/>
      <w:marTop w:val="0"/>
      <w:marBottom w:val="0"/>
      <w:divBdr>
        <w:top w:val="none" w:sz="0" w:space="0" w:color="auto"/>
        <w:left w:val="none" w:sz="0" w:space="0" w:color="auto"/>
        <w:bottom w:val="none" w:sz="0" w:space="0" w:color="auto"/>
        <w:right w:val="none" w:sz="0" w:space="0" w:color="auto"/>
      </w:divBdr>
    </w:div>
    <w:div w:id="2086147952">
      <w:bodyDiv w:val="1"/>
      <w:marLeft w:val="0"/>
      <w:marRight w:val="0"/>
      <w:marTop w:val="0"/>
      <w:marBottom w:val="0"/>
      <w:divBdr>
        <w:top w:val="none" w:sz="0" w:space="0" w:color="auto"/>
        <w:left w:val="none" w:sz="0" w:space="0" w:color="auto"/>
        <w:bottom w:val="none" w:sz="0" w:space="0" w:color="auto"/>
        <w:right w:val="none" w:sz="0" w:space="0" w:color="auto"/>
      </w:divBdr>
    </w:div>
    <w:div w:id="2141872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ng134"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130eef0-b106-4be4-9041-04ed1aa09543}" enabled="1" method="Privileged" siteId="{dd29478d-624e-429e-b453-fffc969ac768}"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4</Pages>
  <Words>800</Words>
  <Characters>4564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 (2329516)</cp:lastModifiedBy>
  <cp:revision>46</cp:revision>
  <dcterms:created xsi:type="dcterms:W3CDTF">2026-01-31T11:38:00Z</dcterms:created>
  <dcterms:modified xsi:type="dcterms:W3CDTF">2026-02-11T08:38:00Z</dcterms:modified>
</cp:coreProperties>
</file>