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32D142" w14:textId="6164AD39" w:rsidR="00CF378E" w:rsidRPr="00EB4DA5" w:rsidRDefault="00EA20B0">
      <w:pPr>
        <w:rPr>
          <w:sz w:val="22"/>
          <w:szCs w:val="22"/>
          <w:lang w:val="en-US"/>
        </w:rPr>
      </w:pPr>
      <w:r w:rsidRPr="00EB4DA5">
        <w:rPr>
          <w:sz w:val="22"/>
          <w:szCs w:val="22"/>
          <w:lang w:val="en-US"/>
        </w:rPr>
        <w:t>A</w:t>
      </w:r>
      <w:r w:rsidR="00182EDC" w:rsidRPr="00EB4DA5">
        <w:rPr>
          <w:sz w:val="22"/>
          <w:szCs w:val="22"/>
          <w:lang w:val="en-US"/>
        </w:rPr>
        <w:t>.</w:t>
      </w:r>
    </w:p>
    <w:p w14:paraId="2C626242" w14:textId="293FA0C8" w:rsidR="00182EDC" w:rsidRPr="00EB4DA5" w:rsidRDefault="00182EDC">
      <w:pPr>
        <w:rPr>
          <w:sz w:val="22"/>
          <w:szCs w:val="22"/>
          <w:lang w:val="en-US"/>
        </w:rPr>
      </w:pPr>
      <w:r w:rsidRPr="00EB4DA5">
        <w:rPr>
          <w:sz w:val="22"/>
          <w:szCs w:val="22"/>
          <w:lang w:val="en-US"/>
        </w:rPr>
        <w:t xml:space="preserve">The rule of privity in contract relates to the principle that only those party to a contact can bring a court action to enforce it (Richards, 2019). </w:t>
      </w:r>
      <w:r w:rsidR="00E91457" w:rsidRPr="00EB4DA5">
        <w:rPr>
          <w:sz w:val="22"/>
          <w:szCs w:val="22"/>
          <w:lang w:val="en-US"/>
        </w:rPr>
        <w:t xml:space="preserve">This is presented in </w:t>
      </w:r>
      <w:proofErr w:type="spellStart"/>
      <w:r w:rsidR="00E91457" w:rsidRPr="00EB4DA5">
        <w:rPr>
          <w:sz w:val="22"/>
          <w:szCs w:val="22"/>
          <w:lang w:val="en-US"/>
        </w:rPr>
        <w:t>Tweedle</w:t>
      </w:r>
      <w:proofErr w:type="spellEnd"/>
      <w:r w:rsidR="00E91457" w:rsidRPr="00EB4DA5">
        <w:rPr>
          <w:sz w:val="22"/>
          <w:szCs w:val="22"/>
          <w:lang w:val="en-US"/>
        </w:rPr>
        <w:t xml:space="preserve"> v Atkinson (1861).</w:t>
      </w:r>
      <w:r w:rsidR="007030B6" w:rsidRPr="00EB4DA5">
        <w:rPr>
          <w:sz w:val="22"/>
          <w:szCs w:val="22"/>
          <w:lang w:val="en-US"/>
        </w:rPr>
        <w:t xml:space="preserve"> This also applies to third parties not being placed under a burden to uphold a contract they are not privy too (Dunlop Pneumatic </w:t>
      </w:r>
      <w:proofErr w:type="spellStart"/>
      <w:r w:rsidR="007030B6" w:rsidRPr="00EB4DA5">
        <w:rPr>
          <w:sz w:val="22"/>
          <w:szCs w:val="22"/>
          <w:lang w:val="en-US"/>
        </w:rPr>
        <w:t>Tyre</w:t>
      </w:r>
      <w:proofErr w:type="spellEnd"/>
      <w:r w:rsidR="007030B6" w:rsidRPr="00EB4DA5">
        <w:rPr>
          <w:sz w:val="22"/>
          <w:szCs w:val="22"/>
          <w:lang w:val="en-US"/>
        </w:rPr>
        <w:t xml:space="preserve"> Co Ltd v Selfridge &amp; Co Ltd 1915). </w:t>
      </w:r>
      <w:r w:rsidR="00582B9E" w:rsidRPr="00EB4DA5">
        <w:rPr>
          <w:sz w:val="22"/>
          <w:szCs w:val="22"/>
          <w:lang w:val="en-US"/>
        </w:rPr>
        <w:t xml:space="preserve">The privity of contract doctrine has developed some exceptions (Andrew, 2001). </w:t>
      </w:r>
      <w:r w:rsidR="00B8070B" w:rsidRPr="00EB4DA5">
        <w:rPr>
          <w:sz w:val="22"/>
          <w:szCs w:val="22"/>
          <w:lang w:val="en-US"/>
        </w:rPr>
        <w:t xml:space="preserve">Calls for reform to </w:t>
      </w:r>
      <w:r w:rsidR="00582B9E" w:rsidRPr="00EB4DA5">
        <w:rPr>
          <w:sz w:val="22"/>
          <w:szCs w:val="22"/>
          <w:lang w:val="en-US"/>
        </w:rPr>
        <w:t>the rule of privity</w:t>
      </w:r>
      <w:r w:rsidR="00B8070B" w:rsidRPr="00EB4DA5">
        <w:rPr>
          <w:sz w:val="22"/>
          <w:szCs w:val="22"/>
          <w:lang w:val="en-US"/>
        </w:rPr>
        <w:t xml:space="preserve"> doctrine have come from as early as The Law commissions reform in 1996</w:t>
      </w:r>
      <w:r w:rsidR="00F11B87" w:rsidRPr="00EB4DA5">
        <w:rPr>
          <w:sz w:val="22"/>
          <w:szCs w:val="22"/>
          <w:lang w:val="en-US"/>
        </w:rPr>
        <w:t xml:space="preserve"> (s2.63)</w:t>
      </w:r>
      <w:r w:rsidR="00B8070B" w:rsidRPr="00EB4DA5">
        <w:rPr>
          <w:sz w:val="22"/>
          <w:szCs w:val="22"/>
          <w:lang w:val="en-US"/>
        </w:rPr>
        <w:t>.</w:t>
      </w:r>
      <w:r w:rsidR="00203A3B" w:rsidRPr="00EB4DA5">
        <w:rPr>
          <w:sz w:val="22"/>
          <w:szCs w:val="22"/>
          <w:lang w:val="en-US"/>
        </w:rPr>
        <w:t xml:space="preserve"> </w:t>
      </w:r>
      <w:r w:rsidR="00582B9E" w:rsidRPr="00EB4DA5">
        <w:rPr>
          <w:sz w:val="22"/>
          <w:szCs w:val="22"/>
          <w:lang w:val="en-US"/>
        </w:rPr>
        <w:t xml:space="preserve">This call for reform led to the passing of The Contracts (Rights of Third Parties) Act 1999 allowing third parties to enforce a contract if they satisfy specific terms (s1(3)). </w:t>
      </w:r>
      <w:r w:rsidR="00203A3B" w:rsidRPr="00EB4DA5">
        <w:rPr>
          <w:sz w:val="22"/>
          <w:szCs w:val="22"/>
          <w:lang w:val="en-US"/>
        </w:rPr>
        <w:t xml:space="preserve">The privity of contract doctrine has developed </w:t>
      </w:r>
      <w:r w:rsidR="00582B9E" w:rsidRPr="00EB4DA5">
        <w:rPr>
          <w:sz w:val="22"/>
          <w:szCs w:val="22"/>
          <w:lang w:val="en-US"/>
        </w:rPr>
        <w:t>further</w:t>
      </w:r>
      <w:r w:rsidR="00203A3B" w:rsidRPr="00EB4DA5">
        <w:rPr>
          <w:sz w:val="22"/>
          <w:szCs w:val="22"/>
          <w:lang w:val="en-US"/>
        </w:rPr>
        <w:t xml:space="preserve"> </w:t>
      </w:r>
      <w:r w:rsidR="00EE4FD1" w:rsidRPr="00EB4DA5">
        <w:rPr>
          <w:sz w:val="22"/>
          <w:szCs w:val="22"/>
          <w:lang w:val="en-US"/>
        </w:rPr>
        <w:t>exceptions</w:t>
      </w:r>
      <w:r w:rsidR="00203A3B" w:rsidRPr="00EB4DA5">
        <w:rPr>
          <w:sz w:val="22"/>
          <w:szCs w:val="22"/>
          <w:lang w:val="en-US"/>
        </w:rPr>
        <w:t xml:space="preserve"> </w:t>
      </w:r>
      <w:r w:rsidR="00582B9E" w:rsidRPr="00EB4DA5">
        <w:rPr>
          <w:sz w:val="22"/>
          <w:szCs w:val="22"/>
          <w:lang w:val="en-US"/>
        </w:rPr>
        <w:t xml:space="preserve">to just this act </w:t>
      </w:r>
      <w:r w:rsidR="004E0442" w:rsidRPr="00EB4DA5">
        <w:rPr>
          <w:sz w:val="22"/>
          <w:szCs w:val="22"/>
          <w:lang w:val="en-US"/>
        </w:rPr>
        <w:t>(Andrew</w:t>
      </w:r>
      <w:r w:rsidR="00B263C8">
        <w:rPr>
          <w:sz w:val="22"/>
          <w:szCs w:val="22"/>
          <w:lang w:val="en-US"/>
        </w:rPr>
        <w:t>s</w:t>
      </w:r>
      <w:r w:rsidR="004E0442" w:rsidRPr="00EB4DA5">
        <w:rPr>
          <w:sz w:val="22"/>
          <w:szCs w:val="22"/>
          <w:lang w:val="en-US"/>
        </w:rPr>
        <w:t>, 2001). This is</w:t>
      </w:r>
      <w:r w:rsidR="00203A3B" w:rsidRPr="00EB4DA5">
        <w:rPr>
          <w:sz w:val="22"/>
          <w:szCs w:val="22"/>
          <w:lang w:val="en-US"/>
        </w:rPr>
        <w:t xml:space="preserve"> seen</w:t>
      </w:r>
      <w:r w:rsidR="00694E0F" w:rsidRPr="00EB4DA5">
        <w:rPr>
          <w:sz w:val="22"/>
          <w:szCs w:val="22"/>
          <w:lang w:val="en-US"/>
        </w:rPr>
        <w:t xml:space="preserve"> </w:t>
      </w:r>
      <w:r w:rsidR="00365FE2" w:rsidRPr="00EB4DA5">
        <w:rPr>
          <w:sz w:val="22"/>
          <w:szCs w:val="22"/>
          <w:lang w:val="en-US"/>
        </w:rPr>
        <w:t xml:space="preserve">in The Married Woman’s Property Act (1882) which allows the third party </w:t>
      </w:r>
      <w:r w:rsidR="00694E0F" w:rsidRPr="00EB4DA5">
        <w:rPr>
          <w:sz w:val="22"/>
          <w:szCs w:val="22"/>
          <w:lang w:val="en-US"/>
        </w:rPr>
        <w:t xml:space="preserve">to sue a policy although they are not privy to it. Further exceptions have been solidified through case law such as Jackson v Horizon Holidays Ltd (1975) which set the precedent to allow a person holding privity to sue for a third parties loss. </w:t>
      </w:r>
    </w:p>
    <w:p w14:paraId="4BD1FF27" w14:textId="523667F7" w:rsidR="00182EDC" w:rsidRPr="00EB4DA5" w:rsidRDefault="00182EDC">
      <w:pPr>
        <w:rPr>
          <w:sz w:val="22"/>
          <w:szCs w:val="22"/>
          <w:lang w:val="en-US"/>
        </w:rPr>
      </w:pPr>
    </w:p>
    <w:p w14:paraId="0C3F3EAF" w14:textId="71546BC7" w:rsidR="00182EDC" w:rsidRPr="00EB4DA5" w:rsidRDefault="00182EDC">
      <w:pPr>
        <w:rPr>
          <w:sz w:val="22"/>
          <w:szCs w:val="22"/>
          <w:lang w:val="en-US"/>
        </w:rPr>
      </w:pPr>
    </w:p>
    <w:p w14:paraId="4EB7B7F0" w14:textId="01EAC2D7" w:rsidR="00182EDC" w:rsidRPr="00EB4DA5" w:rsidRDefault="00EA20B0">
      <w:pPr>
        <w:rPr>
          <w:sz w:val="22"/>
          <w:szCs w:val="22"/>
          <w:lang w:val="en-US"/>
        </w:rPr>
      </w:pPr>
      <w:r w:rsidRPr="00EB4DA5">
        <w:rPr>
          <w:sz w:val="22"/>
          <w:szCs w:val="22"/>
          <w:lang w:val="en-US"/>
        </w:rPr>
        <w:t>B.</w:t>
      </w:r>
    </w:p>
    <w:p w14:paraId="69B299B3" w14:textId="72F8D895" w:rsidR="00EA20B0" w:rsidRPr="00EB4DA5" w:rsidRDefault="00B55EE5">
      <w:pPr>
        <w:rPr>
          <w:sz w:val="22"/>
          <w:szCs w:val="22"/>
          <w:lang w:val="en-US"/>
        </w:rPr>
      </w:pPr>
      <w:r w:rsidRPr="00EB4DA5">
        <w:rPr>
          <w:sz w:val="22"/>
          <w:szCs w:val="22"/>
          <w:lang w:val="en-US"/>
        </w:rPr>
        <w:t xml:space="preserve">A past consideration is not a good consideration (Taylor and Taylor, 2021). </w:t>
      </w:r>
      <w:r w:rsidR="00EA20B0" w:rsidRPr="00EB4DA5">
        <w:rPr>
          <w:sz w:val="22"/>
          <w:szCs w:val="22"/>
          <w:lang w:val="en-US"/>
        </w:rPr>
        <w:t xml:space="preserve">For </w:t>
      </w:r>
      <w:r w:rsidR="005933B2" w:rsidRPr="00EB4DA5">
        <w:rPr>
          <w:sz w:val="22"/>
          <w:szCs w:val="22"/>
          <w:lang w:val="en-US"/>
        </w:rPr>
        <w:t>a</w:t>
      </w:r>
      <w:r w:rsidR="00EA20B0" w:rsidRPr="00EB4DA5">
        <w:rPr>
          <w:sz w:val="22"/>
          <w:szCs w:val="22"/>
          <w:lang w:val="en-US"/>
        </w:rPr>
        <w:t xml:space="preserve"> consideration</w:t>
      </w:r>
      <w:r w:rsidR="005933B2" w:rsidRPr="00EB4DA5">
        <w:rPr>
          <w:sz w:val="22"/>
          <w:szCs w:val="22"/>
          <w:lang w:val="en-US"/>
        </w:rPr>
        <w:t xml:space="preserve"> to be present</w:t>
      </w:r>
      <w:r w:rsidR="00EA20B0" w:rsidRPr="00EB4DA5">
        <w:rPr>
          <w:sz w:val="22"/>
          <w:szCs w:val="22"/>
          <w:lang w:val="en-US"/>
        </w:rPr>
        <w:t xml:space="preserve"> there </w:t>
      </w:r>
      <w:r w:rsidR="005933B2" w:rsidRPr="00EB4DA5">
        <w:rPr>
          <w:sz w:val="22"/>
          <w:szCs w:val="22"/>
          <w:lang w:val="en-US"/>
        </w:rPr>
        <w:t>must be a</w:t>
      </w:r>
      <w:r w:rsidR="00EA20B0" w:rsidRPr="00EB4DA5">
        <w:rPr>
          <w:sz w:val="22"/>
          <w:szCs w:val="22"/>
          <w:lang w:val="en-US"/>
        </w:rPr>
        <w:t xml:space="preserve"> promiser and promis</w:t>
      </w:r>
      <w:r w:rsidR="005933B2" w:rsidRPr="00EB4DA5">
        <w:rPr>
          <w:sz w:val="22"/>
          <w:szCs w:val="22"/>
          <w:lang w:val="en-US"/>
        </w:rPr>
        <w:t>e</w:t>
      </w:r>
      <w:r w:rsidR="00EA20B0" w:rsidRPr="00EB4DA5">
        <w:rPr>
          <w:sz w:val="22"/>
          <w:szCs w:val="22"/>
          <w:lang w:val="en-US"/>
        </w:rPr>
        <w:t>e</w:t>
      </w:r>
      <w:r w:rsidR="005933B2" w:rsidRPr="00EB4DA5">
        <w:rPr>
          <w:sz w:val="22"/>
          <w:szCs w:val="22"/>
          <w:lang w:val="en-US"/>
        </w:rPr>
        <w:t>,</w:t>
      </w:r>
      <w:r w:rsidR="00EA20B0" w:rsidRPr="00EB4DA5">
        <w:rPr>
          <w:sz w:val="22"/>
          <w:szCs w:val="22"/>
          <w:lang w:val="en-US"/>
        </w:rPr>
        <w:t xml:space="preserve"> both </w:t>
      </w:r>
      <w:r w:rsidR="005933B2" w:rsidRPr="00EB4DA5">
        <w:rPr>
          <w:sz w:val="22"/>
          <w:szCs w:val="22"/>
          <w:lang w:val="en-US"/>
        </w:rPr>
        <w:t xml:space="preserve">need to </w:t>
      </w:r>
      <w:r w:rsidR="00EA20B0" w:rsidRPr="00EB4DA5">
        <w:rPr>
          <w:sz w:val="22"/>
          <w:szCs w:val="22"/>
          <w:lang w:val="en-US"/>
        </w:rPr>
        <w:t xml:space="preserve">receive a </w:t>
      </w:r>
      <w:r w:rsidRPr="00EB4DA5">
        <w:rPr>
          <w:sz w:val="22"/>
          <w:szCs w:val="22"/>
          <w:lang w:val="en-US"/>
        </w:rPr>
        <w:t>benefit</w:t>
      </w:r>
      <w:r w:rsidR="005933B2" w:rsidRPr="00EB4DA5">
        <w:rPr>
          <w:sz w:val="22"/>
          <w:szCs w:val="22"/>
          <w:lang w:val="en-US"/>
        </w:rPr>
        <w:t xml:space="preserve"> </w:t>
      </w:r>
      <w:r w:rsidRPr="00EB4DA5">
        <w:rPr>
          <w:sz w:val="22"/>
          <w:szCs w:val="22"/>
          <w:lang w:val="en-US"/>
        </w:rPr>
        <w:t>and</w:t>
      </w:r>
      <w:r w:rsidR="00EA20B0" w:rsidRPr="00EB4DA5">
        <w:rPr>
          <w:sz w:val="22"/>
          <w:szCs w:val="22"/>
          <w:lang w:val="en-US"/>
        </w:rPr>
        <w:t xml:space="preserve"> receive a deficit (Thomas v Thomas, 1842).</w:t>
      </w:r>
      <w:r w:rsidRPr="00EB4DA5">
        <w:rPr>
          <w:sz w:val="22"/>
          <w:szCs w:val="22"/>
          <w:lang w:val="en-US"/>
        </w:rPr>
        <w:t xml:space="preserve"> A past consideration is </w:t>
      </w:r>
      <w:r w:rsidR="00B43089" w:rsidRPr="00EB4DA5">
        <w:rPr>
          <w:sz w:val="22"/>
          <w:szCs w:val="22"/>
          <w:lang w:val="en-US"/>
        </w:rPr>
        <w:t xml:space="preserve">when the promise is made after the </w:t>
      </w:r>
      <w:r w:rsidR="007275E7" w:rsidRPr="00EB4DA5">
        <w:rPr>
          <w:sz w:val="22"/>
          <w:szCs w:val="22"/>
          <w:lang w:val="en-US"/>
        </w:rPr>
        <w:t>consideration has been completed</w:t>
      </w:r>
      <w:r w:rsidR="00B43089" w:rsidRPr="00EB4DA5">
        <w:rPr>
          <w:sz w:val="22"/>
          <w:szCs w:val="22"/>
          <w:lang w:val="en-US"/>
        </w:rPr>
        <w:t xml:space="preserve"> (Re McArdle, 1951).</w:t>
      </w:r>
      <w:r w:rsidR="007275E7" w:rsidRPr="00EB4DA5">
        <w:rPr>
          <w:sz w:val="22"/>
          <w:szCs w:val="22"/>
          <w:lang w:val="en-US"/>
        </w:rPr>
        <w:t xml:space="preserve"> However, there are </w:t>
      </w:r>
      <w:r w:rsidR="00007E51" w:rsidRPr="00EB4DA5">
        <w:rPr>
          <w:sz w:val="22"/>
          <w:szCs w:val="22"/>
          <w:lang w:val="en-US"/>
        </w:rPr>
        <w:t>some</w:t>
      </w:r>
      <w:r w:rsidR="007275E7" w:rsidRPr="00EB4DA5">
        <w:rPr>
          <w:sz w:val="22"/>
          <w:szCs w:val="22"/>
          <w:lang w:val="en-US"/>
        </w:rPr>
        <w:t xml:space="preserve"> exceptions</w:t>
      </w:r>
      <w:r w:rsidR="00D57806" w:rsidRPr="00EB4DA5">
        <w:rPr>
          <w:sz w:val="22"/>
          <w:szCs w:val="22"/>
          <w:lang w:val="en-US"/>
        </w:rPr>
        <w:t xml:space="preserve"> to the rule</w:t>
      </w:r>
      <w:r w:rsidR="007275E7" w:rsidRPr="00EB4DA5">
        <w:rPr>
          <w:sz w:val="22"/>
          <w:szCs w:val="22"/>
          <w:lang w:val="en-US"/>
        </w:rPr>
        <w:t xml:space="preserve"> where a past consideration would be honored and thus be considered ‘good’. </w:t>
      </w:r>
      <w:r w:rsidR="00D57806" w:rsidRPr="00EB4DA5">
        <w:rPr>
          <w:sz w:val="22"/>
          <w:szCs w:val="22"/>
          <w:lang w:val="en-US"/>
        </w:rPr>
        <w:t>Firstly, the doctrine of implied assumpsit</w:t>
      </w:r>
      <w:r w:rsidR="007275E7" w:rsidRPr="00EB4DA5">
        <w:rPr>
          <w:sz w:val="22"/>
          <w:szCs w:val="22"/>
          <w:lang w:val="en-US"/>
        </w:rPr>
        <w:t xml:space="preserve"> </w:t>
      </w:r>
      <w:r w:rsidR="00D57806" w:rsidRPr="00EB4DA5">
        <w:rPr>
          <w:sz w:val="22"/>
          <w:szCs w:val="22"/>
          <w:lang w:val="en-US"/>
        </w:rPr>
        <w:t xml:space="preserve">(McKendrick, 2021). This doctrine applies if </w:t>
      </w:r>
      <w:r w:rsidR="007275E7" w:rsidRPr="00EB4DA5">
        <w:rPr>
          <w:sz w:val="22"/>
          <w:szCs w:val="22"/>
          <w:lang w:val="en-US"/>
        </w:rPr>
        <w:t>the act of the promise was performed after the request of the promisor, and due to this act the promisor promises to pay the promis</w:t>
      </w:r>
      <w:r w:rsidR="005933B2" w:rsidRPr="00EB4DA5">
        <w:rPr>
          <w:sz w:val="22"/>
          <w:szCs w:val="22"/>
          <w:lang w:val="en-US"/>
        </w:rPr>
        <w:t>e</w:t>
      </w:r>
      <w:r w:rsidR="007275E7" w:rsidRPr="00EB4DA5">
        <w:rPr>
          <w:sz w:val="22"/>
          <w:szCs w:val="22"/>
          <w:lang w:val="en-US"/>
        </w:rPr>
        <w:t xml:space="preserve">e; this can be enforceable as </w:t>
      </w:r>
      <w:r w:rsidR="00D57806" w:rsidRPr="00EB4DA5">
        <w:rPr>
          <w:sz w:val="22"/>
          <w:szCs w:val="22"/>
          <w:lang w:val="en-US"/>
        </w:rPr>
        <w:t>applied</w:t>
      </w:r>
      <w:r w:rsidR="007275E7" w:rsidRPr="00EB4DA5">
        <w:rPr>
          <w:sz w:val="22"/>
          <w:szCs w:val="22"/>
          <w:lang w:val="en-US"/>
        </w:rPr>
        <w:t xml:space="preserve"> in </w:t>
      </w:r>
      <w:proofErr w:type="spellStart"/>
      <w:r w:rsidR="007275E7" w:rsidRPr="00EB4DA5">
        <w:rPr>
          <w:sz w:val="22"/>
          <w:szCs w:val="22"/>
          <w:lang w:val="en-US"/>
        </w:rPr>
        <w:t>Lampleigh</w:t>
      </w:r>
      <w:proofErr w:type="spellEnd"/>
      <w:r w:rsidR="007275E7" w:rsidRPr="00EB4DA5">
        <w:rPr>
          <w:sz w:val="22"/>
          <w:szCs w:val="22"/>
          <w:lang w:val="en-US"/>
        </w:rPr>
        <w:t xml:space="preserve"> v Braithwaite (1615)</w:t>
      </w:r>
      <w:r w:rsidR="00D57806" w:rsidRPr="00EB4DA5">
        <w:rPr>
          <w:sz w:val="22"/>
          <w:szCs w:val="22"/>
          <w:lang w:val="en-US"/>
        </w:rPr>
        <w:t xml:space="preserve">. </w:t>
      </w:r>
      <w:r w:rsidR="005933B2" w:rsidRPr="00EB4DA5">
        <w:rPr>
          <w:sz w:val="22"/>
          <w:szCs w:val="22"/>
          <w:lang w:val="en-US"/>
        </w:rPr>
        <w:t>However</w:t>
      </w:r>
      <w:r w:rsidR="00D57806" w:rsidRPr="00EB4DA5">
        <w:rPr>
          <w:sz w:val="22"/>
          <w:szCs w:val="22"/>
          <w:lang w:val="en-US"/>
        </w:rPr>
        <w:t>,</w:t>
      </w:r>
      <w:r w:rsidR="005933B2" w:rsidRPr="00EB4DA5">
        <w:rPr>
          <w:sz w:val="22"/>
          <w:szCs w:val="22"/>
          <w:lang w:val="en-US"/>
        </w:rPr>
        <w:t xml:space="preserve"> it must be reasonable to expect compensation for the act. A person drowning that </w:t>
      </w:r>
      <w:r w:rsidR="00947808" w:rsidRPr="00EB4DA5">
        <w:rPr>
          <w:sz w:val="22"/>
          <w:szCs w:val="22"/>
          <w:lang w:val="en-US"/>
        </w:rPr>
        <w:t>calls</w:t>
      </w:r>
      <w:r w:rsidR="005933B2" w:rsidRPr="00EB4DA5">
        <w:rPr>
          <w:sz w:val="22"/>
          <w:szCs w:val="22"/>
          <w:lang w:val="en-US"/>
        </w:rPr>
        <w:t xml:space="preserve"> for help would not be seen to have </w:t>
      </w:r>
      <w:proofErr w:type="gramStart"/>
      <w:r w:rsidR="00947808" w:rsidRPr="00EB4DA5">
        <w:rPr>
          <w:sz w:val="22"/>
          <w:szCs w:val="22"/>
          <w:lang w:val="en-US"/>
        </w:rPr>
        <w:t>entered</w:t>
      </w:r>
      <w:r w:rsidR="005933B2" w:rsidRPr="00EB4DA5">
        <w:rPr>
          <w:sz w:val="22"/>
          <w:szCs w:val="22"/>
          <w:lang w:val="en-US"/>
        </w:rPr>
        <w:t xml:space="preserve"> </w:t>
      </w:r>
      <w:r w:rsidR="00947808" w:rsidRPr="00EB4DA5">
        <w:rPr>
          <w:sz w:val="22"/>
          <w:szCs w:val="22"/>
          <w:lang w:val="en-US"/>
        </w:rPr>
        <w:t>into</w:t>
      </w:r>
      <w:proofErr w:type="gramEnd"/>
      <w:r w:rsidR="00947808" w:rsidRPr="00EB4DA5">
        <w:rPr>
          <w:sz w:val="22"/>
          <w:szCs w:val="22"/>
          <w:lang w:val="en-US"/>
        </w:rPr>
        <w:t xml:space="preserve"> a </w:t>
      </w:r>
      <w:r w:rsidR="005933B2" w:rsidRPr="00EB4DA5">
        <w:rPr>
          <w:sz w:val="22"/>
          <w:szCs w:val="22"/>
          <w:lang w:val="en-US"/>
        </w:rPr>
        <w:t>consideration (</w:t>
      </w:r>
      <w:proofErr w:type="spellStart"/>
      <w:r w:rsidR="005933B2" w:rsidRPr="00EB4DA5">
        <w:rPr>
          <w:sz w:val="22"/>
          <w:szCs w:val="22"/>
          <w:lang w:val="en-US"/>
        </w:rPr>
        <w:t>Merkin</w:t>
      </w:r>
      <w:proofErr w:type="spellEnd"/>
      <w:r w:rsidR="005933B2" w:rsidRPr="00EB4DA5">
        <w:rPr>
          <w:sz w:val="22"/>
          <w:szCs w:val="22"/>
          <w:lang w:val="en-US"/>
        </w:rPr>
        <w:t xml:space="preserve"> and </w:t>
      </w:r>
      <w:proofErr w:type="spellStart"/>
      <w:r w:rsidR="005933B2" w:rsidRPr="00EB4DA5">
        <w:rPr>
          <w:sz w:val="22"/>
          <w:szCs w:val="22"/>
          <w:lang w:val="en-US"/>
        </w:rPr>
        <w:t>Saintier</w:t>
      </w:r>
      <w:proofErr w:type="spellEnd"/>
      <w:r w:rsidR="005933B2" w:rsidRPr="00EB4DA5">
        <w:rPr>
          <w:sz w:val="22"/>
          <w:szCs w:val="22"/>
          <w:lang w:val="en-US"/>
        </w:rPr>
        <w:t xml:space="preserve"> 2019). </w:t>
      </w:r>
      <w:r w:rsidR="00007E51" w:rsidRPr="00EB4DA5">
        <w:rPr>
          <w:sz w:val="22"/>
          <w:szCs w:val="22"/>
          <w:lang w:val="en-US"/>
        </w:rPr>
        <w:t xml:space="preserve">A further example would be if there were an understanding that at a later point there would be an expectation of a discussion of a reciprocation for the consideration (Re </w:t>
      </w:r>
      <w:proofErr w:type="spellStart"/>
      <w:r w:rsidR="00007E51" w:rsidRPr="00EB4DA5">
        <w:rPr>
          <w:sz w:val="22"/>
          <w:szCs w:val="22"/>
          <w:lang w:val="en-US"/>
        </w:rPr>
        <w:t>Caseys</w:t>
      </w:r>
      <w:proofErr w:type="spellEnd"/>
      <w:r w:rsidR="00007E51" w:rsidRPr="00EB4DA5">
        <w:rPr>
          <w:sz w:val="22"/>
          <w:szCs w:val="22"/>
          <w:lang w:val="en-US"/>
        </w:rPr>
        <w:t xml:space="preserve"> Patents, 1892).</w:t>
      </w:r>
      <w:r w:rsidR="005933B2" w:rsidRPr="00EB4DA5">
        <w:rPr>
          <w:sz w:val="22"/>
          <w:szCs w:val="22"/>
          <w:lang w:val="en-US"/>
        </w:rPr>
        <w:t xml:space="preserve"> </w:t>
      </w:r>
      <w:r w:rsidR="006D0FF4" w:rsidRPr="00EB4DA5">
        <w:rPr>
          <w:sz w:val="22"/>
          <w:szCs w:val="22"/>
          <w:lang w:val="en-US"/>
        </w:rPr>
        <w:t xml:space="preserve">A further point to be considered with past consideration is seen in </w:t>
      </w:r>
      <w:proofErr w:type="spellStart"/>
      <w:r w:rsidR="006D0FF4" w:rsidRPr="00EB4DA5">
        <w:rPr>
          <w:sz w:val="22"/>
          <w:szCs w:val="22"/>
          <w:lang w:val="en-US"/>
        </w:rPr>
        <w:t>Roscorla</w:t>
      </w:r>
      <w:proofErr w:type="spellEnd"/>
      <w:r w:rsidR="006D0FF4" w:rsidRPr="00EB4DA5">
        <w:rPr>
          <w:sz w:val="22"/>
          <w:szCs w:val="22"/>
          <w:lang w:val="en-US"/>
        </w:rPr>
        <w:t xml:space="preserve"> v Thomas (1842) which shoes that promises made after the consideration are not part of the consideration and are therefore not binding. This is due to the consideration being past.</w:t>
      </w:r>
    </w:p>
    <w:p w14:paraId="31B71362" w14:textId="576F51DE" w:rsidR="00DD2E1B" w:rsidRPr="00EB4DA5" w:rsidRDefault="00DD2E1B">
      <w:pPr>
        <w:rPr>
          <w:sz w:val="22"/>
          <w:szCs w:val="22"/>
          <w:lang w:val="en-US"/>
        </w:rPr>
      </w:pPr>
    </w:p>
    <w:p w14:paraId="64A4A57C" w14:textId="26D55367" w:rsidR="00DD2E1B" w:rsidRPr="00EB4DA5" w:rsidRDefault="00DD2E1B">
      <w:pPr>
        <w:rPr>
          <w:sz w:val="22"/>
          <w:szCs w:val="22"/>
          <w:lang w:val="en-US"/>
        </w:rPr>
      </w:pPr>
      <w:r w:rsidRPr="00EB4DA5">
        <w:rPr>
          <w:sz w:val="22"/>
          <w:szCs w:val="22"/>
          <w:lang w:val="en-US"/>
        </w:rPr>
        <w:t>C.</w:t>
      </w:r>
    </w:p>
    <w:p w14:paraId="60ED67CA" w14:textId="5AB4ADFF" w:rsidR="00DD2E1B" w:rsidRPr="00EB4DA5" w:rsidRDefault="00745A6B">
      <w:pPr>
        <w:rPr>
          <w:sz w:val="22"/>
          <w:szCs w:val="22"/>
          <w:lang w:val="en-US"/>
        </w:rPr>
      </w:pPr>
      <w:r w:rsidRPr="00EB4DA5">
        <w:rPr>
          <w:sz w:val="22"/>
          <w:szCs w:val="22"/>
          <w:lang w:val="en-US"/>
        </w:rPr>
        <w:t xml:space="preserve">The entire performance rules </w:t>
      </w:r>
      <w:proofErr w:type="gramStart"/>
      <w:r w:rsidR="00B02192" w:rsidRPr="00EB4DA5">
        <w:rPr>
          <w:sz w:val="22"/>
          <w:szCs w:val="22"/>
          <w:lang w:val="en-US"/>
        </w:rPr>
        <w:t>refers</w:t>
      </w:r>
      <w:proofErr w:type="gramEnd"/>
      <w:r w:rsidRPr="00EB4DA5">
        <w:rPr>
          <w:sz w:val="22"/>
          <w:szCs w:val="22"/>
          <w:lang w:val="en-US"/>
        </w:rPr>
        <w:t xml:space="preserve"> to the entire act needing to be completed in order for the consideration to be seen complete and the contract to be upheld (Cutter v Powell 1795).</w:t>
      </w:r>
    </w:p>
    <w:p w14:paraId="36851F0F" w14:textId="7C135F73" w:rsidR="00182EDC" w:rsidRPr="00EB4DA5" w:rsidRDefault="00B02192">
      <w:pPr>
        <w:rPr>
          <w:sz w:val="22"/>
          <w:szCs w:val="22"/>
          <w:lang w:val="en-US"/>
        </w:rPr>
      </w:pPr>
      <w:r w:rsidRPr="00EB4DA5">
        <w:rPr>
          <w:sz w:val="22"/>
          <w:szCs w:val="22"/>
          <w:lang w:val="en-US"/>
        </w:rPr>
        <w:t>One of the exceptions to this rule however is substantial performance. This allows the court to issue that payment should be made providing there has been an appropriate performance (</w:t>
      </w:r>
      <w:r w:rsidR="00C71E58" w:rsidRPr="00EB4DA5">
        <w:rPr>
          <w:sz w:val="22"/>
          <w:szCs w:val="22"/>
          <w:lang w:val="en-US"/>
        </w:rPr>
        <w:t>M</w:t>
      </w:r>
      <w:r w:rsidRPr="00EB4DA5">
        <w:rPr>
          <w:sz w:val="22"/>
          <w:szCs w:val="22"/>
          <w:lang w:val="en-US"/>
        </w:rPr>
        <w:t>, 1953).</w:t>
      </w:r>
      <w:r w:rsidR="006C52C9" w:rsidRPr="00EB4DA5">
        <w:rPr>
          <w:sz w:val="22"/>
          <w:szCs w:val="22"/>
          <w:lang w:val="en-US"/>
        </w:rPr>
        <w:t xml:space="preserve"> This Doctrine allows for the court to asse</w:t>
      </w:r>
      <w:r w:rsidR="004E0442" w:rsidRPr="00EB4DA5">
        <w:rPr>
          <w:sz w:val="22"/>
          <w:szCs w:val="22"/>
          <w:lang w:val="en-US"/>
        </w:rPr>
        <w:t>s</w:t>
      </w:r>
      <w:r w:rsidR="006C52C9" w:rsidRPr="00EB4DA5">
        <w:rPr>
          <w:sz w:val="22"/>
          <w:szCs w:val="22"/>
          <w:lang w:val="en-US"/>
        </w:rPr>
        <w:t>s and decide if substantial work has been done and allows the promisee to receive payment minus damages to ensure that no one is at an unfair point (Hoenig v Isaacs, 1952).</w:t>
      </w:r>
      <w:r w:rsidR="004E0442" w:rsidRPr="00EB4DA5">
        <w:rPr>
          <w:sz w:val="22"/>
          <w:szCs w:val="22"/>
          <w:lang w:val="en-US"/>
        </w:rPr>
        <w:t xml:space="preserve"> </w:t>
      </w:r>
      <w:r w:rsidR="00B1760A" w:rsidRPr="00EB4DA5">
        <w:rPr>
          <w:sz w:val="22"/>
          <w:szCs w:val="22"/>
          <w:lang w:val="en-US"/>
        </w:rPr>
        <w:t xml:space="preserve">However, this is not a blanket approach to partially completed contracts. The court will assess the proportion of work done in comparison to any work left to be completed or any damages needing to be paid. It is seen that in contracts for small domestic buildings that the substantial performance exception is not applicable (Bolton v Mahadeva, 1972).  </w:t>
      </w:r>
      <w:r w:rsidR="004E0442" w:rsidRPr="00EB4DA5">
        <w:rPr>
          <w:sz w:val="22"/>
          <w:szCs w:val="22"/>
          <w:lang w:val="en-US"/>
        </w:rPr>
        <w:t xml:space="preserve">A further </w:t>
      </w:r>
      <w:r w:rsidR="00871802" w:rsidRPr="00EB4DA5">
        <w:rPr>
          <w:sz w:val="22"/>
          <w:szCs w:val="22"/>
          <w:lang w:val="en-US"/>
        </w:rPr>
        <w:t xml:space="preserve">exception to the entire performance rule would be the acceptance of partial performance. </w:t>
      </w:r>
      <w:r w:rsidR="00922532" w:rsidRPr="00EB4DA5">
        <w:rPr>
          <w:sz w:val="22"/>
          <w:szCs w:val="22"/>
          <w:lang w:val="en-US"/>
        </w:rPr>
        <w:t xml:space="preserve">This scenario is </w:t>
      </w:r>
      <w:r w:rsidR="00457F84" w:rsidRPr="00EB4DA5">
        <w:rPr>
          <w:sz w:val="22"/>
          <w:szCs w:val="22"/>
          <w:lang w:val="en-US"/>
        </w:rPr>
        <w:t>applicable</w:t>
      </w:r>
      <w:r w:rsidR="00922532" w:rsidRPr="00EB4DA5">
        <w:rPr>
          <w:sz w:val="22"/>
          <w:szCs w:val="22"/>
          <w:lang w:val="en-US"/>
        </w:rPr>
        <w:t xml:space="preserve"> where the contract may not have been intended to be severed early but where one party severs the contract and the other accepts and agrees to pay for part performance. </w:t>
      </w:r>
      <w:r w:rsidR="00457F84" w:rsidRPr="00EB4DA5">
        <w:rPr>
          <w:sz w:val="22"/>
          <w:szCs w:val="22"/>
          <w:lang w:val="en-US"/>
        </w:rPr>
        <w:t xml:space="preserve">Thus, allowing partial performance for partial payment (Sumpter v Hedges 1898).  </w:t>
      </w:r>
      <w:r w:rsidR="00922532" w:rsidRPr="00EB4DA5">
        <w:rPr>
          <w:sz w:val="22"/>
          <w:szCs w:val="22"/>
          <w:lang w:val="en-US"/>
        </w:rPr>
        <w:t>The claimant must sue for quantum meruit in this scenario (Elliott and Quinn, 2017).</w:t>
      </w:r>
      <w:r w:rsidR="00457F84" w:rsidRPr="00EB4DA5">
        <w:rPr>
          <w:sz w:val="22"/>
          <w:szCs w:val="22"/>
          <w:lang w:val="en-US"/>
        </w:rPr>
        <w:t xml:space="preserve"> This doctrine is only acceptable however when </w:t>
      </w:r>
      <w:proofErr w:type="spellStart"/>
      <w:r w:rsidR="00457F84" w:rsidRPr="00EB4DA5">
        <w:rPr>
          <w:sz w:val="22"/>
          <w:szCs w:val="22"/>
          <w:lang w:val="en-US"/>
        </w:rPr>
        <w:t>when</w:t>
      </w:r>
      <w:proofErr w:type="spellEnd"/>
      <w:r w:rsidR="00457F84" w:rsidRPr="00EB4DA5">
        <w:rPr>
          <w:sz w:val="22"/>
          <w:szCs w:val="22"/>
          <w:lang w:val="en-US"/>
        </w:rPr>
        <w:t xml:space="preserve"> the party accepting and making promise to pay </w:t>
      </w:r>
      <w:proofErr w:type="gramStart"/>
      <w:r w:rsidR="00457F84" w:rsidRPr="00EB4DA5">
        <w:rPr>
          <w:sz w:val="22"/>
          <w:szCs w:val="22"/>
          <w:lang w:val="en-US"/>
        </w:rPr>
        <w:t>actually has</w:t>
      </w:r>
      <w:proofErr w:type="gramEnd"/>
      <w:r w:rsidR="00457F84" w:rsidRPr="00EB4DA5">
        <w:rPr>
          <w:sz w:val="22"/>
          <w:szCs w:val="22"/>
          <w:lang w:val="en-US"/>
        </w:rPr>
        <w:t xml:space="preserve"> a choice in accepting the part performance (Cutter v Powell, 1975). </w:t>
      </w:r>
      <w:r w:rsidR="00922532" w:rsidRPr="00EB4DA5">
        <w:rPr>
          <w:sz w:val="22"/>
          <w:szCs w:val="22"/>
          <w:lang w:val="en-US"/>
        </w:rPr>
        <w:t xml:space="preserve"> </w:t>
      </w:r>
      <w:r w:rsidR="00CC6E19" w:rsidRPr="00EB4DA5">
        <w:rPr>
          <w:sz w:val="22"/>
          <w:szCs w:val="22"/>
          <w:lang w:val="en-US"/>
        </w:rPr>
        <w:t xml:space="preserve">A further example of an exception would be a severable contract. This would be where the terms could be </w:t>
      </w:r>
      <w:r w:rsidR="002E2DAF" w:rsidRPr="00EB4DA5">
        <w:rPr>
          <w:sz w:val="22"/>
          <w:szCs w:val="22"/>
          <w:lang w:val="en-US"/>
        </w:rPr>
        <w:t>separated,</w:t>
      </w:r>
      <w:r w:rsidR="00CC6E19" w:rsidRPr="00EB4DA5">
        <w:rPr>
          <w:sz w:val="22"/>
          <w:szCs w:val="22"/>
          <w:lang w:val="en-US"/>
        </w:rPr>
        <w:t xml:space="preserve"> and partial considerations can be </w:t>
      </w:r>
      <w:r w:rsidR="00CC6E19" w:rsidRPr="00EB4DA5">
        <w:rPr>
          <w:sz w:val="22"/>
          <w:szCs w:val="22"/>
          <w:lang w:val="en-US"/>
        </w:rPr>
        <w:lastRenderedPageBreak/>
        <w:t xml:space="preserve">agreed upon for the separated portion (Ritchie v Atkinson 1808). </w:t>
      </w:r>
      <w:r w:rsidR="006E3CAC" w:rsidRPr="00EB4DA5">
        <w:rPr>
          <w:sz w:val="22"/>
          <w:szCs w:val="22"/>
          <w:lang w:val="en-US"/>
        </w:rPr>
        <w:t>Further examples of this form of exception can be seen in employment contracts.</w:t>
      </w:r>
    </w:p>
    <w:p w14:paraId="616AFA51" w14:textId="2F73767E" w:rsidR="00182EDC" w:rsidRPr="00EB4DA5" w:rsidRDefault="00182EDC">
      <w:pPr>
        <w:rPr>
          <w:sz w:val="22"/>
          <w:szCs w:val="22"/>
          <w:lang w:val="en-US"/>
        </w:rPr>
      </w:pPr>
    </w:p>
    <w:p w14:paraId="7B9599C2" w14:textId="1F1B8413" w:rsidR="00932E66" w:rsidRPr="00EB4DA5" w:rsidRDefault="00932E66">
      <w:pPr>
        <w:rPr>
          <w:sz w:val="22"/>
          <w:szCs w:val="22"/>
          <w:lang w:val="en-US"/>
        </w:rPr>
      </w:pPr>
      <w:r w:rsidRPr="00EB4DA5">
        <w:rPr>
          <w:sz w:val="22"/>
          <w:szCs w:val="22"/>
          <w:lang w:val="en-US"/>
        </w:rPr>
        <w:t>D.</w:t>
      </w:r>
    </w:p>
    <w:p w14:paraId="204FF412" w14:textId="01382509" w:rsidR="00821531" w:rsidRPr="00EB4DA5" w:rsidRDefault="00821531" w:rsidP="00821531">
      <w:pPr>
        <w:rPr>
          <w:sz w:val="22"/>
          <w:szCs w:val="22"/>
          <w:lang w:val="en-US"/>
        </w:rPr>
      </w:pPr>
      <w:r w:rsidRPr="00EB4DA5">
        <w:rPr>
          <w:sz w:val="22"/>
          <w:szCs w:val="22"/>
          <w:lang w:val="en-US"/>
        </w:rPr>
        <w:t xml:space="preserve">To establish if any valid contracts have been made it must be assessed if there was a valid agreement, </w:t>
      </w:r>
      <w:r w:rsidR="004A2937" w:rsidRPr="00EB4DA5">
        <w:rPr>
          <w:sz w:val="22"/>
          <w:szCs w:val="22"/>
          <w:lang w:val="en-US"/>
        </w:rPr>
        <w:t xml:space="preserve">a </w:t>
      </w:r>
      <w:proofErr w:type="gramStart"/>
      <w:r w:rsidRPr="00EB4DA5">
        <w:rPr>
          <w:sz w:val="22"/>
          <w:szCs w:val="22"/>
          <w:lang w:val="en-US"/>
        </w:rPr>
        <w:t>consideration</w:t>
      </w:r>
      <w:proofErr w:type="gramEnd"/>
      <w:r w:rsidRPr="00EB4DA5">
        <w:rPr>
          <w:sz w:val="22"/>
          <w:szCs w:val="22"/>
          <w:lang w:val="en-US"/>
        </w:rPr>
        <w:t xml:space="preserve"> and </w:t>
      </w:r>
      <w:r w:rsidR="004A2937" w:rsidRPr="00EB4DA5">
        <w:rPr>
          <w:sz w:val="22"/>
          <w:szCs w:val="22"/>
          <w:lang w:val="en-US"/>
        </w:rPr>
        <w:t xml:space="preserve">an </w:t>
      </w:r>
      <w:r w:rsidRPr="00EB4DA5">
        <w:rPr>
          <w:sz w:val="22"/>
          <w:szCs w:val="22"/>
          <w:lang w:val="en-US"/>
        </w:rPr>
        <w:t xml:space="preserve">intent to form a legally binding relationship. </w:t>
      </w:r>
      <w:r w:rsidR="005922AB" w:rsidRPr="00EB4DA5">
        <w:rPr>
          <w:sz w:val="22"/>
          <w:szCs w:val="22"/>
          <w:lang w:val="en-US"/>
        </w:rPr>
        <w:t>What constitutes these</w:t>
      </w:r>
      <w:r w:rsidRPr="00EB4DA5">
        <w:rPr>
          <w:sz w:val="22"/>
          <w:szCs w:val="22"/>
          <w:lang w:val="en-US"/>
        </w:rPr>
        <w:t xml:space="preserve"> elements </w:t>
      </w:r>
      <w:r w:rsidR="005922AB" w:rsidRPr="00EB4DA5">
        <w:rPr>
          <w:sz w:val="22"/>
          <w:szCs w:val="22"/>
          <w:lang w:val="en-US"/>
        </w:rPr>
        <w:t>is</w:t>
      </w:r>
      <w:r w:rsidRPr="00EB4DA5">
        <w:rPr>
          <w:sz w:val="22"/>
          <w:szCs w:val="22"/>
          <w:lang w:val="en-US"/>
        </w:rPr>
        <w:t xml:space="preserve"> set through common law. </w:t>
      </w:r>
    </w:p>
    <w:p w14:paraId="36531B19" w14:textId="77777777" w:rsidR="00821531" w:rsidRPr="00EB4DA5" w:rsidRDefault="00821531" w:rsidP="00821531">
      <w:pPr>
        <w:rPr>
          <w:sz w:val="22"/>
          <w:szCs w:val="22"/>
          <w:lang w:val="en-US"/>
        </w:rPr>
      </w:pPr>
    </w:p>
    <w:p w14:paraId="2D436FA4" w14:textId="7B434304" w:rsidR="00821531" w:rsidRPr="00EB4DA5" w:rsidRDefault="00821531" w:rsidP="00821531">
      <w:pPr>
        <w:rPr>
          <w:sz w:val="22"/>
          <w:szCs w:val="22"/>
          <w:lang w:val="en-US"/>
        </w:rPr>
      </w:pPr>
      <w:r w:rsidRPr="00EB4DA5">
        <w:rPr>
          <w:sz w:val="22"/>
          <w:szCs w:val="22"/>
          <w:lang w:val="en-US"/>
        </w:rPr>
        <w:t xml:space="preserve">To establish an agreement, it needs to be broken down </w:t>
      </w:r>
      <w:r w:rsidR="004A2937" w:rsidRPr="00EB4DA5">
        <w:rPr>
          <w:sz w:val="22"/>
          <w:szCs w:val="22"/>
          <w:lang w:val="en-US"/>
        </w:rPr>
        <w:t>in</w:t>
      </w:r>
      <w:r w:rsidRPr="00EB4DA5">
        <w:rPr>
          <w:sz w:val="22"/>
          <w:szCs w:val="22"/>
          <w:lang w:val="en-US"/>
        </w:rPr>
        <w:t xml:space="preserve">to </w:t>
      </w:r>
      <w:r w:rsidR="005922AB" w:rsidRPr="00EB4DA5">
        <w:rPr>
          <w:sz w:val="22"/>
          <w:szCs w:val="22"/>
          <w:lang w:val="en-US"/>
        </w:rPr>
        <w:t xml:space="preserve">two parts: </w:t>
      </w:r>
      <w:r w:rsidRPr="00EB4DA5">
        <w:rPr>
          <w:sz w:val="22"/>
          <w:szCs w:val="22"/>
          <w:lang w:val="en-US"/>
        </w:rPr>
        <w:t xml:space="preserve">an offer and </w:t>
      </w:r>
      <w:r w:rsidR="005922AB" w:rsidRPr="00EB4DA5">
        <w:rPr>
          <w:sz w:val="22"/>
          <w:szCs w:val="22"/>
          <w:lang w:val="en-US"/>
        </w:rPr>
        <w:t xml:space="preserve">an </w:t>
      </w:r>
      <w:r w:rsidRPr="00EB4DA5">
        <w:rPr>
          <w:sz w:val="22"/>
          <w:szCs w:val="22"/>
          <w:lang w:val="en-US"/>
        </w:rPr>
        <w:t xml:space="preserve">acceptance. </w:t>
      </w:r>
      <w:r w:rsidR="004A2937" w:rsidRPr="00EB4DA5">
        <w:rPr>
          <w:sz w:val="22"/>
          <w:szCs w:val="22"/>
          <w:lang w:val="en-US"/>
        </w:rPr>
        <w:t xml:space="preserve">To </w:t>
      </w:r>
      <w:r w:rsidR="005922AB" w:rsidRPr="00EB4DA5">
        <w:rPr>
          <w:sz w:val="22"/>
          <w:szCs w:val="22"/>
          <w:lang w:val="en-US"/>
        </w:rPr>
        <w:t>e</w:t>
      </w:r>
      <w:r w:rsidR="004A2937" w:rsidRPr="00EB4DA5">
        <w:rPr>
          <w:sz w:val="22"/>
          <w:szCs w:val="22"/>
          <w:lang w:val="en-US"/>
        </w:rPr>
        <w:t>stablish</w:t>
      </w:r>
      <w:r w:rsidRPr="00EB4DA5">
        <w:rPr>
          <w:sz w:val="22"/>
          <w:szCs w:val="22"/>
          <w:lang w:val="en-US"/>
        </w:rPr>
        <w:t xml:space="preserve"> if an agreement has been made an objective test is used (Upton-on-Severn Rural District Council v Powell 1942). Typically, advertisements are considered as an invitation to treat</w:t>
      </w:r>
      <w:r w:rsidR="004A2937" w:rsidRPr="00EB4DA5">
        <w:rPr>
          <w:sz w:val="22"/>
          <w:szCs w:val="22"/>
          <w:lang w:val="en-US"/>
        </w:rPr>
        <w:t xml:space="preserve"> and not an offer</w:t>
      </w:r>
      <w:r w:rsidRPr="00EB4DA5">
        <w:rPr>
          <w:sz w:val="22"/>
          <w:szCs w:val="22"/>
          <w:lang w:val="en-US"/>
        </w:rPr>
        <w:t xml:space="preserve"> (</w:t>
      </w:r>
      <w:proofErr w:type="spellStart"/>
      <w:r w:rsidRPr="00EB4DA5">
        <w:rPr>
          <w:sz w:val="22"/>
          <w:szCs w:val="22"/>
          <w:lang w:val="en-US"/>
        </w:rPr>
        <w:t>Patridge</w:t>
      </w:r>
      <w:proofErr w:type="spellEnd"/>
      <w:r w:rsidRPr="00EB4DA5">
        <w:rPr>
          <w:sz w:val="22"/>
          <w:szCs w:val="22"/>
          <w:lang w:val="en-US"/>
        </w:rPr>
        <w:t xml:space="preserve"> v Crittenden 1968). Although this is not always the rule (Carlill v Carbolic Smoke Ball Co 1893). </w:t>
      </w:r>
      <w:r w:rsidR="005922AB" w:rsidRPr="00EB4DA5">
        <w:rPr>
          <w:sz w:val="22"/>
          <w:szCs w:val="22"/>
          <w:lang w:val="en-US"/>
        </w:rPr>
        <w:t>In Arthurs advertisement he stipulated that</w:t>
      </w:r>
      <w:r w:rsidRPr="00EB4DA5">
        <w:rPr>
          <w:sz w:val="22"/>
          <w:szCs w:val="22"/>
          <w:lang w:val="en-US"/>
        </w:rPr>
        <w:t xml:space="preserve"> </w:t>
      </w:r>
      <w:r w:rsidR="005922AB" w:rsidRPr="00EB4DA5">
        <w:rPr>
          <w:sz w:val="22"/>
          <w:szCs w:val="22"/>
          <w:lang w:val="en-US"/>
        </w:rPr>
        <w:t>h</w:t>
      </w:r>
      <w:r w:rsidRPr="00EB4DA5">
        <w:rPr>
          <w:sz w:val="22"/>
          <w:szCs w:val="22"/>
          <w:lang w:val="en-US"/>
        </w:rPr>
        <w:t>e was open to serious offers</w:t>
      </w:r>
      <w:r w:rsidR="005922AB" w:rsidRPr="00EB4DA5">
        <w:rPr>
          <w:sz w:val="22"/>
          <w:szCs w:val="22"/>
          <w:lang w:val="en-US"/>
        </w:rPr>
        <w:t xml:space="preserve">. Due to this </w:t>
      </w:r>
      <w:proofErr w:type="gramStart"/>
      <w:r w:rsidR="005922AB" w:rsidRPr="00EB4DA5">
        <w:rPr>
          <w:sz w:val="22"/>
          <w:szCs w:val="22"/>
          <w:lang w:val="en-US"/>
        </w:rPr>
        <w:t>statement</w:t>
      </w:r>
      <w:proofErr w:type="gramEnd"/>
      <w:r w:rsidR="005922AB" w:rsidRPr="00EB4DA5">
        <w:rPr>
          <w:sz w:val="22"/>
          <w:szCs w:val="22"/>
          <w:lang w:val="en-US"/>
        </w:rPr>
        <w:t xml:space="preserve"> </w:t>
      </w:r>
      <w:r w:rsidR="004A2937" w:rsidRPr="00EB4DA5">
        <w:rPr>
          <w:sz w:val="22"/>
          <w:szCs w:val="22"/>
          <w:lang w:val="en-US"/>
        </w:rPr>
        <w:t xml:space="preserve">it </w:t>
      </w:r>
      <w:r w:rsidRPr="00EB4DA5">
        <w:rPr>
          <w:sz w:val="22"/>
          <w:szCs w:val="22"/>
          <w:lang w:val="en-US"/>
        </w:rPr>
        <w:t xml:space="preserve">would fall into the bracket of an invitation to treat so there is no offer initially made. </w:t>
      </w:r>
    </w:p>
    <w:p w14:paraId="0F1EAD17" w14:textId="77777777" w:rsidR="00821531" w:rsidRPr="00EB4DA5" w:rsidRDefault="00821531" w:rsidP="00821531">
      <w:pPr>
        <w:rPr>
          <w:sz w:val="22"/>
          <w:szCs w:val="22"/>
        </w:rPr>
      </w:pPr>
    </w:p>
    <w:p w14:paraId="26E2FBE9" w14:textId="7FAC614F" w:rsidR="00821531" w:rsidRPr="00EB4DA5" w:rsidRDefault="00821531" w:rsidP="00821531">
      <w:pPr>
        <w:rPr>
          <w:sz w:val="22"/>
          <w:szCs w:val="22"/>
        </w:rPr>
      </w:pPr>
      <w:proofErr w:type="gramStart"/>
      <w:r w:rsidRPr="00EB4DA5">
        <w:rPr>
          <w:sz w:val="22"/>
          <w:szCs w:val="22"/>
        </w:rPr>
        <w:t>Bens</w:t>
      </w:r>
      <w:proofErr w:type="gramEnd"/>
      <w:r w:rsidRPr="00EB4DA5">
        <w:rPr>
          <w:sz w:val="22"/>
          <w:szCs w:val="22"/>
        </w:rPr>
        <w:t xml:space="preserve"> letter detailing that he will pay the full asking price </w:t>
      </w:r>
      <w:r w:rsidR="004A2937" w:rsidRPr="00EB4DA5">
        <w:rPr>
          <w:sz w:val="22"/>
          <w:szCs w:val="22"/>
        </w:rPr>
        <w:t>for the watch i</w:t>
      </w:r>
      <w:r w:rsidRPr="00EB4DA5">
        <w:rPr>
          <w:sz w:val="22"/>
          <w:szCs w:val="22"/>
        </w:rPr>
        <w:t xml:space="preserve">s an offer to Arthur. </w:t>
      </w:r>
    </w:p>
    <w:p w14:paraId="6CE6E818" w14:textId="77777777" w:rsidR="00821531" w:rsidRPr="00EB4DA5" w:rsidRDefault="00821531" w:rsidP="00821531">
      <w:pPr>
        <w:rPr>
          <w:sz w:val="22"/>
          <w:szCs w:val="22"/>
        </w:rPr>
      </w:pPr>
    </w:p>
    <w:p w14:paraId="7162C160" w14:textId="65710286" w:rsidR="00821531" w:rsidRPr="00EB4DA5" w:rsidRDefault="00821531" w:rsidP="00821531">
      <w:pPr>
        <w:rPr>
          <w:sz w:val="22"/>
          <w:szCs w:val="22"/>
          <w:lang w:val="en-US"/>
        </w:rPr>
      </w:pPr>
      <w:r w:rsidRPr="00EB4DA5">
        <w:rPr>
          <w:sz w:val="22"/>
          <w:szCs w:val="22"/>
          <w:lang w:val="en-US"/>
        </w:rPr>
        <w:t>Christine’s proposal of £11,000 would constitute as an offer. Arthur’s response to Christine on the 5</w:t>
      </w:r>
      <w:r w:rsidRPr="00EB4DA5">
        <w:rPr>
          <w:sz w:val="22"/>
          <w:szCs w:val="22"/>
          <w:vertAlign w:val="superscript"/>
          <w:lang w:val="en-US"/>
        </w:rPr>
        <w:t>th</w:t>
      </w:r>
      <w:r w:rsidRPr="00EB4DA5">
        <w:rPr>
          <w:sz w:val="22"/>
          <w:szCs w:val="22"/>
          <w:lang w:val="en-US"/>
        </w:rPr>
        <w:t xml:space="preserve"> May stating he would accept £13,000 for the watch constitutes as a counteroffer. This is not binding as there has still been no acceptance (Hyde v Wrench 1840). This counteroffer makes Christine’s offer of £11,000 void. Christine’s communication to accept to pay with 2 instalment is not an acceptance of Arthurs offer. It does not accept the terms in a mirror image of the offer; an agreement has therefore still not been made. It could be argued that this amendment falls into either the counter-offer criteria or the criteria for a request of more information. As </w:t>
      </w:r>
      <w:proofErr w:type="spellStart"/>
      <w:r w:rsidRPr="00EB4DA5">
        <w:rPr>
          <w:sz w:val="22"/>
          <w:szCs w:val="22"/>
          <w:lang w:val="en-US"/>
        </w:rPr>
        <w:t>Christines</w:t>
      </w:r>
      <w:proofErr w:type="spellEnd"/>
      <w:r w:rsidRPr="00EB4DA5">
        <w:rPr>
          <w:sz w:val="22"/>
          <w:szCs w:val="22"/>
          <w:lang w:val="en-US"/>
        </w:rPr>
        <w:t xml:space="preserve"> proposal to pay in two instalments accepts the amount in Arthurs offer but changes the terms of a payment schedule this could classed as a counteroffer. Which would then reject the offer of £13,000 made by Arthur. This would mean that Christine’s later ‘acceptance’ to pay £13,000 in one sum is invalid as there would be no valid offer available to accept. However, Christine could argue that it was simply a request for further information (Stevenson, </w:t>
      </w:r>
      <w:proofErr w:type="gramStart"/>
      <w:r w:rsidRPr="00EB4DA5">
        <w:rPr>
          <w:sz w:val="22"/>
          <w:szCs w:val="22"/>
          <w:lang w:val="en-US"/>
        </w:rPr>
        <w:t>Jacques</w:t>
      </w:r>
      <w:proofErr w:type="gramEnd"/>
      <w:r w:rsidRPr="00EB4DA5">
        <w:rPr>
          <w:sz w:val="22"/>
          <w:szCs w:val="22"/>
          <w:lang w:val="en-US"/>
        </w:rPr>
        <w:t xml:space="preserve"> and Co v McLean 1880). This would not reject Arthurs original offer and would make her later acceptance to pay the £13,000 valid. Forming an agreement. In this view </w:t>
      </w:r>
      <w:proofErr w:type="spellStart"/>
      <w:r w:rsidRPr="00EB4DA5">
        <w:rPr>
          <w:sz w:val="22"/>
          <w:szCs w:val="22"/>
          <w:lang w:val="en-US"/>
        </w:rPr>
        <w:t>Christines</w:t>
      </w:r>
      <w:proofErr w:type="spellEnd"/>
      <w:r w:rsidRPr="00EB4DA5">
        <w:rPr>
          <w:sz w:val="22"/>
          <w:szCs w:val="22"/>
          <w:lang w:val="en-US"/>
        </w:rPr>
        <w:t xml:space="preserve"> acceptance would be valid from 2pm on the 5</w:t>
      </w:r>
      <w:r w:rsidRPr="00EB4DA5">
        <w:rPr>
          <w:sz w:val="22"/>
          <w:szCs w:val="22"/>
          <w:vertAlign w:val="superscript"/>
          <w:lang w:val="en-US"/>
        </w:rPr>
        <w:t>th</w:t>
      </w:r>
      <w:r w:rsidRPr="00EB4DA5">
        <w:rPr>
          <w:sz w:val="22"/>
          <w:szCs w:val="22"/>
          <w:lang w:val="en-US"/>
        </w:rPr>
        <w:t xml:space="preserve"> May</w:t>
      </w:r>
      <w:r w:rsidR="00DF2D71" w:rsidRPr="00EB4DA5">
        <w:rPr>
          <w:sz w:val="22"/>
          <w:szCs w:val="22"/>
          <w:lang w:val="en-US"/>
        </w:rPr>
        <w:t xml:space="preserve"> providing this is a </w:t>
      </w:r>
      <w:proofErr w:type="gramStart"/>
      <w:r w:rsidR="00DF2D71" w:rsidRPr="00EB4DA5">
        <w:rPr>
          <w:sz w:val="22"/>
          <w:szCs w:val="22"/>
          <w:lang w:val="en-US"/>
        </w:rPr>
        <w:t>week day</w:t>
      </w:r>
      <w:proofErr w:type="gramEnd"/>
      <w:r w:rsidR="00DF2D71" w:rsidRPr="00EB4DA5">
        <w:rPr>
          <w:sz w:val="22"/>
          <w:szCs w:val="22"/>
          <w:lang w:val="en-US"/>
        </w:rPr>
        <w:t xml:space="preserve"> and not a bank holiday</w:t>
      </w:r>
      <w:r w:rsidRPr="00EB4DA5">
        <w:rPr>
          <w:sz w:val="22"/>
          <w:szCs w:val="22"/>
          <w:lang w:val="en-US"/>
        </w:rPr>
        <w:t xml:space="preserve"> (The Electronic Commerce Regulations 2002). However, this view is taken on the key principles of each case and the courts could set that the email on the 5</w:t>
      </w:r>
      <w:r w:rsidRPr="00EB4DA5">
        <w:rPr>
          <w:sz w:val="22"/>
          <w:szCs w:val="22"/>
          <w:vertAlign w:val="superscript"/>
          <w:lang w:val="en-US"/>
        </w:rPr>
        <w:t>th</w:t>
      </w:r>
      <w:r w:rsidRPr="00EB4DA5">
        <w:rPr>
          <w:sz w:val="22"/>
          <w:szCs w:val="22"/>
          <w:lang w:val="en-US"/>
        </w:rPr>
        <w:t xml:space="preserve"> May wasn’t valid until a later time</w:t>
      </w:r>
      <w:r w:rsidR="005213DB" w:rsidRPr="00EB4DA5">
        <w:rPr>
          <w:sz w:val="22"/>
          <w:szCs w:val="22"/>
          <w:lang w:val="en-US"/>
        </w:rPr>
        <w:t>,</w:t>
      </w:r>
      <w:r w:rsidRPr="00EB4DA5">
        <w:rPr>
          <w:sz w:val="22"/>
          <w:szCs w:val="22"/>
          <w:lang w:val="en-US"/>
        </w:rPr>
        <w:t xml:space="preserve"> </w:t>
      </w:r>
      <w:r w:rsidR="005213DB" w:rsidRPr="00EB4DA5">
        <w:rPr>
          <w:sz w:val="22"/>
          <w:szCs w:val="22"/>
          <w:lang w:val="en-US"/>
        </w:rPr>
        <w:t xml:space="preserve">such as the next working day </w:t>
      </w:r>
      <w:r w:rsidRPr="00EB4DA5">
        <w:rPr>
          <w:sz w:val="22"/>
          <w:szCs w:val="22"/>
          <w:lang w:val="en-US"/>
        </w:rPr>
        <w:t>(</w:t>
      </w:r>
      <w:proofErr w:type="spellStart"/>
      <w:r w:rsidRPr="00EB4DA5">
        <w:rPr>
          <w:sz w:val="22"/>
          <w:szCs w:val="22"/>
          <w:lang w:val="en-US"/>
        </w:rPr>
        <w:t>Brinkibon</w:t>
      </w:r>
      <w:proofErr w:type="spellEnd"/>
      <w:r w:rsidRPr="00EB4DA5">
        <w:rPr>
          <w:sz w:val="22"/>
          <w:szCs w:val="22"/>
          <w:lang w:val="en-US"/>
        </w:rPr>
        <w:t xml:space="preserve"> Ltd v </w:t>
      </w:r>
      <w:proofErr w:type="spellStart"/>
      <w:r w:rsidRPr="00EB4DA5">
        <w:rPr>
          <w:sz w:val="22"/>
          <w:szCs w:val="22"/>
          <w:lang w:val="en-US"/>
        </w:rPr>
        <w:t>Stahag</w:t>
      </w:r>
      <w:proofErr w:type="spellEnd"/>
      <w:r w:rsidRPr="00EB4DA5">
        <w:rPr>
          <w:sz w:val="22"/>
          <w:szCs w:val="22"/>
          <w:lang w:val="en-US"/>
        </w:rPr>
        <w:t xml:space="preserve"> Stahl und </w:t>
      </w:r>
      <w:proofErr w:type="spellStart"/>
      <w:r w:rsidRPr="00EB4DA5">
        <w:rPr>
          <w:sz w:val="22"/>
          <w:szCs w:val="22"/>
          <w:lang w:val="en-US"/>
        </w:rPr>
        <w:t>Stahlwarenhandelsgesellschellschaft</w:t>
      </w:r>
      <w:proofErr w:type="spellEnd"/>
      <w:r w:rsidRPr="00EB4DA5">
        <w:rPr>
          <w:sz w:val="22"/>
          <w:szCs w:val="22"/>
          <w:lang w:val="en-US"/>
        </w:rPr>
        <w:t xml:space="preserve"> GmbH, 1983).</w:t>
      </w:r>
      <w:r w:rsidR="005213DB" w:rsidRPr="00EB4DA5">
        <w:rPr>
          <w:sz w:val="22"/>
          <w:szCs w:val="22"/>
          <w:lang w:val="en-US"/>
        </w:rPr>
        <w:t xml:space="preserve"> As it does not specify a form of communication of acceptance that is mandatory the acceptance via email will be valid (</w:t>
      </w:r>
      <w:proofErr w:type="spellStart"/>
      <w:r w:rsidR="005213DB" w:rsidRPr="00EB4DA5">
        <w:rPr>
          <w:sz w:val="22"/>
          <w:szCs w:val="22"/>
          <w:lang w:val="en-US"/>
        </w:rPr>
        <w:t>Siemans</w:t>
      </w:r>
      <w:proofErr w:type="spellEnd"/>
      <w:r w:rsidR="005213DB" w:rsidRPr="00EB4DA5">
        <w:rPr>
          <w:sz w:val="22"/>
          <w:szCs w:val="22"/>
          <w:lang w:val="en-US"/>
        </w:rPr>
        <w:t xml:space="preserve"> Hearing instruments Ltd v Friends for Life Ltd, 2014).</w:t>
      </w:r>
    </w:p>
    <w:p w14:paraId="74A16600" w14:textId="77777777" w:rsidR="00821531" w:rsidRPr="00EB4DA5" w:rsidRDefault="00821531" w:rsidP="00821531">
      <w:pPr>
        <w:rPr>
          <w:sz w:val="22"/>
          <w:szCs w:val="22"/>
          <w:lang w:val="en-US"/>
        </w:rPr>
      </w:pPr>
    </w:p>
    <w:p w14:paraId="6ED2FE04" w14:textId="1121734F" w:rsidR="00821531" w:rsidRPr="00EB4DA5" w:rsidRDefault="005213DB" w:rsidP="00821531">
      <w:pPr>
        <w:rPr>
          <w:sz w:val="22"/>
          <w:szCs w:val="22"/>
          <w:lang w:val="en-US"/>
        </w:rPr>
      </w:pPr>
      <w:r w:rsidRPr="00EB4DA5">
        <w:rPr>
          <w:sz w:val="22"/>
          <w:szCs w:val="22"/>
          <w:lang w:val="en-US"/>
        </w:rPr>
        <w:t>The initial email sent by Dennis</w:t>
      </w:r>
      <w:r w:rsidR="005922AB" w:rsidRPr="00EB4DA5">
        <w:rPr>
          <w:sz w:val="22"/>
          <w:szCs w:val="22"/>
          <w:lang w:val="en-US"/>
        </w:rPr>
        <w:t xml:space="preserve"> that he would like </w:t>
      </w:r>
      <w:proofErr w:type="gramStart"/>
      <w:r w:rsidR="005922AB" w:rsidRPr="00EB4DA5">
        <w:rPr>
          <w:sz w:val="22"/>
          <w:szCs w:val="22"/>
          <w:lang w:val="en-US"/>
        </w:rPr>
        <w:t>to</w:t>
      </w:r>
      <w:proofErr w:type="gramEnd"/>
      <w:r w:rsidR="005922AB" w:rsidRPr="00EB4DA5">
        <w:rPr>
          <w:sz w:val="22"/>
          <w:szCs w:val="22"/>
          <w:lang w:val="en-US"/>
        </w:rPr>
        <w:t xml:space="preserve"> but the watch would be considered a request </w:t>
      </w:r>
      <w:r w:rsidRPr="00EB4DA5">
        <w:rPr>
          <w:sz w:val="22"/>
          <w:szCs w:val="22"/>
          <w:lang w:val="en-US"/>
        </w:rPr>
        <w:t>for</w:t>
      </w:r>
      <w:r w:rsidR="005922AB" w:rsidRPr="00EB4DA5">
        <w:rPr>
          <w:sz w:val="22"/>
          <w:szCs w:val="22"/>
          <w:lang w:val="en-US"/>
        </w:rPr>
        <w:t xml:space="preserve"> further information. </w:t>
      </w:r>
      <w:r w:rsidR="00821531" w:rsidRPr="00EB4DA5">
        <w:rPr>
          <w:sz w:val="22"/>
          <w:szCs w:val="22"/>
          <w:lang w:val="en-US"/>
        </w:rPr>
        <w:t>Arthur’s response to Dennis on the 6</w:t>
      </w:r>
      <w:r w:rsidR="00821531" w:rsidRPr="00EB4DA5">
        <w:rPr>
          <w:sz w:val="22"/>
          <w:szCs w:val="22"/>
          <w:vertAlign w:val="superscript"/>
          <w:lang w:val="en-US"/>
        </w:rPr>
        <w:t>th</w:t>
      </w:r>
      <w:r w:rsidR="00821531" w:rsidRPr="00EB4DA5">
        <w:rPr>
          <w:sz w:val="22"/>
          <w:szCs w:val="22"/>
          <w:lang w:val="en-US"/>
        </w:rPr>
        <w:t xml:space="preserve"> May stating he would accept £13,000 for the watch </w:t>
      </w:r>
      <w:r w:rsidRPr="00EB4DA5">
        <w:rPr>
          <w:sz w:val="22"/>
          <w:szCs w:val="22"/>
          <w:lang w:val="en-US"/>
        </w:rPr>
        <w:t xml:space="preserve">would </w:t>
      </w:r>
      <w:r w:rsidR="00821531" w:rsidRPr="00EB4DA5">
        <w:rPr>
          <w:sz w:val="22"/>
          <w:szCs w:val="22"/>
          <w:lang w:val="en-US"/>
        </w:rPr>
        <w:t>constitute as an offer. Dennis accepts this offer by agreeing to the terms</w:t>
      </w:r>
      <w:r w:rsidRPr="00EB4DA5">
        <w:rPr>
          <w:sz w:val="22"/>
          <w:szCs w:val="22"/>
          <w:lang w:val="en-US"/>
        </w:rPr>
        <w:t xml:space="preserve"> set</w:t>
      </w:r>
      <w:r w:rsidR="00821531" w:rsidRPr="00EB4DA5">
        <w:rPr>
          <w:sz w:val="22"/>
          <w:szCs w:val="22"/>
          <w:lang w:val="en-US"/>
        </w:rPr>
        <w:t xml:space="preserve"> which forms an agreement. As Dennis is communicating via email the email </w:t>
      </w:r>
      <w:r w:rsidRPr="00EB4DA5">
        <w:rPr>
          <w:sz w:val="22"/>
          <w:szCs w:val="22"/>
          <w:lang w:val="en-US"/>
        </w:rPr>
        <w:t xml:space="preserve">sent </w:t>
      </w:r>
      <w:r w:rsidR="00821531" w:rsidRPr="00EB4DA5">
        <w:rPr>
          <w:sz w:val="22"/>
          <w:szCs w:val="22"/>
          <w:lang w:val="en-US"/>
        </w:rPr>
        <w:t>accepting</w:t>
      </w:r>
      <w:r w:rsidRPr="00EB4DA5">
        <w:rPr>
          <w:sz w:val="22"/>
          <w:szCs w:val="22"/>
          <w:lang w:val="en-US"/>
        </w:rPr>
        <w:t xml:space="preserve"> the offer</w:t>
      </w:r>
      <w:r w:rsidR="00821531" w:rsidRPr="00EB4DA5">
        <w:rPr>
          <w:sz w:val="22"/>
          <w:szCs w:val="22"/>
          <w:lang w:val="en-US"/>
        </w:rPr>
        <w:t xml:space="preserve"> would be valid from when Arthur would reasonable be expected to access his email (The Electronic Commerce Regulations 2002). Dennis sent the emailing agreeing to pay £13,000 at 5</w:t>
      </w:r>
      <w:r w:rsidRPr="00EB4DA5">
        <w:rPr>
          <w:sz w:val="22"/>
          <w:szCs w:val="22"/>
          <w:lang w:val="en-US"/>
        </w:rPr>
        <w:t xml:space="preserve"> o’clock</w:t>
      </w:r>
      <w:r w:rsidR="00821531" w:rsidRPr="00EB4DA5">
        <w:rPr>
          <w:sz w:val="22"/>
          <w:szCs w:val="22"/>
          <w:lang w:val="en-US"/>
        </w:rPr>
        <w:t xml:space="preserve">. As it does not specify if this was an email manned for specific hours this would fall within the </w:t>
      </w:r>
      <w:proofErr w:type="gramStart"/>
      <w:r w:rsidR="00821531" w:rsidRPr="00EB4DA5">
        <w:rPr>
          <w:sz w:val="22"/>
          <w:szCs w:val="22"/>
          <w:lang w:val="en-US"/>
        </w:rPr>
        <w:t>time period</w:t>
      </w:r>
      <w:proofErr w:type="gramEnd"/>
      <w:r w:rsidR="00821531" w:rsidRPr="00EB4DA5">
        <w:rPr>
          <w:sz w:val="22"/>
          <w:szCs w:val="22"/>
          <w:lang w:val="en-US"/>
        </w:rPr>
        <w:t xml:space="preserve"> expected to be reasonable to have been received by the offeror</w:t>
      </w:r>
      <w:r w:rsidR="00DF2D71" w:rsidRPr="00EB4DA5">
        <w:rPr>
          <w:sz w:val="22"/>
          <w:szCs w:val="22"/>
          <w:lang w:val="en-US"/>
        </w:rPr>
        <w:t>. Providing it is a weekday and not a bank holiday</w:t>
      </w:r>
      <w:r w:rsidR="00821531" w:rsidRPr="00EB4DA5">
        <w:rPr>
          <w:sz w:val="22"/>
          <w:szCs w:val="22"/>
          <w:lang w:val="en-US"/>
        </w:rPr>
        <w:t xml:space="preserve"> (Thomas v BPE Solicitors 2010).</w:t>
      </w:r>
      <w:r w:rsidR="005922AB" w:rsidRPr="00EB4DA5">
        <w:rPr>
          <w:sz w:val="22"/>
          <w:szCs w:val="22"/>
          <w:lang w:val="en-US"/>
        </w:rPr>
        <w:t xml:space="preserve"> As </w:t>
      </w:r>
      <w:r w:rsidRPr="00EB4DA5">
        <w:rPr>
          <w:sz w:val="22"/>
          <w:szCs w:val="22"/>
          <w:lang w:val="en-US"/>
        </w:rPr>
        <w:t xml:space="preserve">with Christine </w:t>
      </w:r>
      <w:r w:rsidR="005922AB" w:rsidRPr="00EB4DA5">
        <w:rPr>
          <w:sz w:val="22"/>
          <w:szCs w:val="22"/>
          <w:lang w:val="en-US"/>
        </w:rPr>
        <w:t>it does not specify a</w:t>
      </w:r>
      <w:r w:rsidRPr="00EB4DA5">
        <w:rPr>
          <w:sz w:val="22"/>
          <w:szCs w:val="22"/>
          <w:lang w:val="en-US"/>
        </w:rPr>
        <w:t>ny</w:t>
      </w:r>
      <w:r w:rsidR="005922AB" w:rsidRPr="00EB4DA5">
        <w:rPr>
          <w:sz w:val="22"/>
          <w:szCs w:val="22"/>
          <w:lang w:val="en-US"/>
        </w:rPr>
        <w:t xml:space="preserve"> form of communication of acceptance is mandatory </w:t>
      </w:r>
      <w:r w:rsidRPr="00EB4DA5">
        <w:rPr>
          <w:sz w:val="22"/>
          <w:szCs w:val="22"/>
          <w:lang w:val="en-US"/>
        </w:rPr>
        <w:t xml:space="preserve">so </w:t>
      </w:r>
      <w:r w:rsidR="005922AB" w:rsidRPr="00EB4DA5">
        <w:rPr>
          <w:sz w:val="22"/>
          <w:szCs w:val="22"/>
          <w:lang w:val="en-US"/>
        </w:rPr>
        <w:t>the acceptance via email will be valid (</w:t>
      </w:r>
      <w:proofErr w:type="spellStart"/>
      <w:r w:rsidR="005922AB" w:rsidRPr="00EB4DA5">
        <w:rPr>
          <w:sz w:val="22"/>
          <w:szCs w:val="22"/>
          <w:lang w:val="en-US"/>
        </w:rPr>
        <w:t>Siemans</w:t>
      </w:r>
      <w:proofErr w:type="spellEnd"/>
      <w:r w:rsidR="005922AB" w:rsidRPr="00EB4DA5">
        <w:rPr>
          <w:sz w:val="22"/>
          <w:szCs w:val="22"/>
          <w:lang w:val="en-US"/>
        </w:rPr>
        <w:t xml:space="preserve"> Hearing instruments Ltd v Friends for Life Ltd, 2014). </w:t>
      </w:r>
    </w:p>
    <w:p w14:paraId="2F67CE93" w14:textId="77777777" w:rsidR="00821531" w:rsidRPr="00EB4DA5" w:rsidRDefault="00821531" w:rsidP="00821531">
      <w:pPr>
        <w:rPr>
          <w:sz w:val="22"/>
          <w:szCs w:val="22"/>
        </w:rPr>
      </w:pPr>
    </w:p>
    <w:p w14:paraId="3C6C9F44" w14:textId="167DBAB6" w:rsidR="00821531" w:rsidRPr="00EB4DA5" w:rsidRDefault="005213DB" w:rsidP="00821531">
      <w:pPr>
        <w:rPr>
          <w:sz w:val="22"/>
          <w:szCs w:val="22"/>
          <w:lang w:val="en-US"/>
        </w:rPr>
      </w:pPr>
      <w:r w:rsidRPr="00EB4DA5">
        <w:rPr>
          <w:sz w:val="22"/>
          <w:szCs w:val="22"/>
          <w:lang w:val="en-US"/>
        </w:rPr>
        <w:lastRenderedPageBreak/>
        <w:t xml:space="preserve">It must then be established that there is </w:t>
      </w:r>
      <w:r w:rsidR="00C710BA" w:rsidRPr="00EB4DA5">
        <w:rPr>
          <w:sz w:val="22"/>
          <w:szCs w:val="22"/>
          <w:lang w:val="en-US"/>
        </w:rPr>
        <w:t>sufficient</w:t>
      </w:r>
      <w:r w:rsidRPr="00EB4DA5">
        <w:rPr>
          <w:sz w:val="22"/>
          <w:szCs w:val="22"/>
          <w:lang w:val="en-US"/>
        </w:rPr>
        <w:t xml:space="preserve"> consideration. This will require there to be a benefit and detriment to each party (Currie v Misa, 1875). </w:t>
      </w:r>
      <w:r w:rsidR="00821531" w:rsidRPr="00EB4DA5">
        <w:rPr>
          <w:sz w:val="22"/>
          <w:szCs w:val="22"/>
          <w:lang w:val="en-US"/>
        </w:rPr>
        <w:t xml:space="preserve">The watch and money would be seen to be sufficient consideration </w:t>
      </w:r>
      <w:r w:rsidR="00C710BA" w:rsidRPr="00EB4DA5">
        <w:rPr>
          <w:sz w:val="22"/>
          <w:szCs w:val="22"/>
          <w:lang w:val="en-US"/>
        </w:rPr>
        <w:t>i</w:t>
      </w:r>
      <w:r w:rsidR="00821531" w:rsidRPr="00EB4DA5">
        <w:rPr>
          <w:sz w:val="22"/>
          <w:szCs w:val="22"/>
          <w:lang w:val="en-US"/>
        </w:rPr>
        <w:t>n all scenarios (Chappell v Nestle 1960 &amp; Thomas v Thomas 1842).</w:t>
      </w:r>
      <w:r w:rsidR="00C710BA" w:rsidRPr="00EB4DA5">
        <w:rPr>
          <w:sz w:val="22"/>
          <w:szCs w:val="22"/>
          <w:lang w:val="en-US"/>
        </w:rPr>
        <w:t xml:space="preserve"> </w:t>
      </w:r>
    </w:p>
    <w:p w14:paraId="2E26C095" w14:textId="77777777" w:rsidR="00821531" w:rsidRPr="00EB4DA5" w:rsidRDefault="00821531" w:rsidP="00821531">
      <w:pPr>
        <w:rPr>
          <w:sz w:val="22"/>
          <w:szCs w:val="22"/>
          <w:lang w:val="en-US"/>
        </w:rPr>
      </w:pPr>
    </w:p>
    <w:p w14:paraId="1FB6D58B" w14:textId="0436F098" w:rsidR="00821531" w:rsidRPr="00EB4DA5" w:rsidRDefault="00CA652D" w:rsidP="00821531">
      <w:pPr>
        <w:rPr>
          <w:sz w:val="22"/>
          <w:szCs w:val="22"/>
          <w:lang w:val="en-US"/>
        </w:rPr>
      </w:pPr>
      <w:r w:rsidRPr="00EB4DA5">
        <w:rPr>
          <w:sz w:val="22"/>
          <w:szCs w:val="22"/>
          <w:lang w:val="en-US"/>
        </w:rPr>
        <w:t xml:space="preserve">It could be argued that there is an intention to be legally bound and not to be legally bound by the agreements. </w:t>
      </w:r>
      <w:r w:rsidR="00821531" w:rsidRPr="00EB4DA5">
        <w:rPr>
          <w:sz w:val="22"/>
          <w:szCs w:val="22"/>
          <w:lang w:val="en-US"/>
        </w:rPr>
        <w:t xml:space="preserve">As Arthur and Christine or Dennis are not family or </w:t>
      </w:r>
      <w:r w:rsidRPr="00EB4DA5">
        <w:rPr>
          <w:sz w:val="22"/>
          <w:szCs w:val="22"/>
          <w:lang w:val="en-US"/>
        </w:rPr>
        <w:t xml:space="preserve">typically </w:t>
      </w:r>
      <w:r w:rsidR="00821531" w:rsidRPr="00EB4DA5">
        <w:rPr>
          <w:sz w:val="22"/>
          <w:szCs w:val="22"/>
          <w:lang w:val="en-US"/>
        </w:rPr>
        <w:t xml:space="preserve">socially linked this relationship </w:t>
      </w:r>
      <w:r w:rsidRPr="00EB4DA5">
        <w:rPr>
          <w:sz w:val="22"/>
          <w:szCs w:val="22"/>
          <w:lang w:val="en-US"/>
        </w:rPr>
        <w:t>could be argued to</w:t>
      </w:r>
      <w:r w:rsidR="00821531" w:rsidRPr="00EB4DA5">
        <w:rPr>
          <w:sz w:val="22"/>
          <w:szCs w:val="22"/>
          <w:lang w:val="en-US"/>
        </w:rPr>
        <w:t xml:space="preserve"> fall into the category of a business relationship.  Therefor it would be viewed from an objective </w:t>
      </w:r>
      <w:r w:rsidR="0065554E" w:rsidRPr="00EB4DA5">
        <w:rPr>
          <w:sz w:val="22"/>
          <w:szCs w:val="22"/>
          <w:lang w:val="en-US"/>
        </w:rPr>
        <w:t>viewpoint</w:t>
      </w:r>
      <w:r w:rsidR="00821531" w:rsidRPr="00EB4DA5">
        <w:rPr>
          <w:sz w:val="22"/>
          <w:szCs w:val="22"/>
          <w:lang w:val="en-US"/>
        </w:rPr>
        <w:t xml:space="preserve"> that there was intention to form a legally binding relationship (</w:t>
      </w:r>
      <w:r w:rsidR="00821531" w:rsidRPr="00EB4DA5">
        <w:rPr>
          <w:sz w:val="22"/>
          <w:szCs w:val="22"/>
        </w:rPr>
        <w:t>Attrill and Others v Dresdner Kleinwort 2013).</w:t>
      </w:r>
      <w:r w:rsidRPr="00EB4DA5">
        <w:rPr>
          <w:sz w:val="22"/>
          <w:szCs w:val="22"/>
        </w:rPr>
        <w:t xml:space="preserve"> </w:t>
      </w:r>
      <w:proofErr w:type="gramStart"/>
      <w:r w:rsidRPr="00EB4DA5">
        <w:rPr>
          <w:sz w:val="22"/>
          <w:szCs w:val="22"/>
        </w:rPr>
        <w:t>However</w:t>
      </w:r>
      <w:proofErr w:type="gramEnd"/>
      <w:r w:rsidRPr="00EB4DA5">
        <w:rPr>
          <w:sz w:val="22"/>
          <w:szCs w:val="22"/>
        </w:rPr>
        <w:t xml:space="preserve"> as they are none of the parties are presented to be business entities the intention to be legally bound in commercial agreements is not presumed.</w:t>
      </w:r>
    </w:p>
    <w:p w14:paraId="442AFEED" w14:textId="77777777" w:rsidR="00821531" w:rsidRPr="00EB4DA5" w:rsidRDefault="00821531" w:rsidP="00821531">
      <w:pPr>
        <w:rPr>
          <w:sz w:val="22"/>
          <w:szCs w:val="22"/>
          <w:lang w:val="en-US"/>
        </w:rPr>
      </w:pPr>
    </w:p>
    <w:p w14:paraId="4082A43D" w14:textId="77777777" w:rsidR="00821531" w:rsidRPr="00EB4DA5" w:rsidRDefault="00821531" w:rsidP="00821531">
      <w:pPr>
        <w:rPr>
          <w:sz w:val="22"/>
          <w:szCs w:val="22"/>
          <w:lang w:val="en-US"/>
        </w:rPr>
      </w:pPr>
      <w:r w:rsidRPr="00EB4DA5">
        <w:rPr>
          <w:sz w:val="22"/>
          <w:szCs w:val="22"/>
          <w:lang w:val="en-US"/>
        </w:rPr>
        <w:t>It should also be noted that although Arthur verbally accepted no offer made to him it can still be seen that a contract has been formed (Carlill v Carbolic Smoke Ball Co 1893).</w:t>
      </w:r>
    </w:p>
    <w:p w14:paraId="6EE37F57" w14:textId="77777777" w:rsidR="00821531" w:rsidRPr="00EB4DA5" w:rsidRDefault="00821531" w:rsidP="00821531">
      <w:pPr>
        <w:rPr>
          <w:sz w:val="22"/>
          <w:szCs w:val="22"/>
          <w:lang w:val="en-US"/>
        </w:rPr>
      </w:pPr>
    </w:p>
    <w:p w14:paraId="28991BE0" w14:textId="77777777" w:rsidR="00821531" w:rsidRPr="00EB4DA5" w:rsidRDefault="00821531" w:rsidP="00821531">
      <w:pPr>
        <w:rPr>
          <w:sz w:val="22"/>
          <w:szCs w:val="22"/>
          <w:lang w:val="en-US"/>
        </w:rPr>
      </w:pPr>
      <w:r w:rsidRPr="00EB4DA5">
        <w:rPr>
          <w:sz w:val="22"/>
          <w:szCs w:val="22"/>
          <w:lang w:val="en-US"/>
        </w:rPr>
        <w:t xml:space="preserve">As both Christine and Dennis accept the offer and acknowledges his obligation to pay the </w:t>
      </w:r>
      <w:proofErr w:type="gramStart"/>
      <w:r w:rsidRPr="00EB4DA5">
        <w:rPr>
          <w:sz w:val="22"/>
          <w:szCs w:val="22"/>
          <w:lang w:val="en-US"/>
        </w:rPr>
        <w:t>£13,000</w:t>
      </w:r>
      <w:proofErr w:type="gramEnd"/>
      <w:r w:rsidRPr="00EB4DA5">
        <w:rPr>
          <w:sz w:val="22"/>
          <w:szCs w:val="22"/>
          <w:lang w:val="en-US"/>
        </w:rPr>
        <w:t xml:space="preserve"> he would be bound by the agreement (The Consumer Contracts Regulations 2013, s14 (5)). </w:t>
      </w:r>
    </w:p>
    <w:p w14:paraId="14CF302D" w14:textId="38BACBB8" w:rsidR="00821531" w:rsidRPr="00EB4DA5" w:rsidRDefault="00821531" w:rsidP="00821531">
      <w:pPr>
        <w:rPr>
          <w:sz w:val="22"/>
          <w:szCs w:val="22"/>
          <w:lang w:val="en-US"/>
        </w:rPr>
      </w:pPr>
    </w:p>
    <w:p w14:paraId="712624DD" w14:textId="1E3A99CF" w:rsidR="00CA652D" w:rsidRPr="00EB4DA5" w:rsidRDefault="00CA652D" w:rsidP="00821531">
      <w:pPr>
        <w:rPr>
          <w:sz w:val="22"/>
          <w:szCs w:val="22"/>
          <w:lang w:val="en-US"/>
        </w:rPr>
      </w:pPr>
      <w:r w:rsidRPr="00EB4DA5">
        <w:rPr>
          <w:sz w:val="22"/>
          <w:szCs w:val="22"/>
          <w:lang w:val="en-US"/>
        </w:rPr>
        <w:t xml:space="preserve">Ben and Arthur do not have a valid contract as there has been no acceptance of his offer and there for no agreement. </w:t>
      </w:r>
    </w:p>
    <w:p w14:paraId="2A96684D" w14:textId="77777777" w:rsidR="00CA652D" w:rsidRPr="00EB4DA5" w:rsidRDefault="00CA652D" w:rsidP="00821531">
      <w:pPr>
        <w:rPr>
          <w:sz w:val="22"/>
          <w:szCs w:val="22"/>
          <w:lang w:val="en-US"/>
        </w:rPr>
      </w:pPr>
    </w:p>
    <w:p w14:paraId="6B77F2FB" w14:textId="679587A7" w:rsidR="00821531" w:rsidRDefault="00821531" w:rsidP="00821531">
      <w:pPr>
        <w:rPr>
          <w:sz w:val="22"/>
          <w:szCs w:val="22"/>
          <w:lang w:val="en-US"/>
        </w:rPr>
      </w:pPr>
      <w:r w:rsidRPr="00EB4DA5">
        <w:rPr>
          <w:sz w:val="22"/>
          <w:szCs w:val="22"/>
          <w:lang w:val="en-US"/>
        </w:rPr>
        <w:t xml:space="preserve">Dennis and Arthur have a valid </w:t>
      </w:r>
      <w:r w:rsidR="0065554E" w:rsidRPr="00EB4DA5">
        <w:rPr>
          <w:sz w:val="22"/>
          <w:szCs w:val="22"/>
          <w:lang w:val="en-US"/>
        </w:rPr>
        <w:t>offer and acceptance creating an agreement</w:t>
      </w:r>
      <w:r w:rsidR="00CA652D" w:rsidRPr="00EB4DA5">
        <w:rPr>
          <w:sz w:val="22"/>
          <w:szCs w:val="22"/>
          <w:lang w:val="en-US"/>
        </w:rPr>
        <w:t xml:space="preserve"> and</w:t>
      </w:r>
      <w:r w:rsidR="0065554E" w:rsidRPr="00EB4DA5">
        <w:rPr>
          <w:sz w:val="22"/>
          <w:szCs w:val="22"/>
          <w:lang w:val="en-US"/>
        </w:rPr>
        <w:t xml:space="preserve"> </w:t>
      </w:r>
      <w:r w:rsidR="00CA652D" w:rsidRPr="00EB4DA5">
        <w:rPr>
          <w:sz w:val="22"/>
          <w:szCs w:val="22"/>
          <w:lang w:val="en-US"/>
        </w:rPr>
        <w:t>t</w:t>
      </w:r>
      <w:r w:rsidR="0065554E" w:rsidRPr="00EB4DA5">
        <w:rPr>
          <w:sz w:val="22"/>
          <w:szCs w:val="22"/>
          <w:lang w:val="en-US"/>
        </w:rPr>
        <w:t>here is valid consideration</w:t>
      </w:r>
      <w:r w:rsidR="00CA652D" w:rsidRPr="00EB4DA5">
        <w:rPr>
          <w:sz w:val="22"/>
          <w:szCs w:val="22"/>
          <w:lang w:val="en-US"/>
        </w:rPr>
        <w:t>.</w:t>
      </w:r>
      <w:r w:rsidR="0065554E" w:rsidRPr="00EB4DA5">
        <w:rPr>
          <w:sz w:val="22"/>
          <w:szCs w:val="22"/>
          <w:lang w:val="en-US"/>
        </w:rPr>
        <w:t xml:space="preserve"> </w:t>
      </w:r>
      <w:r w:rsidR="00CA652D" w:rsidRPr="00EB4DA5">
        <w:rPr>
          <w:sz w:val="22"/>
          <w:szCs w:val="22"/>
          <w:lang w:val="en-US"/>
        </w:rPr>
        <w:t>If it is deemed the relationship is a commercial agreement and not a social agreement there is also a</w:t>
      </w:r>
      <w:r w:rsidR="0065554E" w:rsidRPr="00EB4DA5">
        <w:rPr>
          <w:sz w:val="22"/>
          <w:szCs w:val="22"/>
          <w:lang w:val="en-US"/>
        </w:rPr>
        <w:t>n inten</w:t>
      </w:r>
      <w:r w:rsidR="00B73F9B">
        <w:rPr>
          <w:sz w:val="22"/>
          <w:szCs w:val="22"/>
          <w:lang w:val="en-US"/>
        </w:rPr>
        <w:t>t</w:t>
      </w:r>
      <w:r w:rsidR="0065554E" w:rsidRPr="00EB4DA5">
        <w:rPr>
          <w:sz w:val="22"/>
          <w:szCs w:val="22"/>
          <w:lang w:val="en-US"/>
        </w:rPr>
        <w:t xml:space="preserve"> to form a legally binding relationship.</w:t>
      </w:r>
      <w:r w:rsidRPr="00EB4DA5">
        <w:rPr>
          <w:sz w:val="22"/>
          <w:szCs w:val="22"/>
          <w:lang w:val="en-US"/>
        </w:rPr>
        <w:t xml:space="preserve"> </w:t>
      </w:r>
      <w:r w:rsidR="00CA652D" w:rsidRPr="00EB4DA5">
        <w:rPr>
          <w:sz w:val="22"/>
          <w:szCs w:val="22"/>
          <w:lang w:val="en-US"/>
        </w:rPr>
        <w:t>A valid contract is formed between Dennis and Arthur if it is proven their relationship is not a social one.</w:t>
      </w:r>
    </w:p>
    <w:p w14:paraId="6E81FE16" w14:textId="77777777" w:rsidR="00B73F9B" w:rsidRPr="00EB4DA5" w:rsidRDefault="00B73F9B" w:rsidP="00821531">
      <w:pPr>
        <w:rPr>
          <w:sz w:val="22"/>
          <w:szCs w:val="22"/>
          <w:lang w:val="en-US"/>
        </w:rPr>
      </w:pPr>
    </w:p>
    <w:p w14:paraId="042BCA7E" w14:textId="13FBAA23" w:rsidR="00240A60" w:rsidRPr="00EB4DA5" w:rsidRDefault="0065554E">
      <w:pPr>
        <w:rPr>
          <w:sz w:val="22"/>
          <w:szCs w:val="22"/>
          <w:lang w:val="en-US"/>
        </w:rPr>
      </w:pPr>
      <w:r w:rsidRPr="00EB4DA5">
        <w:rPr>
          <w:sz w:val="22"/>
          <w:szCs w:val="22"/>
          <w:lang w:val="en-US"/>
        </w:rPr>
        <w:t xml:space="preserve">If the request to make </w:t>
      </w:r>
      <w:r w:rsidR="004A2937" w:rsidRPr="00EB4DA5">
        <w:rPr>
          <w:sz w:val="22"/>
          <w:szCs w:val="22"/>
          <w:lang w:val="en-US"/>
        </w:rPr>
        <w:t>to make £13,000</w:t>
      </w:r>
      <w:r w:rsidRPr="00EB4DA5">
        <w:rPr>
          <w:sz w:val="22"/>
          <w:szCs w:val="22"/>
          <w:lang w:val="en-US"/>
        </w:rPr>
        <w:t xml:space="preserve"> payment in two instalments is seen as a counteroffer Christine and Arthur do not have a valid </w:t>
      </w:r>
      <w:r w:rsidR="004A2937" w:rsidRPr="00EB4DA5">
        <w:rPr>
          <w:sz w:val="22"/>
          <w:szCs w:val="22"/>
          <w:lang w:val="en-US"/>
        </w:rPr>
        <w:t>contract</w:t>
      </w:r>
      <w:r w:rsidR="00CA652D" w:rsidRPr="00EB4DA5">
        <w:rPr>
          <w:sz w:val="22"/>
          <w:szCs w:val="22"/>
          <w:lang w:val="en-US"/>
        </w:rPr>
        <w:t xml:space="preserve"> as there has been no agreement</w:t>
      </w:r>
      <w:r w:rsidRPr="00EB4DA5">
        <w:rPr>
          <w:sz w:val="22"/>
          <w:szCs w:val="22"/>
          <w:lang w:val="en-US"/>
        </w:rPr>
        <w:t>. If</w:t>
      </w:r>
      <w:r w:rsidR="004A2937" w:rsidRPr="00EB4DA5">
        <w:rPr>
          <w:sz w:val="22"/>
          <w:szCs w:val="22"/>
          <w:lang w:val="en-US"/>
        </w:rPr>
        <w:t>,</w:t>
      </w:r>
      <w:r w:rsidRPr="00EB4DA5">
        <w:rPr>
          <w:sz w:val="22"/>
          <w:szCs w:val="22"/>
          <w:lang w:val="en-US"/>
        </w:rPr>
        <w:t xml:space="preserve"> </w:t>
      </w:r>
      <w:r w:rsidR="004A2937" w:rsidRPr="00EB4DA5">
        <w:rPr>
          <w:sz w:val="22"/>
          <w:szCs w:val="22"/>
          <w:lang w:val="en-US"/>
        </w:rPr>
        <w:t xml:space="preserve">however </w:t>
      </w:r>
      <w:r w:rsidRPr="00EB4DA5">
        <w:rPr>
          <w:sz w:val="22"/>
          <w:szCs w:val="22"/>
          <w:lang w:val="en-US"/>
        </w:rPr>
        <w:t>it is seen as a request for further</w:t>
      </w:r>
      <w:r w:rsidR="00821531" w:rsidRPr="00EB4DA5">
        <w:rPr>
          <w:sz w:val="22"/>
          <w:szCs w:val="22"/>
          <w:lang w:val="en-US"/>
        </w:rPr>
        <w:t xml:space="preserve"> information and not a counteroffer Christine </w:t>
      </w:r>
      <w:r w:rsidR="004A2937" w:rsidRPr="00EB4DA5">
        <w:rPr>
          <w:sz w:val="22"/>
          <w:szCs w:val="22"/>
          <w:lang w:val="en-US"/>
        </w:rPr>
        <w:t>will have accepted Arthurs offer of £13,000 satisfying the agreement element, the money and watch are valid consideration</w:t>
      </w:r>
      <w:r w:rsidR="00CA652D" w:rsidRPr="00EB4DA5">
        <w:rPr>
          <w:sz w:val="22"/>
          <w:szCs w:val="22"/>
          <w:lang w:val="en-US"/>
        </w:rPr>
        <w:t>. If like Dennis the relationship is deemed to fall into a commercial agreement it would be seen that there</w:t>
      </w:r>
      <w:r w:rsidR="004A2937" w:rsidRPr="00EB4DA5">
        <w:rPr>
          <w:sz w:val="22"/>
          <w:szCs w:val="22"/>
          <w:lang w:val="en-US"/>
        </w:rPr>
        <w:t xml:space="preserve"> is an intent to form a legal relationship. So, Christine and</w:t>
      </w:r>
      <w:r w:rsidR="00821531" w:rsidRPr="00EB4DA5">
        <w:rPr>
          <w:sz w:val="22"/>
          <w:szCs w:val="22"/>
          <w:lang w:val="en-US"/>
        </w:rPr>
        <w:t xml:space="preserve"> Arthur also have a valid contract</w:t>
      </w:r>
      <w:r w:rsidR="00CA652D" w:rsidRPr="00EB4DA5">
        <w:rPr>
          <w:sz w:val="22"/>
          <w:szCs w:val="22"/>
          <w:lang w:val="en-US"/>
        </w:rPr>
        <w:t xml:space="preserve"> if it is proven their relationship is not a social one.</w:t>
      </w:r>
    </w:p>
    <w:p w14:paraId="624E4C0D" w14:textId="77777777" w:rsidR="00821531" w:rsidRPr="00EB4DA5" w:rsidRDefault="00821531">
      <w:pPr>
        <w:rPr>
          <w:sz w:val="22"/>
          <w:szCs w:val="22"/>
          <w:lang w:val="en-US"/>
        </w:rPr>
      </w:pPr>
    </w:p>
    <w:p w14:paraId="7DC06CD4" w14:textId="5CB84671" w:rsidR="00182EDC" w:rsidRPr="00EB4DA5" w:rsidRDefault="00182EDC">
      <w:pPr>
        <w:rPr>
          <w:sz w:val="22"/>
          <w:szCs w:val="22"/>
          <w:lang w:val="en-US"/>
        </w:rPr>
      </w:pPr>
      <w:r w:rsidRPr="00EB4DA5">
        <w:rPr>
          <w:sz w:val="22"/>
          <w:szCs w:val="22"/>
          <w:lang w:val="en-US"/>
        </w:rPr>
        <w:t xml:space="preserve">References </w:t>
      </w:r>
    </w:p>
    <w:p w14:paraId="7595DAC9" w14:textId="10F73F04" w:rsidR="00E91457" w:rsidRPr="00EB4DA5" w:rsidRDefault="00E91457">
      <w:pPr>
        <w:rPr>
          <w:sz w:val="22"/>
          <w:szCs w:val="22"/>
          <w:lang w:val="en-US"/>
        </w:rPr>
      </w:pPr>
    </w:p>
    <w:p w14:paraId="4955C0A4" w14:textId="77777777" w:rsidR="00B263C8" w:rsidRPr="00EB4DA5" w:rsidRDefault="00B263C8" w:rsidP="002E2DAF">
      <w:pPr>
        <w:ind w:left="360"/>
        <w:rPr>
          <w:rFonts w:eastAsia="Times New Roman" w:cs="Times New Roman"/>
          <w:color w:val="000000"/>
          <w:sz w:val="22"/>
          <w:szCs w:val="22"/>
          <w:lang w:eastAsia="en-GB"/>
        </w:rPr>
      </w:pPr>
      <w:r w:rsidRPr="00EB4DA5">
        <w:rPr>
          <w:rFonts w:eastAsia="Times New Roman" w:cs="Times New Roman"/>
          <w:color w:val="000000"/>
          <w:sz w:val="22"/>
          <w:szCs w:val="22"/>
          <w:lang w:eastAsia="en-GB"/>
        </w:rPr>
        <w:t xml:space="preserve">Attrill and Others v Dresdner Kleinwort (2013) EWCA </w:t>
      </w:r>
      <w:proofErr w:type="spellStart"/>
      <w:r w:rsidRPr="00EB4DA5">
        <w:rPr>
          <w:rFonts w:eastAsia="Times New Roman" w:cs="Times New Roman"/>
          <w:color w:val="000000"/>
          <w:sz w:val="22"/>
          <w:szCs w:val="22"/>
          <w:lang w:eastAsia="en-GB"/>
        </w:rPr>
        <w:t>Civ</w:t>
      </w:r>
      <w:proofErr w:type="spellEnd"/>
      <w:r w:rsidRPr="00EB4DA5">
        <w:rPr>
          <w:rFonts w:eastAsia="Times New Roman" w:cs="Times New Roman"/>
          <w:color w:val="000000"/>
          <w:sz w:val="22"/>
          <w:szCs w:val="22"/>
          <w:lang w:eastAsia="en-GB"/>
        </w:rPr>
        <w:t xml:space="preserve"> 394</w:t>
      </w:r>
    </w:p>
    <w:p w14:paraId="79CC343B" w14:textId="77777777" w:rsidR="00B263C8" w:rsidRPr="00EB4DA5" w:rsidRDefault="00B263C8" w:rsidP="002E2DAF">
      <w:pPr>
        <w:ind w:left="360"/>
        <w:rPr>
          <w:sz w:val="22"/>
          <w:szCs w:val="22"/>
          <w:lang w:val="en-US"/>
        </w:rPr>
      </w:pPr>
      <w:r w:rsidRPr="00EB4DA5">
        <w:rPr>
          <w:sz w:val="22"/>
          <w:szCs w:val="22"/>
          <w:lang w:val="en-US"/>
        </w:rPr>
        <w:t>Bolton v Mahadeva (1972) 2 ALL ER 1322</w:t>
      </w:r>
    </w:p>
    <w:p w14:paraId="29FCC7C7" w14:textId="77777777" w:rsidR="00B263C8" w:rsidRPr="00EB4DA5" w:rsidRDefault="00B263C8" w:rsidP="00991CB2">
      <w:pPr>
        <w:rPr>
          <w:rFonts w:eastAsia="Times New Roman" w:cs="Times New Roman"/>
          <w:color w:val="000000"/>
          <w:sz w:val="22"/>
          <w:szCs w:val="22"/>
          <w:lang w:eastAsia="en-GB"/>
        </w:rPr>
      </w:pPr>
      <w:proofErr w:type="spellStart"/>
      <w:r w:rsidRPr="00EB4DA5">
        <w:rPr>
          <w:sz w:val="22"/>
          <w:szCs w:val="22"/>
          <w:lang w:val="en-US"/>
        </w:rPr>
        <w:t>Brinkibon</w:t>
      </w:r>
      <w:proofErr w:type="spellEnd"/>
      <w:r w:rsidRPr="00EB4DA5">
        <w:rPr>
          <w:sz w:val="22"/>
          <w:szCs w:val="22"/>
          <w:lang w:val="en-US"/>
        </w:rPr>
        <w:t xml:space="preserve"> Ltd v </w:t>
      </w:r>
      <w:proofErr w:type="spellStart"/>
      <w:r w:rsidRPr="00EB4DA5">
        <w:rPr>
          <w:sz w:val="22"/>
          <w:szCs w:val="22"/>
          <w:lang w:val="en-US"/>
        </w:rPr>
        <w:t>Stahag</w:t>
      </w:r>
      <w:proofErr w:type="spellEnd"/>
      <w:r w:rsidRPr="00EB4DA5">
        <w:rPr>
          <w:sz w:val="22"/>
          <w:szCs w:val="22"/>
          <w:lang w:val="en-US"/>
        </w:rPr>
        <w:t xml:space="preserve"> Stahl und </w:t>
      </w:r>
      <w:proofErr w:type="spellStart"/>
      <w:r w:rsidRPr="00EB4DA5">
        <w:rPr>
          <w:sz w:val="22"/>
          <w:szCs w:val="22"/>
          <w:lang w:val="en-US"/>
        </w:rPr>
        <w:t>Stahlwarenhandelsgesellschellschaft</w:t>
      </w:r>
      <w:proofErr w:type="spellEnd"/>
      <w:r w:rsidRPr="00EB4DA5">
        <w:rPr>
          <w:sz w:val="22"/>
          <w:szCs w:val="22"/>
          <w:lang w:val="en-US"/>
        </w:rPr>
        <w:t xml:space="preserve"> GmbH (1983) 2 AC 34</w:t>
      </w:r>
    </w:p>
    <w:p w14:paraId="6188D902" w14:textId="77777777" w:rsidR="00B263C8" w:rsidRPr="00EB4DA5" w:rsidRDefault="00B263C8" w:rsidP="002E2DAF">
      <w:pPr>
        <w:ind w:left="360"/>
        <w:rPr>
          <w:sz w:val="22"/>
          <w:szCs w:val="22"/>
          <w:lang w:val="en-US"/>
        </w:rPr>
      </w:pPr>
      <w:r w:rsidRPr="00EB4DA5">
        <w:rPr>
          <w:sz w:val="22"/>
          <w:szCs w:val="22"/>
          <w:lang w:val="en-US"/>
        </w:rPr>
        <w:t>Carlill v Carbolic Smoke Ball Co (1893) 1 QB 256</w:t>
      </w:r>
    </w:p>
    <w:p w14:paraId="59FA1903" w14:textId="77777777" w:rsidR="00B263C8" w:rsidRPr="00EB4DA5" w:rsidRDefault="00B263C8" w:rsidP="002E2DAF">
      <w:pPr>
        <w:ind w:left="360"/>
        <w:rPr>
          <w:rFonts w:eastAsia="Times New Roman" w:cs="Times New Roman"/>
          <w:color w:val="000000"/>
          <w:sz w:val="22"/>
          <w:szCs w:val="22"/>
          <w:lang w:eastAsia="en-GB"/>
        </w:rPr>
      </w:pPr>
      <w:r w:rsidRPr="00EB4DA5">
        <w:rPr>
          <w:sz w:val="22"/>
          <w:szCs w:val="22"/>
          <w:lang w:val="en-US"/>
        </w:rPr>
        <w:t>Chappell v Nestle (1960) AC 97</w:t>
      </w:r>
    </w:p>
    <w:p w14:paraId="6A9E6885" w14:textId="77777777" w:rsidR="00B263C8" w:rsidRPr="00EB4DA5" w:rsidRDefault="00B263C8" w:rsidP="002E2DAF">
      <w:pPr>
        <w:ind w:left="360"/>
        <w:rPr>
          <w:rFonts w:eastAsia="Times New Roman" w:cs="Times New Roman"/>
          <w:color w:val="000000"/>
          <w:sz w:val="22"/>
          <w:szCs w:val="22"/>
          <w:lang w:eastAsia="en-GB"/>
        </w:rPr>
      </w:pPr>
      <w:r w:rsidRPr="00EB4DA5">
        <w:rPr>
          <w:sz w:val="22"/>
          <w:szCs w:val="22"/>
          <w:lang w:val="en-US"/>
        </w:rPr>
        <w:t>Currie v Misa (1875) LR 10 Ex 153</w:t>
      </w:r>
    </w:p>
    <w:p w14:paraId="5A1CADC0" w14:textId="77777777" w:rsidR="00B263C8" w:rsidRPr="00EB4DA5" w:rsidRDefault="00B263C8" w:rsidP="002E2DAF">
      <w:pPr>
        <w:ind w:left="360"/>
        <w:rPr>
          <w:rFonts w:eastAsia="Times New Roman" w:cs="Times New Roman"/>
          <w:color w:val="000000"/>
          <w:sz w:val="22"/>
          <w:szCs w:val="22"/>
          <w:lang w:eastAsia="en-GB"/>
        </w:rPr>
      </w:pPr>
      <w:r w:rsidRPr="00EB4DA5">
        <w:rPr>
          <w:sz w:val="22"/>
          <w:szCs w:val="22"/>
          <w:lang w:val="en-US"/>
        </w:rPr>
        <w:t>Cutter v Powell (1795) 6 ER 320</w:t>
      </w:r>
    </w:p>
    <w:p w14:paraId="19428D1F" w14:textId="77777777" w:rsidR="00B263C8" w:rsidRPr="00EB4DA5" w:rsidRDefault="00B263C8" w:rsidP="002E2DAF">
      <w:pPr>
        <w:ind w:left="360"/>
        <w:rPr>
          <w:sz w:val="22"/>
          <w:szCs w:val="22"/>
          <w:lang w:val="en-US"/>
        </w:rPr>
      </w:pPr>
      <w:r w:rsidRPr="00EB4DA5">
        <w:rPr>
          <w:sz w:val="22"/>
          <w:szCs w:val="22"/>
          <w:lang w:val="en-US"/>
        </w:rPr>
        <w:t xml:space="preserve">Dunlop Pneumatic </w:t>
      </w:r>
      <w:proofErr w:type="spellStart"/>
      <w:r w:rsidRPr="00EB4DA5">
        <w:rPr>
          <w:sz w:val="22"/>
          <w:szCs w:val="22"/>
          <w:lang w:val="en-US"/>
        </w:rPr>
        <w:t>Tyre</w:t>
      </w:r>
      <w:proofErr w:type="spellEnd"/>
      <w:r w:rsidRPr="00EB4DA5">
        <w:rPr>
          <w:sz w:val="22"/>
          <w:szCs w:val="22"/>
          <w:lang w:val="en-US"/>
        </w:rPr>
        <w:t xml:space="preserve"> Co Ltd v Selfridge &amp; Co Ltd 1915 AC 847</w:t>
      </w:r>
    </w:p>
    <w:p w14:paraId="292CA718" w14:textId="77777777" w:rsidR="00B263C8" w:rsidRPr="00EB4DA5" w:rsidRDefault="00B263C8" w:rsidP="002E2DAF">
      <w:pPr>
        <w:ind w:left="360"/>
        <w:rPr>
          <w:sz w:val="22"/>
          <w:szCs w:val="22"/>
          <w:lang w:val="en-US"/>
        </w:rPr>
      </w:pPr>
      <w:r w:rsidRPr="00EB4DA5">
        <w:rPr>
          <w:sz w:val="22"/>
          <w:szCs w:val="22"/>
          <w:lang w:val="en-US"/>
        </w:rPr>
        <w:t>Hoenig v Isaacs (1952) 2 All E.R 176</w:t>
      </w:r>
    </w:p>
    <w:p w14:paraId="31130C7A" w14:textId="77777777" w:rsidR="00B263C8" w:rsidRPr="00EB4DA5" w:rsidRDefault="00B263C8" w:rsidP="002E2DAF">
      <w:pPr>
        <w:ind w:left="360"/>
        <w:rPr>
          <w:rFonts w:eastAsia="Times New Roman" w:cs="Times New Roman"/>
          <w:color w:val="000000"/>
          <w:sz w:val="22"/>
          <w:szCs w:val="22"/>
          <w:lang w:eastAsia="en-GB"/>
        </w:rPr>
      </w:pPr>
      <w:r w:rsidRPr="00EB4DA5">
        <w:rPr>
          <w:sz w:val="22"/>
          <w:szCs w:val="22"/>
          <w:lang w:val="en-US"/>
        </w:rPr>
        <w:t>Hyde v Wrench (1840) 49 ER 132</w:t>
      </w:r>
    </w:p>
    <w:p w14:paraId="42D2661C" w14:textId="77777777" w:rsidR="00B263C8" w:rsidRPr="00EB4DA5" w:rsidRDefault="00B263C8" w:rsidP="002E2DAF">
      <w:pPr>
        <w:ind w:left="360"/>
        <w:rPr>
          <w:sz w:val="22"/>
          <w:szCs w:val="22"/>
          <w:lang w:val="en-US"/>
        </w:rPr>
      </w:pPr>
      <w:r w:rsidRPr="00EB4DA5">
        <w:rPr>
          <w:sz w:val="22"/>
          <w:szCs w:val="22"/>
          <w:lang w:val="en-US"/>
        </w:rPr>
        <w:t>Jackson v Horizon Holidays Ltd (1975) 1 WLR 1468</w:t>
      </w:r>
    </w:p>
    <w:p w14:paraId="1CA40615" w14:textId="77777777" w:rsidR="00B263C8" w:rsidRPr="00EB4DA5" w:rsidRDefault="00B263C8" w:rsidP="002E2DAF">
      <w:pPr>
        <w:ind w:left="360"/>
        <w:rPr>
          <w:sz w:val="22"/>
          <w:szCs w:val="22"/>
          <w:lang w:val="en-US"/>
        </w:rPr>
      </w:pPr>
      <w:proofErr w:type="spellStart"/>
      <w:r w:rsidRPr="00EB4DA5">
        <w:rPr>
          <w:sz w:val="22"/>
          <w:szCs w:val="22"/>
          <w:lang w:val="en-US"/>
        </w:rPr>
        <w:t>Lampleigh</w:t>
      </w:r>
      <w:proofErr w:type="spellEnd"/>
      <w:r w:rsidRPr="00EB4DA5">
        <w:rPr>
          <w:sz w:val="22"/>
          <w:szCs w:val="22"/>
          <w:lang w:val="en-US"/>
        </w:rPr>
        <w:t xml:space="preserve"> v Braithwaite (1615) 80 ER 255</w:t>
      </w:r>
    </w:p>
    <w:p w14:paraId="5B8A1929" w14:textId="77777777" w:rsidR="00B263C8" w:rsidRPr="00EB4DA5" w:rsidRDefault="00B263C8" w:rsidP="002E2DAF">
      <w:pPr>
        <w:ind w:left="360"/>
        <w:rPr>
          <w:rFonts w:eastAsia="Times New Roman" w:cs="Times New Roman"/>
          <w:color w:val="000000"/>
          <w:sz w:val="22"/>
          <w:szCs w:val="22"/>
          <w:lang w:eastAsia="en-GB"/>
        </w:rPr>
      </w:pPr>
      <w:proofErr w:type="spellStart"/>
      <w:r w:rsidRPr="00EB4DA5">
        <w:rPr>
          <w:sz w:val="22"/>
          <w:szCs w:val="22"/>
          <w:lang w:val="en-US"/>
        </w:rPr>
        <w:t>Patridge</w:t>
      </w:r>
      <w:proofErr w:type="spellEnd"/>
      <w:r w:rsidRPr="00EB4DA5">
        <w:rPr>
          <w:sz w:val="22"/>
          <w:szCs w:val="22"/>
          <w:lang w:val="en-US"/>
        </w:rPr>
        <w:t xml:space="preserve"> v Crittenden (1968) 1 WLR 1204</w:t>
      </w:r>
    </w:p>
    <w:p w14:paraId="5BF42950" w14:textId="77777777" w:rsidR="00B263C8" w:rsidRPr="00EB4DA5" w:rsidRDefault="00B263C8" w:rsidP="002E2DAF">
      <w:pPr>
        <w:ind w:left="360"/>
        <w:rPr>
          <w:rFonts w:eastAsia="Times New Roman" w:cs="Times New Roman"/>
          <w:sz w:val="22"/>
          <w:szCs w:val="22"/>
          <w:lang w:eastAsia="en-GB"/>
        </w:rPr>
      </w:pPr>
      <w:r w:rsidRPr="00EB4DA5">
        <w:rPr>
          <w:sz w:val="22"/>
          <w:szCs w:val="22"/>
          <w:lang w:val="en-US"/>
        </w:rPr>
        <w:t xml:space="preserve">Re </w:t>
      </w:r>
      <w:proofErr w:type="spellStart"/>
      <w:r w:rsidRPr="00EB4DA5">
        <w:rPr>
          <w:sz w:val="22"/>
          <w:szCs w:val="22"/>
          <w:lang w:val="en-US"/>
        </w:rPr>
        <w:t>Caseys</w:t>
      </w:r>
      <w:proofErr w:type="spellEnd"/>
      <w:r w:rsidRPr="00EB4DA5">
        <w:rPr>
          <w:sz w:val="22"/>
          <w:szCs w:val="22"/>
          <w:lang w:val="en-US"/>
        </w:rPr>
        <w:t xml:space="preserve"> Patents (1892) 1 CH 104</w:t>
      </w:r>
    </w:p>
    <w:p w14:paraId="40E1BFB9" w14:textId="77777777" w:rsidR="00B263C8" w:rsidRPr="00EB4DA5" w:rsidRDefault="00B263C8" w:rsidP="002E2DAF">
      <w:pPr>
        <w:ind w:left="360"/>
        <w:rPr>
          <w:rFonts w:eastAsia="Times New Roman" w:cs="Times New Roman"/>
          <w:sz w:val="22"/>
          <w:szCs w:val="22"/>
          <w:lang w:eastAsia="en-GB"/>
        </w:rPr>
      </w:pPr>
      <w:r w:rsidRPr="00EB4DA5">
        <w:rPr>
          <w:rFonts w:eastAsia="Times New Roman" w:cs="Times New Roman"/>
          <w:sz w:val="22"/>
          <w:szCs w:val="22"/>
          <w:lang w:eastAsia="en-GB"/>
        </w:rPr>
        <w:t xml:space="preserve">Re </w:t>
      </w:r>
      <w:proofErr w:type="spellStart"/>
      <w:r w:rsidRPr="00EB4DA5">
        <w:rPr>
          <w:rFonts w:eastAsia="Times New Roman" w:cs="Times New Roman"/>
          <w:sz w:val="22"/>
          <w:szCs w:val="22"/>
          <w:lang w:eastAsia="en-GB"/>
        </w:rPr>
        <w:t>Mcardle</w:t>
      </w:r>
      <w:proofErr w:type="spellEnd"/>
      <w:r w:rsidRPr="00EB4DA5">
        <w:rPr>
          <w:rFonts w:eastAsia="Times New Roman" w:cs="Times New Roman"/>
          <w:sz w:val="22"/>
          <w:szCs w:val="22"/>
          <w:lang w:eastAsia="en-GB"/>
        </w:rPr>
        <w:t xml:space="preserve"> (1951) CH 669</w:t>
      </w:r>
    </w:p>
    <w:p w14:paraId="2F84F7FF" w14:textId="77777777" w:rsidR="00B263C8" w:rsidRPr="00EB4DA5" w:rsidRDefault="00B263C8" w:rsidP="002E2DAF">
      <w:pPr>
        <w:ind w:left="360"/>
        <w:rPr>
          <w:sz w:val="22"/>
          <w:szCs w:val="22"/>
          <w:lang w:val="en-US"/>
        </w:rPr>
      </w:pPr>
      <w:r w:rsidRPr="00EB4DA5">
        <w:rPr>
          <w:sz w:val="22"/>
          <w:szCs w:val="22"/>
          <w:lang w:val="en-US"/>
        </w:rPr>
        <w:lastRenderedPageBreak/>
        <w:t>Richie v Atkinson (1808) 10 East 295</w:t>
      </w:r>
    </w:p>
    <w:p w14:paraId="1B2AB8AC" w14:textId="77777777" w:rsidR="00B263C8" w:rsidRPr="00EB4DA5" w:rsidRDefault="00B263C8" w:rsidP="002E2DAF">
      <w:pPr>
        <w:ind w:left="360"/>
        <w:rPr>
          <w:sz w:val="22"/>
          <w:szCs w:val="22"/>
          <w:lang w:val="en-US"/>
        </w:rPr>
      </w:pPr>
      <w:proofErr w:type="spellStart"/>
      <w:r w:rsidRPr="00EB4DA5">
        <w:rPr>
          <w:sz w:val="22"/>
          <w:szCs w:val="22"/>
          <w:lang w:val="en-US"/>
        </w:rPr>
        <w:t>Roscorla</w:t>
      </w:r>
      <w:proofErr w:type="spellEnd"/>
      <w:r w:rsidRPr="00EB4DA5">
        <w:rPr>
          <w:sz w:val="22"/>
          <w:szCs w:val="22"/>
          <w:lang w:val="en-US"/>
        </w:rPr>
        <w:t xml:space="preserve"> v Thomas (1842) 3 QB 234</w:t>
      </w:r>
    </w:p>
    <w:p w14:paraId="50FB5974" w14:textId="77777777" w:rsidR="00B263C8" w:rsidRPr="00EB4DA5" w:rsidRDefault="00B263C8" w:rsidP="002E2DAF">
      <w:pPr>
        <w:ind w:left="360"/>
        <w:rPr>
          <w:rFonts w:eastAsia="Times New Roman" w:cs="Times New Roman"/>
          <w:color w:val="000000"/>
          <w:sz w:val="22"/>
          <w:szCs w:val="22"/>
          <w:lang w:eastAsia="en-GB"/>
        </w:rPr>
      </w:pPr>
      <w:r w:rsidRPr="00EB4DA5">
        <w:rPr>
          <w:sz w:val="22"/>
          <w:szCs w:val="22"/>
          <w:lang w:val="en-US"/>
        </w:rPr>
        <w:t xml:space="preserve">Scammell and Nephew v </w:t>
      </w:r>
      <w:proofErr w:type="spellStart"/>
      <w:r w:rsidRPr="00EB4DA5">
        <w:rPr>
          <w:sz w:val="22"/>
          <w:szCs w:val="22"/>
          <w:lang w:val="en-US"/>
        </w:rPr>
        <w:t>Ouston</w:t>
      </w:r>
      <w:proofErr w:type="spellEnd"/>
      <w:r w:rsidRPr="00EB4DA5">
        <w:rPr>
          <w:sz w:val="22"/>
          <w:szCs w:val="22"/>
          <w:lang w:val="en-US"/>
        </w:rPr>
        <w:t xml:space="preserve"> 1941) AC 251</w:t>
      </w:r>
    </w:p>
    <w:p w14:paraId="55A38F1B" w14:textId="77777777" w:rsidR="00B263C8" w:rsidRPr="00EB4DA5" w:rsidRDefault="00B263C8" w:rsidP="002E2DAF">
      <w:pPr>
        <w:ind w:left="360"/>
        <w:rPr>
          <w:sz w:val="22"/>
          <w:szCs w:val="22"/>
          <w:lang w:val="en-US"/>
        </w:rPr>
      </w:pPr>
      <w:proofErr w:type="spellStart"/>
      <w:r w:rsidRPr="00EB4DA5">
        <w:rPr>
          <w:sz w:val="22"/>
          <w:szCs w:val="22"/>
          <w:lang w:val="en-US"/>
        </w:rPr>
        <w:t>Siemans</w:t>
      </w:r>
      <w:proofErr w:type="spellEnd"/>
      <w:r w:rsidRPr="00EB4DA5">
        <w:rPr>
          <w:sz w:val="22"/>
          <w:szCs w:val="22"/>
          <w:lang w:val="en-US"/>
        </w:rPr>
        <w:t xml:space="preserve"> Hearing instruments Ltd v Friends for Life Ltd (2014) EWCA CIV 382</w:t>
      </w:r>
    </w:p>
    <w:p w14:paraId="7EB5E216" w14:textId="77777777" w:rsidR="00B263C8" w:rsidRPr="00EB4DA5" w:rsidRDefault="00B263C8" w:rsidP="002E2DAF">
      <w:pPr>
        <w:ind w:left="360"/>
        <w:rPr>
          <w:sz w:val="22"/>
          <w:szCs w:val="22"/>
          <w:lang w:val="en-US"/>
        </w:rPr>
      </w:pPr>
      <w:r w:rsidRPr="00EB4DA5">
        <w:rPr>
          <w:sz w:val="22"/>
          <w:szCs w:val="22"/>
          <w:lang w:val="en-US"/>
        </w:rPr>
        <w:t xml:space="preserve">Stevenson, </w:t>
      </w:r>
      <w:proofErr w:type="gramStart"/>
      <w:r w:rsidRPr="00EB4DA5">
        <w:rPr>
          <w:sz w:val="22"/>
          <w:szCs w:val="22"/>
          <w:lang w:val="en-US"/>
        </w:rPr>
        <w:t>Jacques</w:t>
      </w:r>
      <w:proofErr w:type="gramEnd"/>
      <w:r w:rsidRPr="00EB4DA5">
        <w:rPr>
          <w:sz w:val="22"/>
          <w:szCs w:val="22"/>
          <w:lang w:val="en-US"/>
        </w:rPr>
        <w:t xml:space="preserve"> and Co v McLean (1880) 5 QBD 346</w:t>
      </w:r>
    </w:p>
    <w:p w14:paraId="22AF59AF" w14:textId="77777777" w:rsidR="00B263C8" w:rsidRPr="00EB4DA5" w:rsidRDefault="00B263C8" w:rsidP="002E2DAF">
      <w:pPr>
        <w:ind w:left="360"/>
        <w:rPr>
          <w:rFonts w:eastAsia="Times New Roman" w:cs="Times New Roman"/>
          <w:color w:val="000000"/>
          <w:sz w:val="22"/>
          <w:szCs w:val="22"/>
          <w:lang w:eastAsia="en-GB"/>
        </w:rPr>
      </w:pPr>
      <w:r w:rsidRPr="00EB4DA5">
        <w:rPr>
          <w:sz w:val="22"/>
          <w:szCs w:val="22"/>
          <w:lang w:val="en-US"/>
        </w:rPr>
        <w:t xml:space="preserve">Stevenson, </w:t>
      </w:r>
      <w:proofErr w:type="spellStart"/>
      <w:r w:rsidRPr="00EB4DA5">
        <w:rPr>
          <w:sz w:val="22"/>
          <w:szCs w:val="22"/>
          <w:lang w:val="en-US"/>
        </w:rPr>
        <w:t>Jaques</w:t>
      </w:r>
      <w:proofErr w:type="spellEnd"/>
      <w:r w:rsidRPr="00EB4DA5">
        <w:rPr>
          <w:sz w:val="22"/>
          <w:szCs w:val="22"/>
          <w:lang w:val="en-US"/>
        </w:rPr>
        <w:t xml:space="preserve"> </w:t>
      </w:r>
      <w:proofErr w:type="spellStart"/>
      <w:r w:rsidRPr="00EB4DA5">
        <w:rPr>
          <w:sz w:val="22"/>
          <w:szCs w:val="22"/>
          <w:lang w:val="en-US"/>
        </w:rPr>
        <w:t>anc</w:t>
      </w:r>
      <w:proofErr w:type="spellEnd"/>
      <w:r w:rsidRPr="00EB4DA5">
        <w:rPr>
          <w:sz w:val="22"/>
          <w:szCs w:val="22"/>
          <w:lang w:val="en-US"/>
        </w:rPr>
        <w:t xml:space="preserve"> Co. v McLean (1880) 5 QBD 346</w:t>
      </w:r>
    </w:p>
    <w:p w14:paraId="3C10536F" w14:textId="77777777" w:rsidR="00B263C8" w:rsidRPr="00EB4DA5" w:rsidRDefault="00B263C8" w:rsidP="002E2DAF">
      <w:pPr>
        <w:ind w:left="360"/>
        <w:rPr>
          <w:rFonts w:eastAsia="Times New Roman" w:cs="Times New Roman"/>
          <w:sz w:val="22"/>
          <w:szCs w:val="22"/>
          <w:lang w:eastAsia="en-GB"/>
        </w:rPr>
      </w:pPr>
      <w:r w:rsidRPr="00EB4DA5">
        <w:rPr>
          <w:sz w:val="22"/>
          <w:szCs w:val="22"/>
          <w:lang w:val="en-US"/>
        </w:rPr>
        <w:t>Sumpter v Hedges (1898) 1 QB 673</w:t>
      </w:r>
    </w:p>
    <w:p w14:paraId="595DA064" w14:textId="77777777" w:rsidR="00B263C8" w:rsidRPr="00EB4DA5" w:rsidRDefault="00B263C8" w:rsidP="002E2DAF">
      <w:pPr>
        <w:ind w:left="360"/>
        <w:rPr>
          <w:sz w:val="22"/>
          <w:szCs w:val="22"/>
          <w:lang w:val="en-US"/>
        </w:rPr>
      </w:pPr>
      <w:r w:rsidRPr="00EB4DA5">
        <w:rPr>
          <w:sz w:val="22"/>
          <w:szCs w:val="22"/>
          <w:lang w:val="en-US"/>
        </w:rPr>
        <w:t>The Consumer Contracts (Information, Cancellation and Additional Charges) Regulations 2013. S 14 (5)</w:t>
      </w:r>
    </w:p>
    <w:p w14:paraId="77DEF8B6" w14:textId="77777777" w:rsidR="00B263C8" w:rsidRPr="00EB4DA5" w:rsidRDefault="00B263C8" w:rsidP="002E2DAF">
      <w:pPr>
        <w:ind w:left="360"/>
        <w:rPr>
          <w:sz w:val="22"/>
          <w:szCs w:val="22"/>
          <w:lang w:val="en-US"/>
        </w:rPr>
      </w:pPr>
      <w:r w:rsidRPr="00EB4DA5">
        <w:rPr>
          <w:sz w:val="22"/>
          <w:szCs w:val="22"/>
          <w:lang w:val="en-US"/>
        </w:rPr>
        <w:t>The Contracts (Rights of Third Parties) Act 1999 s1 (3).</w:t>
      </w:r>
    </w:p>
    <w:p w14:paraId="3FF85CE5" w14:textId="77777777" w:rsidR="00B263C8" w:rsidRPr="00EB4DA5" w:rsidRDefault="00B263C8" w:rsidP="002E2DAF">
      <w:pPr>
        <w:ind w:left="360"/>
        <w:rPr>
          <w:sz w:val="22"/>
          <w:szCs w:val="22"/>
          <w:lang w:val="en-US"/>
        </w:rPr>
      </w:pPr>
      <w:r w:rsidRPr="00EB4DA5">
        <w:rPr>
          <w:sz w:val="22"/>
          <w:szCs w:val="22"/>
          <w:lang w:val="en-US"/>
        </w:rPr>
        <w:t>The Electronic Commerce Regulations 2002</w:t>
      </w:r>
    </w:p>
    <w:p w14:paraId="3610A3EB" w14:textId="77777777" w:rsidR="00B263C8" w:rsidRPr="00EB4DA5" w:rsidRDefault="00B263C8" w:rsidP="002E2DAF">
      <w:pPr>
        <w:ind w:left="360"/>
        <w:rPr>
          <w:sz w:val="22"/>
          <w:szCs w:val="22"/>
          <w:lang w:val="en-US"/>
        </w:rPr>
      </w:pPr>
      <w:r w:rsidRPr="00EB4DA5">
        <w:rPr>
          <w:sz w:val="22"/>
          <w:szCs w:val="22"/>
          <w:lang w:val="en-US"/>
        </w:rPr>
        <w:t>The Married Woman’s Property Act (1882)</w:t>
      </w:r>
    </w:p>
    <w:p w14:paraId="376D4956" w14:textId="77777777" w:rsidR="00B263C8" w:rsidRPr="00EB4DA5" w:rsidRDefault="00B263C8" w:rsidP="002E2DAF">
      <w:pPr>
        <w:ind w:left="360"/>
        <w:rPr>
          <w:rFonts w:eastAsia="Times New Roman" w:cs="Times New Roman"/>
          <w:color w:val="000000"/>
          <w:sz w:val="22"/>
          <w:szCs w:val="22"/>
          <w:lang w:eastAsia="en-GB"/>
        </w:rPr>
      </w:pPr>
      <w:r w:rsidRPr="00EB4DA5">
        <w:rPr>
          <w:sz w:val="22"/>
          <w:szCs w:val="22"/>
          <w:lang w:val="en-US"/>
        </w:rPr>
        <w:t>Thomas v BPE Solicitors (2010) EWHC 306</w:t>
      </w:r>
    </w:p>
    <w:p w14:paraId="76A32F59" w14:textId="77777777" w:rsidR="00B263C8" w:rsidRPr="00EB4DA5" w:rsidRDefault="00B263C8" w:rsidP="002E2DAF">
      <w:pPr>
        <w:ind w:left="360"/>
        <w:rPr>
          <w:rFonts w:eastAsia="Times New Roman" w:cs="Times New Roman"/>
          <w:color w:val="000000"/>
          <w:sz w:val="22"/>
          <w:szCs w:val="22"/>
          <w:lang w:eastAsia="en-GB"/>
        </w:rPr>
      </w:pPr>
      <w:r w:rsidRPr="00EB4DA5">
        <w:rPr>
          <w:sz w:val="22"/>
          <w:szCs w:val="22"/>
          <w:lang w:val="en-US"/>
        </w:rPr>
        <w:t>Thomas v Thomas (1842) 2 QB 851</w:t>
      </w:r>
    </w:p>
    <w:p w14:paraId="6D5C51A1" w14:textId="77777777" w:rsidR="00B263C8" w:rsidRPr="00EB4DA5" w:rsidRDefault="00B263C8" w:rsidP="002E2DAF">
      <w:pPr>
        <w:ind w:left="360"/>
        <w:rPr>
          <w:rFonts w:eastAsia="Times New Roman" w:cs="Times New Roman"/>
          <w:color w:val="000000"/>
          <w:sz w:val="22"/>
          <w:szCs w:val="22"/>
          <w:lang w:eastAsia="en-GB"/>
        </w:rPr>
      </w:pPr>
      <w:proofErr w:type="spellStart"/>
      <w:r w:rsidRPr="00EB4DA5">
        <w:rPr>
          <w:sz w:val="22"/>
          <w:szCs w:val="22"/>
          <w:lang w:val="en-US"/>
        </w:rPr>
        <w:t>Tweedle</w:t>
      </w:r>
      <w:proofErr w:type="spellEnd"/>
      <w:r w:rsidRPr="00EB4DA5">
        <w:rPr>
          <w:sz w:val="22"/>
          <w:szCs w:val="22"/>
          <w:lang w:val="en-US"/>
        </w:rPr>
        <w:t xml:space="preserve"> v Atkinson 1861 </w:t>
      </w:r>
      <w:r w:rsidRPr="00EB4DA5">
        <w:rPr>
          <w:rFonts w:eastAsia="Times New Roman" w:cs="Times New Roman"/>
          <w:color w:val="000000"/>
          <w:sz w:val="22"/>
          <w:szCs w:val="22"/>
          <w:lang w:eastAsia="en-GB"/>
        </w:rPr>
        <w:t>EWHC QB J57</w:t>
      </w:r>
    </w:p>
    <w:p w14:paraId="09B487B3" w14:textId="77777777" w:rsidR="00B263C8" w:rsidRPr="00EB4DA5" w:rsidRDefault="00B263C8" w:rsidP="002E2DAF">
      <w:pPr>
        <w:ind w:left="360"/>
        <w:rPr>
          <w:sz w:val="22"/>
          <w:szCs w:val="22"/>
          <w:lang w:val="en-US"/>
        </w:rPr>
      </w:pPr>
      <w:r w:rsidRPr="00EB4DA5">
        <w:rPr>
          <w:sz w:val="22"/>
          <w:szCs w:val="22"/>
          <w:lang w:val="en-US"/>
        </w:rPr>
        <w:t>Upton-on-Severn Rural District Council v Powell (1942) 1 ALL ER 220</w:t>
      </w:r>
    </w:p>
    <w:p w14:paraId="361DF3EF" w14:textId="77777777" w:rsidR="00D57806" w:rsidRPr="00EB4DA5" w:rsidRDefault="00D57806" w:rsidP="00E91457">
      <w:pPr>
        <w:rPr>
          <w:rFonts w:eastAsia="Times New Roman" w:cs="Times New Roman"/>
          <w:sz w:val="22"/>
          <w:szCs w:val="22"/>
          <w:lang w:eastAsia="en-GB"/>
        </w:rPr>
      </w:pPr>
    </w:p>
    <w:p w14:paraId="57AEBA44" w14:textId="652CA3A9" w:rsidR="00B55EE5" w:rsidRPr="00EB4DA5" w:rsidRDefault="00B55EE5" w:rsidP="00E91457">
      <w:pPr>
        <w:rPr>
          <w:rFonts w:eastAsia="Times New Roman" w:cs="Times New Roman"/>
          <w:sz w:val="22"/>
          <w:szCs w:val="22"/>
          <w:lang w:eastAsia="en-GB"/>
        </w:rPr>
      </w:pPr>
    </w:p>
    <w:p w14:paraId="03E0D052" w14:textId="77777777" w:rsidR="000A42F5" w:rsidRPr="00EB4DA5" w:rsidRDefault="000A42F5" w:rsidP="00E91457">
      <w:pPr>
        <w:rPr>
          <w:rFonts w:eastAsia="Times New Roman" w:cs="Times New Roman"/>
          <w:sz w:val="22"/>
          <w:szCs w:val="22"/>
          <w:lang w:eastAsia="en-GB"/>
        </w:rPr>
      </w:pPr>
    </w:p>
    <w:p w14:paraId="2E3755F7" w14:textId="77777777" w:rsidR="00B263C8" w:rsidRPr="00D57806" w:rsidRDefault="00B263C8" w:rsidP="00E91457">
      <w:pPr>
        <w:rPr>
          <w:rFonts w:ascii="Times New Roman" w:eastAsia="Times New Roman" w:hAnsi="Times New Roman" w:cs="Times New Roman"/>
          <w:lang w:eastAsia="en-GB"/>
        </w:rPr>
      </w:pPr>
    </w:p>
    <w:p w14:paraId="1BE9BEF2" w14:textId="5B24AE4D" w:rsidR="00B263C8" w:rsidRPr="00EB4DA5" w:rsidRDefault="00B263C8" w:rsidP="007302E1">
      <w:pPr>
        <w:ind w:left="360"/>
        <w:rPr>
          <w:sz w:val="22"/>
          <w:szCs w:val="22"/>
          <w:lang w:val="en-US"/>
        </w:rPr>
      </w:pPr>
      <w:r w:rsidRPr="00EB4DA5">
        <w:rPr>
          <w:sz w:val="22"/>
          <w:szCs w:val="22"/>
          <w:lang w:val="en-US"/>
        </w:rPr>
        <w:t>Andrew</w:t>
      </w:r>
      <w:r>
        <w:rPr>
          <w:sz w:val="22"/>
          <w:szCs w:val="22"/>
          <w:lang w:val="en-US"/>
        </w:rPr>
        <w:t>s</w:t>
      </w:r>
      <w:r w:rsidRPr="00EB4DA5">
        <w:rPr>
          <w:sz w:val="22"/>
          <w:szCs w:val="22"/>
          <w:lang w:val="en-US"/>
        </w:rPr>
        <w:t xml:space="preserve">, N (2001) ‘Strangers to Justice No Longer: The Reversal of the Privity Rule Under the Contracts (Right of Third Parties) Act 1999’. </w:t>
      </w:r>
      <w:r w:rsidRPr="00EB4DA5">
        <w:rPr>
          <w:i/>
          <w:iCs/>
          <w:sz w:val="22"/>
          <w:szCs w:val="22"/>
          <w:lang w:val="en-US"/>
        </w:rPr>
        <w:t xml:space="preserve">The Cambridge Law Journal. </w:t>
      </w:r>
      <w:r w:rsidRPr="00EB4DA5">
        <w:rPr>
          <w:sz w:val="22"/>
          <w:szCs w:val="22"/>
          <w:lang w:val="en-US"/>
        </w:rPr>
        <w:t xml:space="preserve">Cambridge Law Journal. 60(2). Available at: </w:t>
      </w:r>
      <w:hyperlink r:id="rId5" w:history="1">
        <w:r w:rsidRPr="00EB4DA5">
          <w:rPr>
            <w:rStyle w:val="Hyperlink"/>
            <w:sz w:val="22"/>
            <w:szCs w:val="22"/>
            <w:lang w:val="en-US"/>
          </w:rPr>
          <w:t>https://www-cambridge-org.ezproxy.</w:t>
        </w:r>
        <w:r w:rsidRPr="00EB4DA5">
          <w:rPr>
            <w:rStyle w:val="Hyperlink"/>
            <w:sz w:val="22"/>
            <w:szCs w:val="22"/>
            <w:lang w:val="en-US"/>
          </w:rPr>
          <w:t>u</w:t>
        </w:r>
        <w:r w:rsidRPr="00EB4DA5">
          <w:rPr>
            <w:rStyle w:val="Hyperlink"/>
            <w:sz w:val="22"/>
            <w:szCs w:val="22"/>
            <w:lang w:val="en-US"/>
          </w:rPr>
          <w:t>wtsd.ac.uk/core/services/aop-cambridge-core/content/view/4695F5F984C7C100B65AB805610D4312/S0008197301000150a.pdf/strangers-to-justice-no-longer-the-reversal-of-the-privity-rule-under-the-contracts-rights-of-third-parties-act-1999.pdf</w:t>
        </w:r>
      </w:hyperlink>
      <w:r w:rsidRPr="00EB4DA5">
        <w:rPr>
          <w:sz w:val="22"/>
          <w:szCs w:val="22"/>
          <w:lang w:val="en-US"/>
        </w:rPr>
        <w:t xml:space="preserve"> (Accessed on: 9</w:t>
      </w:r>
      <w:r w:rsidRPr="00EB4DA5">
        <w:rPr>
          <w:sz w:val="22"/>
          <w:szCs w:val="22"/>
          <w:vertAlign w:val="superscript"/>
          <w:lang w:val="en-US"/>
        </w:rPr>
        <w:t>th</w:t>
      </w:r>
      <w:r w:rsidRPr="00EB4DA5">
        <w:rPr>
          <w:sz w:val="22"/>
          <w:szCs w:val="22"/>
          <w:lang w:val="en-US"/>
        </w:rPr>
        <w:t xml:space="preserve"> February 2022).</w:t>
      </w:r>
    </w:p>
    <w:p w14:paraId="714F1810" w14:textId="77777777" w:rsidR="00B263C8" w:rsidRPr="00EB4DA5" w:rsidRDefault="00B263C8" w:rsidP="007302E1">
      <w:pPr>
        <w:ind w:left="360"/>
        <w:rPr>
          <w:sz w:val="22"/>
          <w:szCs w:val="22"/>
          <w:lang w:val="en-US"/>
        </w:rPr>
      </w:pPr>
      <w:r w:rsidRPr="00EB4DA5">
        <w:rPr>
          <w:sz w:val="22"/>
          <w:szCs w:val="22"/>
          <w:lang w:val="en-US"/>
        </w:rPr>
        <w:t xml:space="preserve">Elliott, C and Quinn, F (2017) </w:t>
      </w:r>
      <w:r w:rsidRPr="00EB4DA5">
        <w:rPr>
          <w:i/>
          <w:iCs/>
          <w:sz w:val="22"/>
          <w:szCs w:val="22"/>
          <w:lang w:val="en-US"/>
        </w:rPr>
        <w:t xml:space="preserve">Contract Law.  </w:t>
      </w:r>
      <w:r w:rsidRPr="00EB4DA5">
        <w:rPr>
          <w:sz w:val="22"/>
          <w:szCs w:val="22"/>
          <w:lang w:val="en-US"/>
        </w:rPr>
        <w:t>Published: Pearson Education Limited. 17</w:t>
      </w:r>
      <w:r w:rsidRPr="00EB4DA5">
        <w:rPr>
          <w:sz w:val="22"/>
          <w:szCs w:val="22"/>
          <w:vertAlign w:val="superscript"/>
          <w:lang w:val="en-US"/>
        </w:rPr>
        <w:t>th</w:t>
      </w:r>
      <w:r w:rsidRPr="00EB4DA5">
        <w:rPr>
          <w:sz w:val="22"/>
          <w:szCs w:val="22"/>
          <w:lang w:val="en-US"/>
        </w:rPr>
        <w:t xml:space="preserve"> Edition </w:t>
      </w:r>
    </w:p>
    <w:p w14:paraId="025B08F7" w14:textId="77777777" w:rsidR="00B263C8" w:rsidRPr="00EB4DA5" w:rsidRDefault="00B263C8" w:rsidP="007302E1">
      <w:pPr>
        <w:ind w:left="360"/>
        <w:rPr>
          <w:sz w:val="22"/>
          <w:szCs w:val="22"/>
          <w:lang w:val="en-US"/>
        </w:rPr>
      </w:pPr>
      <w:r w:rsidRPr="00EB4DA5">
        <w:rPr>
          <w:sz w:val="22"/>
          <w:szCs w:val="22"/>
          <w:lang w:val="en-US"/>
        </w:rPr>
        <w:t xml:space="preserve">Law Commission (1996) </w:t>
      </w:r>
      <w:r w:rsidRPr="00EB4DA5">
        <w:rPr>
          <w:i/>
          <w:iCs/>
          <w:sz w:val="22"/>
          <w:szCs w:val="22"/>
          <w:lang w:val="en-US"/>
        </w:rPr>
        <w:t xml:space="preserve">Privity of contract: Contracts for the benefit of Third Parties. </w:t>
      </w:r>
      <w:r w:rsidRPr="00EB4DA5">
        <w:rPr>
          <w:sz w:val="22"/>
          <w:szCs w:val="22"/>
          <w:lang w:val="en-US"/>
        </w:rPr>
        <w:t xml:space="preserve">No 242. Available at: </w:t>
      </w:r>
      <w:hyperlink r:id="rId6" w:history="1">
        <w:r w:rsidRPr="00EB4DA5">
          <w:rPr>
            <w:rStyle w:val="Hyperlink"/>
            <w:sz w:val="22"/>
            <w:szCs w:val="22"/>
            <w:lang w:val="en-US"/>
          </w:rPr>
          <w:t>http://www.lawcom.gov.uk/app/uploads/2017/02/lc242_privity-of-contract-contracts-for-the-benefit-of-third-parties.pdf</w:t>
        </w:r>
      </w:hyperlink>
      <w:r w:rsidRPr="00EB4DA5">
        <w:rPr>
          <w:sz w:val="22"/>
          <w:szCs w:val="22"/>
          <w:lang w:val="en-US"/>
        </w:rPr>
        <w:t xml:space="preserve">  (Accessed on: 29</w:t>
      </w:r>
      <w:r w:rsidRPr="00EB4DA5">
        <w:rPr>
          <w:sz w:val="22"/>
          <w:szCs w:val="22"/>
          <w:vertAlign w:val="superscript"/>
          <w:lang w:val="en-US"/>
        </w:rPr>
        <w:t>th</w:t>
      </w:r>
      <w:r w:rsidRPr="00EB4DA5">
        <w:rPr>
          <w:sz w:val="22"/>
          <w:szCs w:val="22"/>
          <w:lang w:val="en-US"/>
        </w:rPr>
        <w:t xml:space="preserve"> January 2022).</w:t>
      </w:r>
    </w:p>
    <w:p w14:paraId="7973959D" w14:textId="77777777" w:rsidR="00B263C8" w:rsidRPr="00EB4DA5" w:rsidRDefault="00B263C8" w:rsidP="007302E1">
      <w:pPr>
        <w:ind w:left="360"/>
        <w:rPr>
          <w:sz w:val="22"/>
          <w:szCs w:val="22"/>
          <w:lang w:val="en-US"/>
        </w:rPr>
      </w:pPr>
      <w:r w:rsidRPr="00EB4DA5">
        <w:rPr>
          <w:sz w:val="22"/>
          <w:szCs w:val="22"/>
          <w:lang w:val="en-US"/>
        </w:rPr>
        <w:t xml:space="preserve">M.M. (1953). ‘Contract – Entire Contract – Doctrine of Substantial Performance’. </w:t>
      </w:r>
      <w:r w:rsidRPr="00EB4DA5">
        <w:rPr>
          <w:i/>
          <w:iCs/>
          <w:sz w:val="22"/>
          <w:szCs w:val="22"/>
          <w:lang w:val="en-US"/>
        </w:rPr>
        <w:t xml:space="preserve">The Cambridge Law Journal. </w:t>
      </w:r>
      <w:r w:rsidRPr="00EB4DA5">
        <w:rPr>
          <w:sz w:val="22"/>
          <w:szCs w:val="22"/>
          <w:lang w:val="en-US"/>
        </w:rPr>
        <w:t xml:space="preserve">Vol.11, Issue 3. Available at: </w:t>
      </w:r>
      <w:hyperlink r:id="rId7" w:history="1">
        <w:r w:rsidRPr="00EB4DA5">
          <w:rPr>
            <w:rStyle w:val="Hyperlink"/>
            <w:sz w:val="22"/>
            <w:szCs w:val="22"/>
            <w:lang w:val="en-US"/>
          </w:rPr>
          <w:t>https://www-cambridge-org.ezproxy.uwtsd.ac.uk/core/services/aop-cambridge-core/content/view/DB3B517C1A5BF54E97635615E5B66109/S0008197300006024a.pdf/contractentire-contractdoctrine-of-substantial-performance.pdf</w:t>
        </w:r>
      </w:hyperlink>
      <w:r w:rsidRPr="00EB4DA5">
        <w:rPr>
          <w:sz w:val="22"/>
          <w:szCs w:val="22"/>
          <w:lang w:val="en-US"/>
        </w:rPr>
        <w:t xml:space="preserve"> (Accessed: 9</w:t>
      </w:r>
      <w:r w:rsidRPr="00EB4DA5">
        <w:rPr>
          <w:sz w:val="22"/>
          <w:szCs w:val="22"/>
          <w:vertAlign w:val="superscript"/>
          <w:lang w:val="en-US"/>
        </w:rPr>
        <w:t>th</w:t>
      </w:r>
      <w:r w:rsidRPr="00EB4DA5">
        <w:rPr>
          <w:sz w:val="22"/>
          <w:szCs w:val="22"/>
          <w:lang w:val="en-US"/>
        </w:rPr>
        <w:t xml:space="preserve"> February 2022) </w:t>
      </w:r>
    </w:p>
    <w:p w14:paraId="623F967B" w14:textId="77777777" w:rsidR="00B263C8" w:rsidRPr="00EB4DA5" w:rsidRDefault="00B263C8" w:rsidP="007302E1">
      <w:pPr>
        <w:ind w:left="360"/>
        <w:rPr>
          <w:rFonts w:eastAsia="Times New Roman" w:cs="Times New Roman"/>
          <w:sz w:val="22"/>
          <w:szCs w:val="22"/>
          <w:lang w:eastAsia="en-GB"/>
        </w:rPr>
      </w:pPr>
      <w:r w:rsidRPr="00EB4DA5">
        <w:rPr>
          <w:rFonts w:eastAsia="Times New Roman" w:cs="Times New Roman"/>
          <w:sz w:val="22"/>
          <w:szCs w:val="22"/>
          <w:lang w:eastAsia="en-GB"/>
        </w:rPr>
        <w:t>McKendrick, E (2021)</w:t>
      </w:r>
      <w:r w:rsidRPr="00EB4DA5">
        <w:rPr>
          <w:rFonts w:eastAsia="Times New Roman" w:cs="Times New Roman"/>
          <w:b/>
          <w:bCs/>
          <w:sz w:val="22"/>
          <w:szCs w:val="22"/>
          <w:u w:val="single"/>
          <w:lang w:eastAsia="en-GB"/>
        </w:rPr>
        <w:t xml:space="preserve"> </w:t>
      </w:r>
      <w:r w:rsidRPr="00EB4DA5">
        <w:rPr>
          <w:rFonts w:eastAsia="Times New Roman" w:cs="Times New Roman"/>
          <w:i/>
          <w:iCs/>
          <w:sz w:val="22"/>
          <w:szCs w:val="22"/>
          <w:lang w:eastAsia="en-GB"/>
        </w:rPr>
        <w:t xml:space="preserve">Contract Law. </w:t>
      </w:r>
      <w:r w:rsidRPr="00EB4DA5">
        <w:rPr>
          <w:rFonts w:eastAsia="Times New Roman" w:cs="Times New Roman"/>
          <w:sz w:val="22"/>
          <w:szCs w:val="22"/>
          <w:lang w:eastAsia="en-GB"/>
        </w:rPr>
        <w:t>Published: Red Globe Press. 14</w:t>
      </w:r>
      <w:r w:rsidRPr="00EB4DA5">
        <w:rPr>
          <w:rFonts w:eastAsia="Times New Roman" w:cs="Times New Roman"/>
          <w:sz w:val="22"/>
          <w:szCs w:val="22"/>
          <w:vertAlign w:val="superscript"/>
          <w:lang w:eastAsia="en-GB"/>
        </w:rPr>
        <w:t>th</w:t>
      </w:r>
      <w:r w:rsidRPr="00EB4DA5">
        <w:rPr>
          <w:rFonts w:eastAsia="Times New Roman" w:cs="Times New Roman"/>
          <w:sz w:val="22"/>
          <w:szCs w:val="22"/>
          <w:lang w:eastAsia="en-GB"/>
        </w:rPr>
        <w:t xml:space="preserve"> Edition.</w:t>
      </w:r>
    </w:p>
    <w:p w14:paraId="3C7CD390" w14:textId="77777777" w:rsidR="00B263C8" w:rsidRPr="00EB4DA5" w:rsidRDefault="00B263C8" w:rsidP="007302E1">
      <w:pPr>
        <w:ind w:left="360"/>
        <w:rPr>
          <w:rFonts w:eastAsia="Times New Roman" w:cs="Times New Roman"/>
          <w:sz w:val="22"/>
          <w:szCs w:val="22"/>
          <w:lang w:eastAsia="en-GB"/>
        </w:rPr>
      </w:pPr>
      <w:proofErr w:type="spellStart"/>
      <w:r w:rsidRPr="00EB4DA5">
        <w:rPr>
          <w:rFonts w:eastAsia="Times New Roman" w:cs="Times New Roman"/>
          <w:sz w:val="22"/>
          <w:szCs w:val="22"/>
          <w:lang w:eastAsia="en-GB"/>
        </w:rPr>
        <w:t>Merkin</w:t>
      </w:r>
      <w:proofErr w:type="spellEnd"/>
      <w:r w:rsidRPr="00EB4DA5">
        <w:rPr>
          <w:rFonts w:eastAsia="Times New Roman" w:cs="Times New Roman"/>
          <w:sz w:val="22"/>
          <w:szCs w:val="22"/>
          <w:lang w:eastAsia="en-GB"/>
        </w:rPr>
        <w:t xml:space="preserve">, R and </w:t>
      </w:r>
      <w:proofErr w:type="spellStart"/>
      <w:r w:rsidRPr="00EB4DA5">
        <w:rPr>
          <w:rFonts w:eastAsia="Times New Roman" w:cs="Times New Roman"/>
          <w:sz w:val="22"/>
          <w:szCs w:val="22"/>
          <w:lang w:eastAsia="en-GB"/>
        </w:rPr>
        <w:t>Saintier</w:t>
      </w:r>
      <w:proofErr w:type="spellEnd"/>
      <w:r w:rsidRPr="00EB4DA5">
        <w:rPr>
          <w:rFonts w:eastAsia="Times New Roman" w:cs="Times New Roman"/>
          <w:sz w:val="22"/>
          <w:szCs w:val="22"/>
          <w:lang w:eastAsia="en-GB"/>
        </w:rPr>
        <w:t xml:space="preserve">, S (2019) </w:t>
      </w:r>
      <w:r w:rsidRPr="00EB4DA5">
        <w:rPr>
          <w:rFonts w:eastAsia="Times New Roman" w:cs="Times New Roman"/>
          <w:i/>
          <w:iCs/>
          <w:sz w:val="22"/>
          <w:szCs w:val="22"/>
          <w:lang w:eastAsia="en-GB"/>
        </w:rPr>
        <w:t xml:space="preserve">Poole’s Casebook on Contract Law. </w:t>
      </w:r>
      <w:r w:rsidRPr="00EB4DA5">
        <w:rPr>
          <w:rFonts w:eastAsia="Times New Roman" w:cs="Times New Roman"/>
          <w:sz w:val="22"/>
          <w:szCs w:val="22"/>
          <w:lang w:eastAsia="en-GB"/>
        </w:rPr>
        <w:t xml:space="preserve">Published: Oxford </w:t>
      </w:r>
      <w:proofErr w:type="spellStart"/>
      <w:r w:rsidRPr="00EB4DA5">
        <w:rPr>
          <w:rFonts w:eastAsia="Times New Roman" w:cs="Times New Roman"/>
          <w:sz w:val="22"/>
          <w:szCs w:val="22"/>
          <w:lang w:eastAsia="en-GB"/>
        </w:rPr>
        <w:t>Universit</w:t>
      </w:r>
      <w:proofErr w:type="spellEnd"/>
      <w:r w:rsidRPr="00EB4DA5">
        <w:rPr>
          <w:rFonts w:eastAsia="Times New Roman" w:cs="Times New Roman"/>
          <w:sz w:val="22"/>
          <w:szCs w:val="22"/>
          <w:lang w:eastAsia="en-GB"/>
        </w:rPr>
        <w:t xml:space="preserve"> Press. 14</w:t>
      </w:r>
      <w:r w:rsidRPr="00EB4DA5">
        <w:rPr>
          <w:rFonts w:eastAsia="Times New Roman" w:cs="Times New Roman"/>
          <w:sz w:val="22"/>
          <w:szCs w:val="22"/>
          <w:vertAlign w:val="superscript"/>
          <w:lang w:eastAsia="en-GB"/>
        </w:rPr>
        <w:t>th</w:t>
      </w:r>
      <w:r w:rsidRPr="00EB4DA5">
        <w:rPr>
          <w:rFonts w:eastAsia="Times New Roman" w:cs="Times New Roman"/>
          <w:sz w:val="22"/>
          <w:szCs w:val="22"/>
          <w:lang w:eastAsia="en-GB"/>
        </w:rPr>
        <w:t xml:space="preserve"> Edition</w:t>
      </w:r>
    </w:p>
    <w:p w14:paraId="1BCCFDDA" w14:textId="77777777" w:rsidR="00B263C8" w:rsidRPr="00EB4DA5" w:rsidRDefault="00B263C8" w:rsidP="007302E1">
      <w:pPr>
        <w:ind w:left="360"/>
        <w:rPr>
          <w:sz w:val="22"/>
          <w:szCs w:val="22"/>
          <w:lang w:val="en-US"/>
        </w:rPr>
      </w:pPr>
      <w:r w:rsidRPr="00EB4DA5">
        <w:rPr>
          <w:sz w:val="22"/>
          <w:szCs w:val="22"/>
          <w:lang w:val="en-US"/>
        </w:rPr>
        <w:t xml:space="preserve">Poole, J. (2016). </w:t>
      </w:r>
      <w:r w:rsidRPr="00EB4DA5">
        <w:rPr>
          <w:i/>
          <w:iCs/>
          <w:sz w:val="22"/>
          <w:szCs w:val="22"/>
          <w:lang w:val="en-US"/>
        </w:rPr>
        <w:t xml:space="preserve">Contract Law. </w:t>
      </w:r>
      <w:r w:rsidRPr="00EB4DA5">
        <w:rPr>
          <w:sz w:val="22"/>
          <w:szCs w:val="22"/>
          <w:lang w:val="en-US"/>
        </w:rPr>
        <w:t>Published: Oxford University Press. 13</w:t>
      </w:r>
      <w:r w:rsidRPr="00EB4DA5">
        <w:rPr>
          <w:sz w:val="22"/>
          <w:szCs w:val="22"/>
          <w:vertAlign w:val="superscript"/>
          <w:lang w:val="en-US"/>
        </w:rPr>
        <w:t>th</w:t>
      </w:r>
      <w:r w:rsidRPr="00EB4DA5">
        <w:rPr>
          <w:sz w:val="22"/>
          <w:szCs w:val="22"/>
          <w:lang w:val="en-US"/>
        </w:rPr>
        <w:t xml:space="preserve"> Edition.</w:t>
      </w:r>
    </w:p>
    <w:p w14:paraId="22335310" w14:textId="77777777" w:rsidR="00B263C8" w:rsidRPr="00EB4DA5" w:rsidRDefault="00B263C8" w:rsidP="007302E1">
      <w:pPr>
        <w:ind w:left="360"/>
        <w:rPr>
          <w:sz w:val="22"/>
          <w:szCs w:val="22"/>
          <w:lang w:val="en-US"/>
        </w:rPr>
      </w:pPr>
      <w:r w:rsidRPr="00EB4DA5">
        <w:rPr>
          <w:sz w:val="22"/>
          <w:szCs w:val="22"/>
          <w:lang w:val="en-US"/>
        </w:rPr>
        <w:t xml:space="preserve">Richards, P (2019). </w:t>
      </w:r>
      <w:r w:rsidRPr="00EB4DA5">
        <w:rPr>
          <w:i/>
          <w:iCs/>
          <w:sz w:val="22"/>
          <w:szCs w:val="22"/>
          <w:lang w:val="en-US"/>
        </w:rPr>
        <w:t xml:space="preserve">Law of Contract. </w:t>
      </w:r>
      <w:r w:rsidRPr="00EB4DA5">
        <w:rPr>
          <w:sz w:val="22"/>
          <w:szCs w:val="22"/>
          <w:lang w:val="en-US"/>
        </w:rPr>
        <w:t>Fourteenth Edition. Pearson. Publisher: Harlow England</w:t>
      </w:r>
    </w:p>
    <w:p w14:paraId="26064F80" w14:textId="77777777" w:rsidR="00B263C8" w:rsidRPr="00EB4DA5" w:rsidRDefault="00B263C8" w:rsidP="007302E1">
      <w:pPr>
        <w:ind w:left="360"/>
        <w:rPr>
          <w:rFonts w:eastAsia="Times New Roman" w:cs="Times New Roman"/>
          <w:sz w:val="22"/>
          <w:szCs w:val="22"/>
          <w:lang w:eastAsia="en-GB"/>
        </w:rPr>
      </w:pPr>
      <w:r w:rsidRPr="00EB4DA5">
        <w:rPr>
          <w:rFonts w:eastAsia="Times New Roman" w:cs="Times New Roman"/>
          <w:sz w:val="22"/>
          <w:szCs w:val="22"/>
          <w:lang w:eastAsia="en-GB"/>
        </w:rPr>
        <w:t xml:space="preserve">Taylor, D and Taylor R. (2021) </w:t>
      </w:r>
      <w:r w:rsidRPr="00EB4DA5">
        <w:rPr>
          <w:rFonts w:eastAsia="Times New Roman" w:cs="Times New Roman"/>
          <w:i/>
          <w:iCs/>
          <w:sz w:val="22"/>
          <w:szCs w:val="22"/>
          <w:lang w:eastAsia="en-GB"/>
        </w:rPr>
        <w:t xml:space="preserve">Contract Law. </w:t>
      </w:r>
      <w:r w:rsidRPr="00EB4DA5">
        <w:rPr>
          <w:rFonts w:eastAsia="Times New Roman" w:cs="Times New Roman"/>
          <w:sz w:val="22"/>
          <w:szCs w:val="22"/>
          <w:lang w:eastAsia="en-GB"/>
        </w:rPr>
        <w:t>Published: Oxford University Press. 8</w:t>
      </w:r>
      <w:r w:rsidRPr="00EB4DA5">
        <w:rPr>
          <w:rFonts w:eastAsia="Times New Roman" w:cs="Times New Roman"/>
          <w:sz w:val="22"/>
          <w:szCs w:val="22"/>
          <w:vertAlign w:val="superscript"/>
          <w:lang w:eastAsia="en-GB"/>
        </w:rPr>
        <w:t>th</w:t>
      </w:r>
      <w:r w:rsidRPr="00EB4DA5">
        <w:rPr>
          <w:rFonts w:eastAsia="Times New Roman" w:cs="Times New Roman"/>
          <w:sz w:val="22"/>
          <w:szCs w:val="22"/>
          <w:lang w:eastAsia="en-GB"/>
        </w:rPr>
        <w:t xml:space="preserve"> Edition</w:t>
      </w:r>
    </w:p>
    <w:sectPr w:rsidR="00B263C8" w:rsidRPr="00EB4D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80239"/>
    <w:multiLevelType w:val="hybridMultilevel"/>
    <w:tmpl w:val="CA0E333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66C92"/>
    <w:multiLevelType w:val="hybridMultilevel"/>
    <w:tmpl w:val="E8CA20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A4C3652"/>
    <w:multiLevelType w:val="hybridMultilevel"/>
    <w:tmpl w:val="0FB61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2046AF"/>
    <w:multiLevelType w:val="hybridMultilevel"/>
    <w:tmpl w:val="A6823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EDC"/>
    <w:rsid w:val="00007E51"/>
    <w:rsid w:val="00022508"/>
    <w:rsid w:val="000A42F5"/>
    <w:rsid w:val="000C5942"/>
    <w:rsid w:val="000F2013"/>
    <w:rsid w:val="0010775C"/>
    <w:rsid w:val="00141D21"/>
    <w:rsid w:val="00182AA8"/>
    <w:rsid w:val="00182EDC"/>
    <w:rsid w:val="001F2E49"/>
    <w:rsid w:val="00203A3B"/>
    <w:rsid w:val="00240A60"/>
    <w:rsid w:val="00260446"/>
    <w:rsid w:val="00297EC7"/>
    <w:rsid w:val="002A5AD3"/>
    <w:rsid w:val="002E2DAF"/>
    <w:rsid w:val="002E33B7"/>
    <w:rsid w:val="00365FE2"/>
    <w:rsid w:val="00403A4B"/>
    <w:rsid w:val="0043110C"/>
    <w:rsid w:val="00457F84"/>
    <w:rsid w:val="004A2937"/>
    <w:rsid w:val="004B31DC"/>
    <w:rsid w:val="004E0442"/>
    <w:rsid w:val="005121B6"/>
    <w:rsid w:val="005213DB"/>
    <w:rsid w:val="005539B2"/>
    <w:rsid w:val="00582B9E"/>
    <w:rsid w:val="005922AB"/>
    <w:rsid w:val="005933B2"/>
    <w:rsid w:val="0065554E"/>
    <w:rsid w:val="00694E0F"/>
    <w:rsid w:val="006C52C9"/>
    <w:rsid w:val="006D0FF4"/>
    <w:rsid w:val="006E3CAC"/>
    <w:rsid w:val="006F2137"/>
    <w:rsid w:val="007030B6"/>
    <w:rsid w:val="007275E7"/>
    <w:rsid w:val="007302E1"/>
    <w:rsid w:val="00745A6B"/>
    <w:rsid w:val="0074646C"/>
    <w:rsid w:val="007D3189"/>
    <w:rsid w:val="007F0303"/>
    <w:rsid w:val="00821531"/>
    <w:rsid w:val="00871802"/>
    <w:rsid w:val="008E094E"/>
    <w:rsid w:val="00922532"/>
    <w:rsid w:val="00932E66"/>
    <w:rsid w:val="00947808"/>
    <w:rsid w:val="00967EDD"/>
    <w:rsid w:val="00991CB2"/>
    <w:rsid w:val="009A0F9B"/>
    <w:rsid w:val="00B02192"/>
    <w:rsid w:val="00B1760A"/>
    <w:rsid w:val="00B24649"/>
    <w:rsid w:val="00B263C8"/>
    <w:rsid w:val="00B43089"/>
    <w:rsid w:val="00B55EE5"/>
    <w:rsid w:val="00B73F9B"/>
    <w:rsid w:val="00B8070B"/>
    <w:rsid w:val="00BE6E90"/>
    <w:rsid w:val="00C710BA"/>
    <w:rsid w:val="00C71E58"/>
    <w:rsid w:val="00CA652D"/>
    <w:rsid w:val="00CC6E19"/>
    <w:rsid w:val="00CD338A"/>
    <w:rsid w:val="00D24EE8"/>
    <w:rsid w:val="00D57806"/>
    <w:rsid w:val="00D7274F"/>
    <w:rsid w:val="00DA1D85"/>
    <w:rsid w:val="00DD2E1B"/>
    <w:rsid w:val="00DF2D71"/>
    <w:rsid w:val="00E02042"/>
    <w:rsid w:val="00E62667"/>
    <w:rsid w:val="00E64FCB"/>
    <w:rsid w:val="00E91457"/>
    <w:rsid w:val="00E9705B"/>
    <w:rsid w:val="00EA20B0"/>
    <w:rsid w:val="00EA4F68"/>
    <w:rsid w:val="00EB4DA5"/>
    <w:rsid w:val="00ED76A1"/>
    <w:rsid w:val="00EE4FD1"/>
    <w:rsid w:val="00F11B87"/>
    <w:rsid w:val="00F14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D7A141"/>
  <w15:chartTrackingRefBased/>
  <w15:docId w15:val="{5B993919-65F7-CC4D-8C7E-EB274045E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070B"/>
    <w:rPr>
      <w:color w:val="0563C1" w:themeColor="hyperlink"/>
      <w:u w:val="single"/>
    </w:rPr>
  </w:style>
  <w:style w:type="character" w:styleId="UnresolvedMention">
    <w:name w:val="Unresolved Mention"/>
    <w:basedOn w:val="DefaultParagraphFont"/>
    <w:uiPriority w:val="99"/>
    <w:semiHidden/>
    <w:unhideWhenUsed/>
    <w:rsid w:val="00B8070B"/>
    <w:rPr>
      <w:color w:val="605E5C"/>
      <w:shd w:val="clear" w:color="auto" w:fill="E1DFDD"/>
    </w:rPr>
  </w:style>
  <w:style w:type="paragraph" w:styleId="ListParagraph">
    <w:name w:val="List Paragraph"/>
    <w:basedOn w:val="Normal"/>
    <w:uiPriority w:val="34"/>
    <w:qFormat/>
    <w:rsid w:val="005933B2"/>
    <w:pPr>
      <w:ind w:left="720"/>
      <w:contextualSpacing/>
    </w:pPr>
  </w:style>
  <w:style w:type="character" w:customStyle="1" w:styleId="apple-converted-space">
    <w:name w:val="apple-converted-space"/>
    <w:basedOn w:val="DefaultParagraphFont"/>
    <w:rsid w:val="004E0442"/>
  </w:style>
  <w:style w:type="paragraph" w:styleId="NormalWeb">
    <w:name w:val="Normal (Web)"/>
    <w:basedOn w:val="Normal"/>
    <w:uiPriority w:val="99"/>
    <w:semiHidden/>
    <w:unhideWhenUsed/>
    <w:rsid w:val="004B31DC"/>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922532"/>
    <w:rPr>
      <w:color w:val="954F72" w:themeColor="followedHyperlink"/>
      <w:u w:val="single"/>
    </w:rPr>
  </w:style>
  <w:style w:type="paragraph" w:styleId="Revision">
    <w:name w:val="Revision"/>
    <w:hidden/>
    <w:uiPriority w:val="99"/>
    <w:semiHidden/>
    <w:rsid w:val="00592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167506">
      <w:bodyDiv w:val="1"/>
      <w:marLeft w:val="0"/>
      <w:marRight w:val="0"/>
      <w:marTop w:val="0"/>
      <w:marBottom w:val="0"/>
      <w:divBdr>
        <w:top w:val="none" w:sz="0" w:space="0" w:color="auto"/>
        <w:left w:val="none" w:sz="0" w:space="0" w:color="auto"/>
        <w:bottom w:val="none" w:sz="0" w:space="0" w:color="auto"/>
        <w:right w:val="none" w:sz="0" w:space="0" w:color="auto"/>
      </w:divBdr>
    </w:div>
    <w:div w:id="253780601">
      <w:bodyDiv w:val="1"/>
      <w:marLeft w:val="0"/>
      <w:marRight w:val="0"/>
      <w:marTop w:val="0"/>
      <w:marBottom w:val="0"/>
      <w:divBdr>
        <w:top w:val="none" w:sz="0" w:space="0" w:color="auto"/>
        <w:left w:val="none" w:sz="0" w:space="0" w:color="auto"/>
        <w:bottom w:val="none" w:sz="0" w:space="0" w:color="auto"/>
        <w:right w:val="none" w:sz="0" w:space="0" w:color="auto"/>
      </w:divBdr>
    </w:div>
    <w:div w:id="1115715649">
      <w:bodyDiv w:val="1"/>
      <w:marLeft w:val="0"/>
      <w:marRight w:val="0"/>
      <w:marTop w:val="0"/>
      <w:marBottom w:val="0"/>
      <w:divBdr>
        <w:top w:val="none" w:sz="0" w:space="0" w:color="auto"/>
        <w:left w:val="none" w:sz="0" w:space="0" w:color="auto"/>
        <w:bottom w:val="none" w:sz="0" w:space="0" w:color="auto"/>
        <w:right w:val="none" w:sz="0" w:space="0" w:color="auto"/>
      </w:divBdr>
    </w:div>
    <w:div w:id="1985810528">
      <w:bodyDiv w:val="1"/>
      <w:marLeft w:val="0"/>
      <w:marRight w:val="0"/>
      <w:marTop w:val="0"/>
      <w:marBottom w:val="0"/>
      <w:divBdr>
        <w:top w:val="none" w:sz="0" w:space="0" w:color="auto"/>
        <w:left w:val="none" w:sz="0" w:space="0" w:color="auto"/>
        <w:bottom w:val="none" w:sz="0" w:space="0" w:color="auto"/>
        <w:right w:val="none" w:sz="0" w:space="0" w:color="auto"/>
      </w:divBdr>
    </w:div>
    <w:div w:id="2039701919">
      <w:bodyDiv w:val="1"/>
      <w:marLeft w:val="0"/>
      <w:marRight w:val="0"/>
      <w:marTop w:val="0"/>
      <w:marBottom w:val="0"/>
      <w:divBdr>
        <w:top w:val="none" w:sz="0" w:space="0" w:color="auto"/>
        <w:left w:val="none" w:sz="0" w:space="0" w:color="auto"/>
        <w:bottom w:val="none" w:sz="0" w:space="0" w:color="auto"/>
        <w:right w:val="none" w:sz="0" w:space="0" w:color="auto"/>
      </w:divBdr>
    </w:div>
    <w:div w:id="213124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bridge-org.ezproxy.uwtsd.ac.uk/core/services/aop-cambridge-core/content/view/DB3B517C1A5BF54E97635615E5B66109/S0008197300006024a.pdf/contractentire-contractdoctrine-of-substantial-performan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wcom.gov.uk/app/uploads/2017/02/lc242_privity-of-contract-contracts-for-the-benefit-of-third-parties.pdf" TargetMode="External"/><Relationship Id="rId5" Type="http://schemas.openxmlformats.org/officeDocument/2006/relationships/hyperlink" Target="https://www-cambridge-org.ezproxy.uwtsd.ac.uk/core/services/aop-cambridge-core/content/view/4695F5F984C7C100B65AB805610D4312/S0008197301000150a.pdf/strangers-to-justice-no-longer-the-reversal-of-the-privity-rule-under-the-contracts-rights-of-third-parties-act-1999.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515</TotalTime>
  <Pages>4</Pages>
  <Words>1713</Words>
  <Characters>12804</Characters>
  <Application>Microsoft Office Word</Application>
  <DocSecurity>0</DocSecurity>
  <Lines>251</Lines>
  <Paragraphs>70</Paragraphs>
  <ScaleCrop>false</ScaleCrop>
  <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85</cp:revision>
  <dcterms:created xsi:type="dcterms:W3CDTF">2022-01-27T21:06:00Z</dcterms:created>
  <dcterms:modified xsi:type="dcterms:W3CDTF">2022-02-24T18:28:00Z</dcterms:modified>
</cp:coreProperties>
</file>