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73206A" w14:textId="3371275D" w:rsidR="00E72A7B" w:rsidRDefault="7648E676" w:rsidP="7C6CE50D">
      <w:pPr>
        <w:spacing w:after="0" w:line="360" w:lineRule="auto"/>
        <w:jc w:val="both"/>
        <w:rPr>
          <w:rFonts w:ascii="Aptos" w:eastAsia="Aptos" w:hAnsi="Aptos" w:cs="Aptos"/>
          <w:color w:val="000000" w:themeColor="text1"/>
        </w:rPr>
      </w:pPr>
      <w:r>
        <w:rPr>
          <w:noProof/>
        </w:rPr>
        <w:drawing>
          <wp:inline distT="0" distB="0" distL="0" distR="0" wp14:anchorId="163B2AF7" wp14:editId="0EC48C42">
            <wp:extent cx="2552700" cy="1123950"/>
            <wp:effectExtent l="0" t="0" r="0" b="0"/>
            <wp:docPr id="2376595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659598" name="Picture 237659598"/>
                    <pic:cNvPicPr/>
                  </pic:nvPicPr>
                  <pic:blipFill>
                    <a:blip r:embed="rId7">
                      <a:extLst>
                        <a:ext uri="{28A0092B-C50C-407E-A947-70E740481C1C}">
                          <a14:useLocalDpi xmlns:a14="http://schemas.microsoft.com/office/drawing/2010/main"/>
                        </a:ext>
                      </a:extLst>
                    </a:blip>
                    <a:stretch>
                      <a:fillRect/>
                    </a:stretch>
                  </pic:blipFill>
                  <pic:spPr>
                    <a:xfrm>
                      <a:off x="0" y="0"/>
                      <a:ext cx="2552700" cy="1123950"/>
                    </a:xfrm>
                    <a:prstGeom prst="rect">
                      <a:avLst/>
                    </a:prstGeom>
                  </pic:spPr>
                </pic:pic>
              </a:graphicData>
            </a:graphic>
          </wp:inline>
        </w:drawing>
      </w:r>
    </w:p>
    <w:p w14:paraId="0CDBA461" w14:textId="2559EF19" w:rsidR="00E72A7B" w:rsidRDefault="7648E676" w:rsidP="7C6CE50D">
      <w:pPr>
        <w:spacing w:after="0" w:line="360" w:lineRule="auto"/>
        <w:jc w:val="both"/>
        <w:rPr>
          <w:rFonts w:ascii="Segoe UI" w:eastAsia="Segoe UI" w:hAnsi="Segoe UI" w:cs="Segoe UI"/>
          <w:color w:val="000000" w:themeColor="text1"/>
          <w:sz w:val="20"/>
          <w:szCs w:val="20"/>
        </w:rPr>
      </w:pPr>
      <w:r w:rsidRPr="7C6CE50D">
        <w:rPr>
          <w:rFonts w:ascii="Segoe UI" w:eastAsia="Segoe UI" w:hAnsi="Segoe UI" w:cs="Segoe UI"/>
          <w:color w:val="000000" w:themeColor="text1"/>
          <w:sz w:val="20"/>
          <w:szCs w:val="20"/>
        </w:rPr>
        <w:t xml:space="preserve"> </w:t>
      </w:r>
    </w:p>
    <w:p w14:paraId="23DD855F" w14:textId="012C6AF2" w:rsidR="00E72A7B" w:rsidRDefault="7648E676" w:rsidP="7C6CE50D">
      <w:pPr>
        <w:spacing w:after="0" w:line="360" w:lineRule="auto"/>
        <w:jc w:val="both"/>
        <w:rPr>
          <w:rFonts w:ascii="Segoe UI" w:eastAsia="Segoe UI" w:hAnsi="Segoe UI" w:cs="Segoe UI"/>
          <w:color w:val="000000" w:themeColor="text1"/>
          <w:sz w:val="20"/>
          <w:szCs w:val="20"/>
        </w:rPr>
      </w:pPr>
      <w:r w:rsidRPr="7C6CE50D">
        <w:rPr>
          <w:rFonts w:ascii="Segoe UI" w:eastAsia="Segoe UI" w:hAnsi="Segoe UI" w:cs="Segoe UI"/>
          <w:color w:val="000000" w:themeColor="text1"/>
          <w:sz w:val="20"/>
          <w:szCs w:val="20"/>
        </w:rPr>
        <w:t xml:space="preserve"> </w:t>
      </w:r>
    </w:p>
    <w:p w14:paraId="382A02CB" w14:textId="2BC5D429" w:rsidR="00E72A7B" w:rsidRDefault="7648E676" w:rsidP="7C6CE50D">
      <w:pPr>
        <w:spacing w:after="0" w:line="360" w:lineRule="auto"/>
        <w:jc w:val="both"/>
        <w:rPr>
          <w:rFonts w:ascii="Segoe UI" w:eastAsia="Segoe UI" w:hAnsi="Segoe UI" w:cs="Segoe UI"/>
          <w:color w:val="000000" w:themeColor="text1"/>
          <w:sz w:val="20"/>
          <w:szCs w:val="20"/>
        </w:rPr>
      </w:pPr>
      <w:r w:rsidRPr="7C6CE50D">
        <w:rPr>
          <w:rFonts w:ascii="Segoe UI" w:eastAsia="Segoe UI" w:hAnsi="Segoe UI" w:cs="Segoe UI"/>
          <w:color w:val="000000" w:themeColor="text1"/>
          <w:sz w:val="20"/>
          <w:szCs w:val="20"/>
        </w:rPr>
        <w:t xml:space="preserve"> </w:t>
      </w:r>
    </w:p>
    <w:p w14:paraId="51C5DA9C" w14:textId="6A20F5D9" w:rsidR="00E72A7B" w:rsidRDefault="7648E676" w:rsidP="7C6CE50D">
      <w:pPr>
        <w:spacing w:after="0" w:line="360" w:lineRule="auto"/>
        <w:jc w:val="both"/>
        <w:rPr>
          <w:rFonts w:ascii="Segoe UI" w:eastAsia="Segoe UI" w:hAnsi="Segoe UI" w:cs="Segoe UI"/>
          <w:color w:val="000000" w:themeColor="text1"/>
          <w:sz w:val="20"/>
          <w:szCs w:val="20"/>
        </w:rPr>
      </w:pPr>
      <w:r w:rsidRPr="7C6CE50D">
        <w:rPr>
          <w:rFonts w:ascii="Segoe UI" w:eastAsia="Segoe UI" w:hAnsi="Segoe UI" w:cs="Segoe UI"/>
          <w:color w:val="000000" w:themeColor="text1"/>
          <w:sz w:val="20"/>
          <w:szCs w:val="20"/>
        </w:rPr>
        <w:t xml:space="preserve"> </w:t>
      </w:r>
    </w:p>
    <w:p w14:paraId="45BEB625" w14:textId="11D7DAD8" w:rsidR="00E72A7B" w:rsidRDefault="7648E676" w:rsidP="7C6CE50D">
      <w:pPr>
        <w:spacing w:after="0" w:line="360" w:lineRule="auto"/>
        <w:jc w:val="both"/>
        <w:rPr>
          <w:rFonts w:ascii="Segoe UI" w:eastAsia="Segoe UI" w:hAnsi="Segoe UI" w:cs="Segoe UI"/>
          <w:color w:val="000000" w:themeColor="text1"/>
          <w:sz w:val="20"/>
          <w:szCs w:val="20"/>
        </w:rPr>
      </w:pPr>
      <w:r w:rsidRPr="7C6CE50D">
        <w:rPr>
          <w:rFonts w:ascii="Segoe UI" w:eastAsia="Segoe UI" w:hAnsi="Segoe UI" w:cs="Segoe UI"/>
          <w:color w:val="000000" w:themeColor="text1"/>
          <w:sz w:val="20"/>
          <w:szCs w:val="20"/>
        </w:rPr>
        <w:t xml:space="preserve"> </w:t>
      </w:r>
    </w:p>
    <w:p w14:paraId="387E590A" w14:textId="51B78FA3"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Name: Sansha Nastasia Gordon </w:t>
      </w:r>
    </w:p>
    <w:p w14:paraId="20A8AF09" w14:textId="0B211FF8"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Student ID: 2508270</w:t>
      </w:r>
    </w:p>
    <w:p w14:paraId="0F316D7D" w14:textId="00146CEA"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Module Code: LCHS400</w:t>
      </w:r>
      <w:r w:rsidR="35636B0D" w:rsidRPr="7C6CE50D">
        <w:rPr>
          <w:rFonts w:ascii="Arial" w:eastAsia="Arial" w:hAnsi="Arial" w:cs="Arial"/>
          <w:color w:val="000000" w:themeColor="text1"/>
          <w:sz w:val="28"/>
          <w:szCs w:val="28"/>
        </w:rPr>
        <w:t>3</w:t>
      </w:r>
    </w:p>
    <w:p w14:paraId="3BD7671D" w14:textId="6765D8F8"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Module: </w:t>
      </w:r>
      <w:r w:rsidR="255C2BC6" w:rsidRPr="7C6CE50D">
        <w:rPr>
          <w:rFonts w:ascii="Arial" w:eastAsia="Arial" w:hAnsi="Arial" w:cs="Arial"/>
          <w:color w:val="000000" w:themeColor="text1"/>
          <w:sz w:val="28"/>
          <w:szCs w:val="28"/>
        </w:rPr>
        <w:t>Introduction to Health and Social Care</w:t>
      </w:r>
    </w:p>
    <w:p w14:paraId="3A1C64A9" w14:textId="4D45B860"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Lecturer: </w:t>
      </w:r>
      <w:r w:rsidR="0C320FA4" w:rsidRPr="7C6CE50D">
        <w:rPr>
          <w:rFonts w:ascii="Arial" w:eastAsia="Arial" w:hAnsi="Arial" w:cs="Arial"/>
          <w:color w:val="000000" w:themeColor="text1"/>
          <w:sz w:val="28"/>
          <w:szCs w:val="28"/>
        </w:rPr>
        <w:t xml:space="preserve">Dr </w:t>
      </w:r>
      <w:r w:rsidR="51E05858" w:rsidRPr="7C6CE50D">
        <w:rPr>
          <w:rFonts w:ascii="Arial" w:eastAsia="Arial" w:hAnsi="Arial" w:cs="Arial"/>
          <w:color w:val="000000" w:themeColor="text1"/>
          <w:sz w:val="28"/>
          <w:szCs w:val="28"/>
        </w:rPr>
        <w:t>Ayazullah Safi</w:t>
      </w:r>
    </w:p>
    <w:p w14:paraId="4FD738BE" w14:textId="43CF1F26" w:rsidR="00E72A7B" w:rsidRDefault="5984AFD2"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Assignment title: P</w:t>
      </w:r>
      <w:r w:rsidR="2592E80B" w:rsidRPr="7C6CE50D">
        <w:rPr>
          <w:rFonts w:ascii="Arial" w:eastAsia="Arial" w:hAnsi="Arial" w:cs="Arial"/>
          <w:color w:val="000000" w:themeColor="text1"/>
          <w:sz w:val="28"/>
          <w:szCs w:val="28"/>
        </w:rPr>
        <w:t>ortfolio – Two Tasks</w:t>
      </w:r>
      <w:r w:rsidR="7648E676" w:rsidRPr="7C6CE50D">
        <w:rPr>
          <w:rFonts w:ascii="Arial" w:eastAsia="Arial" w:hAnsi="Arial" w:cs="Arial"/>
          <w:color w:val="000000" w:themeColor="text1"/>
          <w:sz w:val="28"/>
          <w:szCs w:val="28"/>
        </w:rPr>
        <w:t xml:space="preserve"> </w:t>
      </w:r>
    </w:p>
    <w:p w14:paraId="48A9A3B2" w14:textId="5B78E236"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0F317FFC" w14:textId="58C01887"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52D3B0A2" w14:textId="31A7015D"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17AE8F33" w14:textId="55018440"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272408B1" w14:textId="65748C44"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3249BB63" w14:textId="24731CC8" w:rsidR="00E72A7B" w:rsidRDefault="7648E676" w:rsidP="7C6CE50D">
      <w:pPr>
        <w:spacing w:after="0" w:line="360" w:lineRule="auto"/>
        <w:jc w:val="both"/>
        <w:rPr>
          <w:rFonts w:ascii="Arial" w:eastAsia="Arial" w:hAnsi="Arial" w:cs="Arial"/>
          <w:color w:val="000000" w:themeColor="text1"/>
          <w:sz w:val="28"/>
          <w:szCs w:val="28"/>
        </w:rPr>
      </w:pPr>
      <w:r w:rsidRPr="7C6CE50D">
        <w:rPr>
          <w:rFonts w:ascii="Arial" w:eastAsia="Arial" w:hAnsi="Arial" w:cs="Arial"/>
          <w:color w:val="000000" w:themeColor="text1"/>
          <w:sz w:val="28"/>
          <w:szCs w:val="28"/>
        </w:rPr>
        <w:t xml:space="preserve"> </w:t>
      </w:r>
    </w:p>
    <w:p w14:paraId="06584035" w14:textId="33851DAF" w:rsidR="00E72A7B" w:rsidRDefault="20FCC19A" w:rsidP="29F6E89A">
      <w:pPr>
        <w:spacing w:after="0" w:line="360" w:lineRule="auto"/>
        <w:jc w:val="both"/>
        <w:rPr>
          <w:rFonts w:ascii="Arial" w:eastAsia="Arial" w:hAnsi="Arial" w:cs="Arial"/>
          <w:color w:val="000000" w:themeColor="text1"/>
          <w:sz w:val="28"/>
          <w:szCs w:val="28"/>
        </w:rPr>
      </w:pPr>
      <w:r w:rsidRPr="29F6E89A">
        <w:rPr>
          <w:rFonts w:ascii="Arial" w:eastAsia="Arial" w:hAnsi="Arial" w:cs="Arial"/>
          <w:color w:val="000000" w:themeColor="text1"/>
          <w:sz w:val="28"/>
          <w:szCs w:val="28"/>
        </w:rPr>
        <w:t>Submitted on:   2</w:t>
      </w:r>
      <w:r w:rsidR="601124DB" w:rsidRPr="29F6E89A">
        <w:rPr>
          <w:rFonts w:ascii="Arial" w:eastAsia="Arial" w:hAnsi="Arial" w:cs="Arial"/>
          <w:color w:val="000000" w:themeColor="text1"/>
          <w:sz w:val="28"/>
          <w:szCs w:val="28"/>
        </w:rPr>
        <w:t>1</w:t>
      </w:r>
      <w:r w:rsidRPr="29F6E89A">
        <w:rPr>
          <w:rFonts w:ascii="Arial" w:eastAsia="Arial" w:hAnsi="Arial" w:cs="Arial"/>
          <w:color w:val="000000" w:themeColor="text1"/>
          <w:sz w:val="28"/>
          <w:szCs w:val="28"/>
        </w:rPr>
        <w:t xml:space="preserve"> February 2025</w:t>
      </w:r>
    </w:p>
    <w:p w14:paraId="76F7DE70" w14:textId="34090B6A" w:rsidR="00E72A7B" w:rsidRDefault="00E72A7B" w:rsidP="7C6CE50D">
      <w:pPr>
        <w:spacing w:after="0" w:line="360" w:lineRule="auto"/>
        <w:jc w:val="both"/>
        <w:rPr>
          <w:rFonts w:ascii="Arial" w:eastAsia="Arial" w:hAnsi="Arial" w:cs="Arial"/>
          <w:color w:val="000000" w:themeColor="text1"/>
          <w:sz w:val="28"/>
          <w:szCs w:val="28"/>
        </w:rPr>
      </w:pPr>
    </w:p>
    <w:p w14:paraId="5E5787A5" w14:textId="6CA84D36" w:rsidR="00E72A7B" w:rsidRDefault="00E72A7B"/>
    <w:p w14:paraId="18A531FE" w14:textId="518A8123" w:rsidR="7C6CE50D" w:rsidRDefault="7C6CE50D"/>
    <w:p w14:paraId="01874361" w14:textId="493428B2" w:rsidR="7C6CE50D" w:rsidRDefault="7C6CE50D"/>
    <w:p w14:paraId="410B4104" w14:textId="5CE565B8" w:rsidR="7C6CE50D" w:rsidRDefault="7C6CE50D"/>
    <w:p w14:paraId="23FF7031" w14:textId="0678D686" w:rsidR="7C6CE50D" w:rsidRDefault="7C6CE50D"/>
    <w:p w14:paraId="601124C0" w14:textId="4079A4F7" w:rsidR="219A8433" w:rsidRDefault="219A8433" w:rsidP="219A8433">
      <w:pPr>
        <w:rPr>
          <w:rFonts w:ascii="Arial" w:eastAsia="Arial" w:hAnsi="Arial" w:cs="Arial"/>
          <w:b/>
          <w:bCs/>
          <w:color w:val="000000" w:themeColor="text1"/>
          <w:sz w:val="28"/>
          <w:szCs w:val="28"/>
          <w:lang w:val="en-US"/>
        </w:rPr>
      </w:pPr>
    </w:p>
    <w:p w14:paraId="20C90B6A" w14:textId="667D7FBC" w:rsidR="219A8433" w:rsidRDefault="219A8433" w:rsidP="5347E84F"/>
    <w:p w14:paraId="1E43AD52" w14:textId="2C6065D3" w:rsidR="219A8433" w:rsidRDefault="4D1BEA46" w:rsidP="5347E84F">
      <w:pPr>
        <w:spacing w:line="360" w:lineRule="auto"/>
        <w:jc w:val="center"/>
        <w:rPr>
          <w:rFonts w:ascii="Arial" w:eastAsia="Arial" w:hAnsi="Arial" w:cs="Arial"/>
          <w:b/>
          <w:bCs/>
          <w:sz w:val="22"/>
          <w:szCs w:val="22"/>
        </w:rPr>
      </w:pPr>
      <w:r w:rsidRPr="5347E84F">
        <w:rPr>
          <w:rFonts w:ascii="Arial" w:eastAsia="Arial" w:hAnsi="Arial" w:cs="Arial"/>
          <w:b/>
          <w:bCs/>
          <w:sz w:val="22"/>
          <w:szCs w:val="22"/>
        </w:rPr>
        <w:t>Table of Contents</w:t>
      </w:r>
    </w:p>
    <w:p w14:paraId="29A9D62E" w14:textId="3455D938" w:rsidR="5347E84F" w:rsidRDefault="5347E84F" w:rsidP="5347E84F">
      <w:pPr>
        <w:spacing w:line="360" w:lineRule="auto"/>
        <w:rPr>
          <w:rFonts w:ascii="Arial" w:eastAsia="Arial" w:hAnsi="Arial" w:cs="Arial"/>
          <w:b/>
          <w:bCs/>
          <w:sz w:val="22"/>
          <w:szCs w:val="22"/>
        </w:rPr>
      </w:pPr>
      <w:r w:rsidRPr="5347E84F">
        <w:rPr>
          <w:rFonts w:ascii="Arial" w:eastAsia="Arial" w:hAnsi="Arial" w:cs="Arial"/>
          <w:b/>
          <w:bCs/>
          <w:sz w:val="22"/>
          <w:szCs w:val="22"/>
        </w:rPr>
        <w:t xml:space="preserve">1. </w:t>
      </w:r>
      <w:r w:rsidR="4384759F" w:rsidRPr="5347E84F">
        <w:rPr>
          <w:rFonts w:ascii="Arial" w:eastAsia="Arial" w:hAnsi="Arial" w:cs="Arial"/>
          <w:b/>
          <w:bCs/>
          <w:sz w:val="22"/>
          <w:szCs w:val="22"/>
        </w:rPr>
        <w:t xml:space="preserve">Task 1: </w:t>
      </w:r>
      <w:r w:rsidR="4D1BEA46" w:rsidRPr="5347E84F">
        <w:rPr>
          <w:rFonts w:ascii="Arial" w:eastAsia="Arial" w:hAnsi="Arial" w:cs="Arial"/>
          <w:b/>
          <w:bCs/>
          <w:sz w:val="22"/>
          <w:szCs w:val="22"/>
        </w:rPr>
        <w:t>Residential care home</w:t>
      </w:r>
      <w:r w:rsidR="21F855F9" w:rsidRPr="5347E84F">
        <w:rPr>
          <w:rFonts w:ascii="Arial" w:eastAsia="Arial" w:hAnsi="Arial" w:cs="Arial"/>
          <w:b/>
          <w:bCs/>
          <w:sz w:val="22"/>
          <w:szCs w:val="22"/>
        </w:rPr>
        <w:t>.............................................</w:t>
      </w:r>
      <w:r w:rsidR="10178222" w:rsidRPr="5347E84F">
        <w:rPr>
          <w:rFonts w:ascii="Arial" w:eastAsia="Arial" w:hAnsi="Arial" w:cs="Arial"/>
          <w:b/>
          <w:bCs/>
          <w:sz w:val="22"/>
          <w:szCs w:val="22"/>
        </w:rPr>
        <w:t>3</w:t>
      </w:r>
    </w:p>
    <w:p w14:paraId="43722C2A" w14:textId="7F9DF501" w:rsidR="349D1160" w:rsidRDefault="349D1160" w:rsidP="5347E84F">
      <w:pPr>
        <w:spacing w:line="360" w:lineRule="auto"/>
        <w:rPr>
          <w:rFonts w:ascii="Arial" w:eastAsia="Arial" w:hAnsi="Arial" w:cs="Arial"/>
          <w:b/>
          <w:bCs/>
          <w:sz w:val="22"/>
          <w:szCs w:val="22"/>
        </w:rPr>
      </w:pPr>
      <w:r w:rsidRPr="5347E84F">
        <w:rPr>
          <w:rFonts w:ascii="Arial" w:eastAsia="Arial" w:hAnsi="Arial" w:cs="Arial"/>
          <w:b/>
          <w:bCs/>
          <w:sz w:val="22"/>
          <w:szCs w:val="22"/>
        </w:rPr>
        <w:t xml:space="preserve">1.1 - </w:t>
      </w:r>
      <w:r w:rsidR="4D1BEA46" w:rsidRPr="5347E84F">
        <w:rPr>
          <w:rFonts w:ascii="Arial" w:eastAsia="Arial" w:hAnsi="Arial" w:cs="Arial"/>
          <w:b/>
          <w:bCs/>
          <w:sz w:val="22"/>
          <w:szCs w:val="22"/>
        </w:rPr>
        <w:t>What is a residential care home</w:t>
      </w:r>
      <w:r w:rsidR="2B2F38E9" w:rsidRPr="5347E84F">
        <w:rPr>
          <w:rFonts w:ascii="Arial" w:eastAsia="Arial" w:hAnsi="Arial" w:cs="Arial"/>
          <w:b/>
          <w:bCs/>
          <w:sz w:val="22"/>
          <w:szCs w:val="22"/>
        </w:rPr>
        <w:t>.......................................</w:t>
      </w:r>
      <w:r w:rsidR="51C35EC6" w:rsidRPr="5347E84F">
        <w:rPr>
          <w:rFonts w:ascii="Arial" w:eastAsia="Arial" w:hAnsi="Arial" w:cs="Arial"/>
          <w:b/>
          <w:bCs/>
          <w:sz w:val="22"/>
          <w:szCs w:val="22"/>
        </w:rPr>
        <w:t>3</w:t>
      </w:r>
    </w:p>
    <w:p w14:paraId="562CCFB9" w14:textId="32FD5473" w:rsidR="75AB54C4" w:rsidRDefault="75AB54C4" w:rsidP="5347E84F">
      <w:pPr>
        <w:spacing w:before="240" w:after="240" w:line="360" w:lineRule="auto"/>
        <w:rPr>
          <w:rFonts w:ascii="Arial" w:eastAsia="Arial" w:hAnsi="Arial" w:cs="Arial"/>
          <w:b/>
          <w:bCs/>
          <w:sz w:val="22"/>
          <w:szCs w:val="22"/>
        </w:rPr>
      </w:pPr>
      <w:r w:rsidRPr="7BC99572">
        <w:rPr>
          <w:rFonts w:ascii="Arial" w:eastAsia="Arial" w:hAnsi="Arial" w:cs="Arial"/>
          <w:b/>
          <w:bCs/>
          <w:sz w:val="22"/>
          <w:szCs w:val="22"/>
        </w:rPr>
        <w:t xml:space="preserve">1.2 - </w:t>
      </w:r>
      <w:r w:rsidR="4D1BEA46" w:rsidRPr="7BC99572">
        <w:rPr>
          <w:rFonts w:ascii="Arial" w:eastAsia="Arial" w:hAnsi="Arial" w:cs="Arial"/>
          <w:b/>
          <w:bCs/>
          <w:sz w:val="22"/>
          <w:szCs w:val="22"/>
        </w:rPr>
        <w:t>The history of residential care homes</w:t>
      </w:r>
      <w:r w:rsidR="6617B781" w:rsidRPr="7BC99572">
        <w:rPr>
          <w:rFonts w:ascii="Arial" w:eastAsia="Arial" w:hAnsi="Arial" w:cs="Arial"/>
          <w:b/>
          <w:bCs/>
          <w:sz w:val="22"/>
          <w:szCs w:val="22"/>
        </w:rPr>
        <w:t>.............................</w:t>
      </w:r>
      <w:r w:rsidR="1BF4A62B" w:rsidRPr="7BC99572">
        <w:rPr>
          <w:rFonts w:ascii="Arial" w:eastAsia="Arial" w:hAnsi="Arial" w:cs="Arial"/>
          <w:b/>
          <w:bCs/>
          <w:sz w:val="22"/>
          <w:szCs w:val="22"/>
        </w:rPr>
        <w:t>3</w:t>
      </w:r>
    </w:p>
    <w:p w14:paraId="49FC8F27" w14:textId="2495F606" w:rsidR="49A9DE23" w:rsidRDefault="49A9DE23" w:rsidP="5347E84F">
      <w:pPr>
        <w:spacing w:before="240" w:after="240" w:line="360" w:lineRule="auto"/>
        <w:rPr>
          <w:rFonts w:ascii="Arial" w:eastAsia="Arial" w:hAnsi="Arial" w:cs="Arial"/>
          <w:b/>
          <w:bCs/>
          <w:sz w:val="22"/>
          <w:szCs w:val="22"/>
        </w:rPr>
      </w:pPr>
      <w:r w:rsidRPr="7BC99572">
        <w:rPr>
          <w:rFonts w:ascii="Arial" w:eastAsia="Arial" w:hAnsi="Arial" w:cs="Arial"/>
          <w:b/>
          <w:bCs/>
          <w:sz w:val="22"/>
          <w:szCs w:val="22"/>
        </w:rPr>
        <w:t xml:space="preserve">1.3 - </w:t>
      </w:r>
      <w:r w:rsidR="4D1BEA46" w:rsidRPr="7BC99572">
        <w:rPr>
          <w:rFonts w:ascii="Arial" w:eastAsia="Arial" w:hAnsi="Arial" w:cs="Arial"/>
          <w:b/>
          <w:bCs/>
          <w:sz w:val="22"/>
          <w:szCs w:val="22"/>
        </w:rPr>
        <w:t>What is the current functioning's of the service</w:t>
      </w:r>
      <w:r w:rsidR="401C46F9" w:rsidRPr="7BC99572">
        <w:rPr>
          <w:rFonts w:ascii="Arial" w:eastAsia="Arial" w:hAnsi="Arial" w:cs="Arial"/>
          <w:b/>
          <w:bCs/>
          <w:sz w:val="22"/>
          <w:szCs w:val="22"/>
        </w:rPr>
        <w:t>.............</w:t>
      </w:r>
      <w:r w:rsidR="2CE2A7B3" w:rsidRPr="7BC99572">
        <w:rPr>
          <w:rFonts w:ascii="Arial" w:eastAsia="Arial" w:hAnsi="Arial" w:cs="Arial"/>
          <w:b/>
          <w:bCs/>
          <w:sz w:val="22"/>
          <w:szCs w:val="22"/>
        </w:rPr>
        <w:t>4</w:t>
      </w:r>
    </w:p>
    <w:p w14:paraId="20390C65" w14:textId="1E553595" w:rsidR="58602410" w:rsidRDefault="58602410" w:rsidP="5347E84F">
      <w:pPr>
        <w:spacing w:line="360" w:lineRule="auto"/>
        <w:rPr>
          <w:rFonts w:ascii="Arial" w:eastAsia="Arial" w:hAnsi="Arial" w:cs="Arial"/>
          <w:b/>
          <w:bCs/>
          <w:sz w:val="22"/>
          <w:szCs w:val="22"/>
        </w:rPr>
      </w:pPr>
      <w:r w:rsidRPr="5347E84F">
        <w:rPr>
          <w:rFonts w:ascii="Arial" w:eastAsia="Arial" w:hAnsi="Arial" w:cs="Arial"/>
          <w:b/>
          <w:bCs/>
          <w:sz w:val="22"/>
          <w:szCs w:val="22"/>
        </w:rPr>
        <w:t xml:space="preserve">1.4 - </w:t>
      </w:r>
      <w:r w:rsidR="4D1BEA46" w:rsidRPr="5347E84F">
        <w:rPr>
          <w:rFonts w:ascii="Arial" w:eastAsia="Arial" w:hAnsi="Arial" w:cs="Arial"/>
          <w:b/>
          <w:bCs/>
          <w:sz w:val="22"/>
          <w:szCs w:val="22"/>
        </w:rPr>
        <w:t>Challenges of residential care homes</w:t>
      </w:r>
      <w:r w:rsidR="354AD623" w:rsidRPr="5347E84F">
        <w:rPr>
          <w:rFonts w:ascii="Arial" w:eastAsia="Arial" w:hAnsi="Arial" w:cs="Arial"/>
          <w:b/>
          <w:bCs/>
          <w:sz w:val="22"/>
          <w:szCs w:val="22"/>
        </w:rPr>
        <w:t>..............................</w:t>
      </w:r>
      <w:r w:rsidR="3A58A8D0" w:rsidRPr="5347E84F">
        <w:rPr>
          <w:rFonts w:ascii="Arial" w:eastAsia="Arial" w:hAnsi="Arial" w:cs="Arial"/>
          <w:b/>
          <w:bCs/>
          <w:sz w:val="22"/>
          <w:szCs w:val="22"/>
        </w:rPr>
        <w:t>5</w:t>
      </w:r>
    </w:p>
    <w:p w14:paraId="4CBEE7D5" w14:textId="282CCDFF" w:rsidR="567AEDDF" w:rsidRDefault="567AEDDF" w:rsidP="5347E84F">
      <w:pPr>
        <w:spacing w:line="360" w:lineRule="auto"/>
        <w:rPr>
          <w:rFonts w:ascii="Arial" w:eastAsia="Arial" w:hAnsi="Arial" w:cs="Arial"/>
          <w:b/>
          <w:bCs/>
          <w:sz w:val="22"/>
          <w:szCs w:val="22"/>
        </w:rPr>
      </w:pPr>
      <w:r w:rsidRPr="7BC99572">
        <w:rPr>
          <w:rFonts w:ascii="Arial" w:eastAsia="Arial" w:hAnsi="Arial" w:cs="Arial"/>
          <w:b/>
          <w:bCs/>
          <w:sz w:val="22"/>
          <w:szCs w:val="22"/>
        </w:rPr>
        <w:t xml:space="preserve">2. Taks 2: </w:t>
      </w:r>
      <w:r w:rsidR="50365704" w:rsidRPr="7BC99572">
        <w:rPr>
          <w:rFonts w:ascii="Arial" w:eastAsia="Arial" w:hAnsi="Arial" w:cs="Arial"/>
          <w:b/>
          <w:bCs/>
          <w:sz w:val="22"/>
          <w:szCs w:val="22"/>
        </w:rPr>
        <w:t>Community antenatal midwifery services</w:t>
      </w:r>
      <w:r w:rsidR="5B8066B2" w:rsidRPr="7BC99572">
        <w:rPr>
          <w:rFonts w:ascii="Arial" w:eastAsia="Arial" w:hAnsi="Arial" w:cs="Arial"/>
          <w:b/>
          <w:bCs/>
          <w:sz w:val="22"/>
          <w:szCs w:val="22"/>
        </w:rPr>
        <w:t>...............</w:t>
      </w:r>
      <w:r w:rsidR="2E1376F8" w:rsidRPr="7BC99572">
        <w:rPr>
          <w:rFonts w:ascii="Arial" w:eastAsia="Arial" w:hAnsi="Arial" w:cs="Arial"/>
          <w:b/>
          <w:bCs/>
          <w:sz w:val="22"/>
          <w:szCs w:val="22"/>
        </w:rPr>
        <w:t>7</w:t>
      </w:r>
    </w:p>
    <w:p w14:paraId="15C919B1" w14:textId="332AEB00" w:rsidR="5B8066B2" w:rsidRDefault="5B8066B2" w:rsidP="5347E84F">
      <w:pPr>
        <w:spacing w:line="360" w:lineRule="auto"/>
        <w:rPr>
          <w:rFonts w:ascii="Arial" w:eastAsia="Arial" w:hAnsi="Arial" w:cs="Arial"/>
          <w:b/>
          <w:bCs/>
          <w:sz w:val="22"/>
          <w:szCs w:val="22"/>
        </w:rPr>
      </w:pPr>
      <w:r w:rsidRPr="5347E84F">
        <w:rPr>
          <w:rFonts w:ascii="Arial" w:eastAsia="Arial" w:hAnsi="Arial" w:cs="Arial"/>
          <w:b/>
          <w:bCs/>
          <w:sz w:val="22"/>
          <w:szCs w:val="22"/>
        </w:rPr>
        <w:t>3</w:t>
      </w:r>
      <w:r w:rsidR="4B877699" w:rsidRPr="5347E84F">
        <w:rPr>
          <w:rFonts w:ascii="Arial" w:eastAsia="Arial" w:hAnsi="Arial" w:cs="Arial"/>
          <w:b/>
          <w:bCs/>
          <w:sz w:val="22"/>
          <w:szCs w:val="22"/>
        </w:rPr>
        <w:t>. Appendix 1. visual pos</w:t>
      </w:r>
      <w:r w:rsidR="1D0BFC76" w:rsidRPr="5347E84F">
        <w:rPr>
          <w:rFonts w:ascii="Arial" w:eastAsia="Arial" w:hAnsi="Arial" w:cs="Arial"/>
          <w:b/>
          <w:bCs/>
          <w:sz w:val="22"/>
          <w:szCs w:val="22"/>
        </w:rPr>
        <w:t>ter infographic..................................</w:t>
      </w:r>
      <w:r w:rsidR="24EF6784" w:rsidRPr="5347E84F">
        <w:rPr>
          <w:rFonts w:ascii="Arial" w:eastAsia="Arial" w:hAnsi="Arial" w:cs="Arial"/>
          <w:b/>
          <w:bCs/>
          <w:sz w:val="22"/>
          <w:szCs w:val="22"/>
        </w:rPr>
        <w:t>9</w:t>
      </w:r>
    </w:p>
    <w:p w14:paraId="39E6056B" w14:textId="469C8982" w:rsidR="5B8066B2" w:rsidRDefault="5B8066B2" w:rsidP="5347E84F">
      <w:pPr>
        <w:spacing w:line="360" w:lineRule="auto"/>
        <w:rPr>
          <w:rFonts w:ascii="Arial" w:eastAsia="Arial" w:hAnsi="Arial" w:cs="Arial"/>
          <w:b/>
          <w:bCs/>
          <w:sz w:val="22"/>
          <w:szCs w:val="22"/>
        </w:rPr>
      </w:pPr>
      <w:r w:rsidRPr="7BC99572">
        <w:rPr>
          <w:rFonts w:ascii="Arial" w:eastAsia="Arial" w:hAnsi="Arial" w:cs="Arial"/>
          <w:b/>
          <w:bCs/>
          <w:sz w:val="22"/>
          <w:szCs w:val="22"/>
        </w:rPr>
        <w:t>4</w:t>
      </w:r>
      <w:r w:rsidR="61C20F30" w:rsidRPr="7BC99572">
        <w:rPr>
          <w:rFonts w:ascii="Arial" w:eastAsia="Arial" w:hAnsi="Arial" w:cs="Arial"/>
          <w:b/>
          <w:bCs/>
          <w:sz w:val="22"/>
          <w:szCs w:val="22"/>
        </w:rPr>
        <w:t xml:space="preserve">. </w:t>
      </w:r>
      <w:r w:rsidR="50365704" w:rsidRPr="7BC99572">
        <w:rPr>
          <w:rFonts w:ascii="Arial" w:eastAsia="Arial" w:hAnsi="Arial" w:cs="Arial"/>
          <w:b/>
          <w:bCs/>
          <w:sz w:val="22"/>
          <w:szCs w:val="22"/>
        </w:rPr>
        <w:t>References</w:t>
      </w:r>
      <w:r w:rsidR="3669C259" w:rsidRPr="7BC99572">
        <w:rPr>
          <w:rFonts w:ascii="Arial" w:eastAsia="Arial" w:hAnsi="Arial" w:cs="Arial"/>
          <w:b/>
          <w:bCs/>
          <w:sz w:val="22"/>
          <w:szCs w:val="22"/>
        </w:rPr>
        <w:t>...............................................................................</w:t>
      </w:r>
      <w:r w:rsidR="4D5B3B32" w:rsidRPr="7BC99572">
        <w:rPr>
          <w:rFonts w:ascii="Arial" w:eastAsia="Arial" w:hAnsi="Arial" w:cs="Arial"/>
          <w:b/>
          <w:bCs/>
          <w:sz w:val="22"/>
          <w:szCs w:val="22"/>
        </w:rPr>
        <w:t>1</w:t>
      </w:r>
      <w:r w:rsidR="0A28CCA6" w:rsidRPr="7BC99572">
        <w:rPr>
          <w:rFonts w:ascii="Arial" w:eastAsia="Arial" w:hAnsi="Arial" w:cs="Arial"/>
          <w:b/>
          <w:bCs/>
          <w:sz w:val="22"/>
          <w:szCs w:val="22"/>
        </w:rPr>
        <w:t>0</w:t>
      </w:r>
    </w:p>
    <w:p w14:paraId="79AFED53" w14:textId="2E62D30C" w:rsidR="5347E84F" w:rsidRDefault="5347E84F" w:rsidP="5347E84F">
      <w:pPr>
        <w:spacing w:line="360" w:lineRule="auto"/>
        <w:rPr>
          <w:rFonts w:ascii="Arial" w:eastAsia="Arial" w:hAnsi="Arial" w:cs="Arial"/>
          <w:b/>
          <w:bCs/>
          <w:sz w:val="22"/>
          <w:szCs w:val="22"/>
        </w:rPr>
      </w:pPr>
    </w:p>
    <w:p w14:paraId="38786E15" w14:textId="7F2D45B6" w:rsidR="219A8433" w:rsidRDefault="219A8433" w:rsidP="219A8433">
      <w:pPr>
        <w:rPr>
          <w:rFonts w:ascii="Arial" w:eastAsia="Arial" w:hAnsi="Arial" w:cs="Arial"/>
          <w:b/>
          <w:bCs/>
          <w:sz w:val="32"/>
          <w:szCs w:val="32"/>
          <w:u w:val="single"/>
        </w:rPr>
      </w:pPr>
    </w:p>
    <w:p w14:paraId="7AAB1D93" w14:textId="6BBA4461" w:rsidR="219A8433" w:rsidRDefault="219A8433" w:rsidP="219A8433">
      <w:pPr>
        <w:rPr>
          <w:rFonts w:ascii="Arial" w:eastAsia="Arial" w:hAnsi="Arial" w:cs="Arial"/>
          <w:b/>
          <w:bCs/>
          <w:sz w:val="32"/>
          <w:szCs w:val="32"/>
          <w:u w:val="single"/>
        </w:rPr>
      </w:pPr>
    </w:p>
    <w:p w14:paraId="29870B80" w14:textId="1B9F04AC" w:rsidR="219A8433" w:rsidRDefault="219A8433" w:rsidP="219A8433">
      <w:pPr>
        <w:rPr>
          <w:rFonts w:ascii="Arial" w:eastAsia="Arial" w:hAnsi="Arial" w:cs="Arial"/>
          <w:b/>
          <w:bCs/>
          <w:sz w:val="32"/>
          <w:szCs w:val="32"/>
          <w:u w:val="single"/>
        </w:rPr>
      </w:pPr>
    </w:p>
    <w:p w14:paraId="56FB5B3C" w14:textId="50638DAD" w:rsidR="219A8433" w:rsidRDefault="219A8433" w:rsidP="219A8433">
      <w:pPr>
        <w:rPr>
          <w:rFonts w:ascii="Arial" w:eastAsia="Arial" w:hAnsi="Arial" w:cs="Arial"/>
          <w:b/>
          <w:bCs/>
          <w:sz w:val="32"/>
          <w:szCs w:val="32"/>
          <w:u w:val="single"/>
        </w:rPr>
      </w:pPr>
    </w:p>
    <w:p w14:paraId="3FACF27C" w14:textId="4C819F54" w:rsidR="219A8433" w:rsidRDefault="219A8433" w:rsidP="219A8433">
      <w:pPr>
        <w:rPr>
          <w:rFonts w:ascii="Arial" w:eastAsia="Arial" w:hAnsi="Arial" w:cs="Arial"/>
          <w:b/>
          <w:bCs/>
          <w:sz w:val="32"/>
          <w:szCs w:val="32"/>
          <w:u w:val="single"/>
        </w:rPr>
      </w:pPr>
    </w:p>
    <w:p w14:paraId="3B277296" w14:textId="78ED1D06" w:rsidR="219A8433" w:rsidRDefault="219A8433" w:rsidP="219A8433">
      <w:pPr>
        <w:rPr>
          <w:rFonts w:ascii="Arial" w:eastAsia="Arial" w:hAnsi="Arial" w:cs="Arial"/>
          <w:b/>
          <w:bCs/>
          <w:sz w:val="32"/>
          <w:szCs w:val="32"/>
          <w:u w:val="single"/>
        </w:rPr>
      </w:pPr>
    </w:p>
    <w:p w14:paraId="65D6D7B1" w14:textId="07FF3F70" w:rsidR="219A8433" w:rsidRDefault="219A8433" w:rsidP="219A8433">
      <w:pPr>
        <w:rPr>
          <w:rFonts w:ascii="Arial" w:eastAsia="Arial" w:hAnsi="Arial" w:cs="Arial"/>
          <w:b/>
          <w:bCs/>
          <w:sz w:val="32"/>
          <w:szCs w:val="32"/>
          <w:u w:val="single"/>
        </w:rPr>
      </w:pPr>
    </w:p>
    <w:p w14:paraId="58C45488" w14:textId="73DCD37E" w:rsidR="219A8433" w:rsidRDefault="219A8433" w:rsidP="219A8433">
      <w:pPr>
        <w:rPr>
          <w:rFonts w:ascii="Arial" w:eastAsia="Arial" w:hAnsi="Arial" w:cs="Arial"/>
          <w:b/>
          <w:bCs/>
          <w:sz w:val="32"/>
          <w:szCs w:val="32"/>
          <w:u w:val="single"/>
        </w:rPr>
      </w:pPr>
    </w:p>
    <w:p w14:paraId="6A156FE6" w14:textId="544DC5D1" w:rsidR="219A8433" w:rsidRDefault="219A8433" w:rsidP="219A8433">
      <w:pPr>
        <w:rPr>
          <w:rFonts w:ascii="Arial" w:eastAsia="Arial" w:hAnsi="Arial" w:cs="Arial"/>
          <w:b/>
          <w:bCs/>
          <w:sz w:val="32"/>
          <w:szCs w:val="32"/>
          <w:u w:val="single"/>
        </w:rPr>
      </w:pPr>
    </w:p>
    <w:p w14:paraId="72625195" w14:textId="4E5764AB" w:rsidR="219A8433" w:rsidRDefault="219A8433" w:rsidP="219A8433">
      <w:pPr>
        <w:rPr>
          <w:rFonts w:ascii="Arial" w:eastAsia="Arial" w:hAnsi="Arial" w:cs="Arial"/>
          <w:b/>
          <w:bCs/>
          <w:sz w:val="32"/>
          <w:szCs w:val="32"/>
          <w:u w:val="single"/>
        </w:rPr>
      </w:pPr>
    </w:p>
    <w:p w14:paraId="37EC2DEF" w14:textId="5E5EA56D" w:rsidR="219A8433" w:rsidRDefault="219A8433" w:rsidP="219A8433">
      <w:pPr>
        <w:rPr>
          <w:rFonts w:ascii="Arial" w:eastAsia="Arial" w:hAnsi="Arial" w:cs="Arial"/>
          <w:b/>
          <w:bCs/>
          <w:sz w:val="32"/>
          <w:szCs w:val="32"/>
          <w:u w:val="single"/>
        </w:rPr>
      </w:pPr>
    </w:p>
    <w:p w14:paraId="79027975" w14:textId="22E76FD0" w:rsidR="219A8433" w:rsidRDefault="219A8433" w:rsidP="219A8433">
      <w:pPr>
        <w:rPr>
          <w:rFonts w:ascii="Arial" w:eastAsia="Arial" w:hAnsi="Arial" w:cs="Arial"/>
          <w:b/>
          <w:bCs/>
          <w:sz w:val="32"/>
          <w:szCs w:val="32"/>
          <w:u w:val="single"/>
        </w:rPr>
      </w:pPr>
    </w:p>
    <w:p w14:paraId="15E373B9" w14:textId="056D81B7" w:rsidR="7BC99572" w:rsidRDefault="7BC99572" w:rsidP="7BC99572">
      <w:pPr>
        <w:rPr>
          <w:b/>
          <w:bCs/>
          <w:u w:val="single"/>
        </w:rPr>
      </w:pPr>
    </w:p>
    <w:p w14:paraId="578EFFE1" w14:textId="450A1A2E" w:rsidR="34EEBD0D" w:rsidRDefault="555C31CB" w:rsidP="5347E84F">
      <w:pPr>
        <w:rPr>
          <w:rFonts w:ascii="Arial" w:eastAsia="Arial" w:hAnsi="Arial" w:cs="Arial"/>
          <w:b/>
          <w:bCs/>
          <w:sz w:val="32"/>
          <w:szCs w:val="32"/>
          <w:u w:val="single"/>
        </w:rPr>
      </w:pPr>
      <w:r w:rsidRPr="7BC99572">
        <w:rPr>
          <w:b/>
          <w:bCs/>
          <w:u w:val="single"/>
        </w:rPr>
        <w:lastRenderedPageBreak/>
        <w:t>Residential care home</w:t>
      </w:r>
    </w:p>
    <w:p w14:paraId="50A98C57" w14:textId="276C2590" w:rsidR="7C6CE50D" w:rsidRDefault="778CEAB2" w:rsidP="5347E84F">
      <w:pPr>
        <w:rPr>
          <w:b/>
          <w:bCs/>
          <w:u w:val="single"/>
        </w:rPr>
      </w:pPr>
      <w:r>
        <w:rPr>
          <w:noProof/>
        </w:rPr>
        <w:drawing>
          <wp:inline distT="0" distB="0" distL="0" distR="0" wp14:anchorId="185A2385" wp14:editId="0874D067">
            <wp:extent cx="1167345" cy="993331"/>
            <wp:effectExtent l="0" t="0" r="0" b="0"/>
            <wp:docPr id="115599014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990149" name="Picture 1155990149"/>
                    <pic:cNvPicPr/>
                  </pic:nvPicPr>
                  <pic:blipFill>
                    <a:blip r:embed="rId8">
                      <a:extLst>
                        <a:ext uri="{28A0092B-C50C-407E-A947-70E740481C1C}">
                          <a14:useLocalDpi xmlns:a14="http://schemas.microsoft.com/office/drawing/2010/main"/>
                        </a:ext>
                      </a:extLst>
                    </a:blip>
                    <a:stretch>
                      <a:fillRect/>
                    </a:stretch>
                  </pic:blipFill>
                  <pic:spPr>
                    <a:xfrm>
                      <a:off x="0" y="0"/>
                      <a:ext cx="1167345" cy="993331"/>
                    </a:xfrm>
                    <a:prstGeom prst="rect">
                      <a:avLst/>
                    </a:prstGeom>
                  </pic:spPr>
                </pic:pic>
              </a:graphicData>
            </a:graphic>
          </wp:inline>
        </w:drawing>
      </w:r>
      <w:r>
        <w:rPr>
          <w:noProof/>
        </w:rPr>
        <w:drawing>
          <wp:inline distT="0" distB="0" distL="0" distR="0" wp14:anchorId="648775A7" wp14:editId="1E1ABA97">
            <wp:extent cx="1338313" cy="942474"/>
            <wp:effectExtent l="0" t="0" r="0" b="0"/>
            <wp:docPr id="20659483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948343" name="Picture 2065948343"/>
                    <pic:cNvPicPr/>
                  </pic:nvPicPr>
                  <pic:blipFill>
                    <a:blip r:embed="rId9">
                      <a:extLst>
                        <a:ext uri="{28A0092B-C50C-407E-A947-70E740481C1C}">
                          <a14:useLocalDpi xmlns:a14="http://schemas.microsoft.com/office/drawing/2010/main"/>
                        </a:ext>
                      </a:extLst>
                    </a:blip>
                    <a:stretch>
                      <a:fillRect/>
                    </a:stretch>
                  </pic:blipFill>
                  <pic:spPr>
                    <a:xfrm>
                      <a:off x="0" y="0"/>
                      <a:ext cx="1338313" cy="942474"/>
                    </a:xfrm>
                    <a:prstGeom prst="rect">
                      <a:avLst/>
                    </a:prstGeom>
                  </pic:spPr>
                </pic:pic>
              </a:graphicData>
            </a:graphic>
          </wp:inline>
        </w:drawing>
      </w:r>
    </w:p>
    <w:p w14:paraId="579EBFC2" w14:textId="638B26F4" w:rsidR="461C79F7" w:rsidRDefault="65BB122A" w:rsidP="5347E84F">
      <w:pPr>
        <w:rPr>
          <w:rFonts w:ascii="Arial" w:eastAsia="Arial" w:hAnsi="Arial" w:cs="Arial"/>
          <w:b/>
          <w:bCs/>
          <w:sz w:val="22"/>
          <w:szCs w:val="22"/>
          <w:u w:val="single"/>
        </w:rPr>
      </w:pPr>
      <w:r w:rsidRPr="5347E84F">
        <w:rPr>
          <w:rFonts w:ascii="Arial" w:eastAsia="Arial" w:hAnsi="Arial" w:cs="Arial"/>
          <w:b/>
          <w:bCs/>
          <w:sz w:val="22"/>
          <w:szCs w:val="22"/>
          <w:u w:val="single"/>
        </w:rPr>
        <w:t>What is a residential care home?</w:t>
      </w:r>
    </w:p>
    <w:p w14:paraId="0F2714D3" w14:textId="17ABDFA4" w:rsidR="2DE50C64" w:rsidRDefault="1BF92A15" w:rsidP="5347E84F">
      <w:pPr>
        <w:spacing w:before="240" w:after="240" w:line="360" w:lineRule="auto"/>
        <w:rPr>
          <w:rFonts w:ascii="Arial" w:eastAsia="Arial" w:hAnsi="Arial" w:cs="Arial"/>
          <w:sz w:val="22"/>
          <w:szCs w:val="22"/>
        </w:rPr>
      </w:pPr>
      <w:r w:rsidRPr="5347E84F">
        <w:rPr>
          <w:rFonts w:ascii="Arial" w:eastAsia="Arial" w:hAnsi="Arial" w:cs="Arial"/>
          <w:sz w:val="22"/>
          <w:szCs w:val="22"/>
        </w:rPr>
        <w:t>Residential care homes in the UK provide regulated accommodation and personal care for individuals who are no longer able to live independently. These settings offer 24‑hour support, including assistance with washing, dressing, mobility, eating, and medication management, ensuring residents receive consistent help with daily living tasks</w:t>
      </w:r>
      <w:r w:rsidR="74B81F7E" w:rsidRPr="5347E84F">
        <w:rPr>
          <w:rFonts w:ascii="Arial" w:eastAsia="Arial" w:hAnsi="Arial" w:cs="Arial"/>
          <w:sz w:val="22"/>
          <w:szCs w:val="22"/>
        </w:rPr>
        <w:t>.</w:t>
      </w:r>
      <w:r w:rsidRPr="5347E84F">
        <w:rPr>
          <w:rFonts w:ascii="Arial" w:eastAsia="Arial" w:hAnsi="Arial" w:cs="Arial"/>
          <w:sz w:val="22"/>
          <w:szCs w:val="22"/>
        </w:rPr>
        <w:t xml:space="preserve"> Unlike nursing homes, residential care homes do not employ nurses on-site, making them suitable for people who require regular support but not continuous clinical supervision. Residents typically have private bedrooms, often with en‑suite facilities, alongside access to communal areas such as lounges, dining rooms, and gardens. Services such as housekeeping, laundry, and meals are included, and many homes organise social activities, hobbies, and outings to promote wellbeing and engagement (Carehome</w:t>
      </w:r>
      <w:r w:rsidR="29DCBDE6" w:rsidRPr="5347E84F">
        <w:rPr>
          <w:rFonts w:ascii="Arial" w:eastAsia="Arial" w:hAnsi="Arial" w:cs="Arial"/>
          <w:sz w:val="22"/>
          <w:szCs w:val="22"/>
        </w:rPr>
        <w:t>,</w:t>
      </w:r>
      <w:r w:rsidR="62CAD99B" w:rsidRPr="5347E84F">
        <w:rPr>
          <w:rFonts w:ascii="Arial" w:eastAsia="Arial" w:hAnsi="Arial" w:cs="Arial"/>
          <w:sz w:val="22"/>
          <w:szCs w:val="22"/>
        </w:rPr>
        <w:t xml:space="preserve"> UK</w:t>
      </w:r>
      <w:r w:rsidRPr="5347E84F">
        <w:rPr>
          <w:rFonts w:ascii="Arial" w:eastAsia="Arial" w:hAnsi="Arial" w:cs="Arial"/>
          <w:sz w:val="22"/>
          <w:szCs w:val="22"/>
        </w:rPr>
        <w:t>, 2024).</w:t>
      </w:r>
    </w:p>
    <w:p w14:paraId="4DCFA67C" w14:textId="092BE63C" w:rsidR="6A0ED409" w:rsidRDefault="65582287" w:rsidP="5347E84F">
      <w:pPr>
        <w:spacing w:before="240" w:after="240" w:line="360" w:lineRule="auto"/>
        <w:rPr>
          <w:rFonts w:ascii="Arial" w:eastAsia="Arial" w:hAnsi="Arial" w:cs="Arial"/>
          <w:sz w:val="22"/>
          <w:szCs w:val="22"/>
        </w:rPr>
      </w:pPr>
      <w:r w:rsidRPr="5347E84F">
        <w:rPr>
          <w:rFonts w:ascii="Arial" w:eastAsia="Arial" w:hAnsi="Arial" w:cs="Arial"/>
          <w:sz w:val="22"/>
          <w:szCs w:val="22"/>
        </w:rPr>
        <w:t>These homes primarily support older adults, including those with dementia or physical disabilities, who benefit from a safe and structured environment. In contrast, nursing homes provide the same personal care but also have qualified nurses available 24/7 to manage complex medical needs. All care homes in England must be registered with the Care Quality Commission (CQC), and funding may come from self‑funding residents, local authorities, or the NHS depending on assessed needs and financial circumstances (Carers UK, 2024).</w:t>
      </w:r>
    </w:p>
    <w:p w14:paraId="68EFE034" w14:textId="6601B7C9" w:rsidR="6A0ED409" w:rsidRDefault="6A0ED409" w:rsidP="5347E84F">
      <w:pPr>
        <w:spacing w:before="240" w:after="240" w:line="360" w:lineRule="auto"/>
        <w:rPr>
          <w:rFonts w:ascii="Arial" w:eastAsia="Arial" w:hAnsi="Arial" w:cs="Arial"/>
          <w:sz w:val="22"/>
          <w:szCs w:val="22"/>
        </w:rPr>
      </w:pPr>
    </w:p>
    <w:p w14:paraId="237474C3" w14:textId="21F37BFC" w:rsidR="6A0ED409" w:rsidRDefault="304041E5" w:rsidP="5347E84F">
      <w:pPr>
        <w:spacing w:before="240" w:after="240" w:line="360" w:lineRule="auto"/>
        <w:rPr>
          <w:rFonts w:ascii="Arial" w:eastAsia="Arial" w:hAnsi="Arial" w:cs="Arial"/>
          <w:sz w:val="22"/>
          <w:szCs w:val="22"/>
        </w:rPr>
      </w:pPr>
      <w:r w:rsidRPr="5347E84F">
        <w:rPr>
          <w:rFonts w:ascii="Arial" w:eastAsia="Arial" w:hAnsi="Arial" w:cs="Arial"/>
          <w:b/>
          <w:bCs/>
          <w:sz w:val="22"/>
          <w:szCs w:val="22"/>
          <w:u w:val="single"/>
        </w:rPr>
        <w:t>The history of residential care homes:</w:t>
      </w:r>
    </w:p>
    <w:p w14:paraId="2E85CFE6" w14:textId="1B00A008" w:rsidR="0C8575DD" w:rsidRDefault="17B8B0C3" w:rsidP="5347E84F">
      <w:pPr>
        <w:spacing w:line="360" w:lineRule="auto"/>
        <w:rPr>
          <w:sz w:val="22"/>
          <w:szCs w:val="22"/>
        </w:rPr>
      </w:pPr>
      <w:r>
        <w:rPr>
          <w:noProof/>
        </w:rPr>
        <w:drawing>
          <wp:inline distT="0" distB="0" distL="0" distR="0" wp14:anchorId="0DACDF01" wp14:editId="596FEDAB">
            <wp:extent cx="1919664" cy="1399024"/>
            <wp:effectExtent l="0" t="0" r="0" b="0"/>
            <wp:docPr id="16395873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43746" name="Picture 738443746"/>
                    <pic:cNvPicPr/>
                  </pic:nvPicPr>
                  <pic:blipFill>
                    <a:blip r:embed="rId10">
                      <a:extLst>
                        <a:ext uri="{28A0092B-C50C-407E-A947-70E740481C1C}">
                          <a14:useLocalDpi xmlns:a14="http://schemas.microsoft.com/office/drawing/2010/main"/>
                        </a:ext>
                      </a:extLst>
                    </a:blip>
                    <a:stretch>
                      <a:fillRect/>
                    </a:stretch>
                  </pic:blipFill>
                  <pic:spPr>
                    <a:xfrm>
                      <a:off x="0" y="0"/>
                      <a:ext cx="1919664" cy="1399024"/>
                    </a:xfrm>
                    <a:prstGeom prst="rect">
                      <a:avLst/>
                    </a:prstGeom>
                  </pic:spPr>
                </pic:pic>
              </a:graphicData>
            </a:graphic>
          </wp:inline>
        </w:drawing>
      </w:r>
      <w:r>
        <w:rPr>
          <w:noProof/>
        </w:rPr>
        <w:drawing>
          <wp:inline distT="0" distB="0" distL="0" distR="0" wp14:anchorId="2C500445" wp14:editId="4324064A">
            <wp:extent cx="1606521" cy="1376637"/>
            <wp:effectExtent l="0" t="0" r="0" b="0"/>
            <wp:docPr id="13039086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294624" name="Picture 510294624"/>
                    <pic:cNvPicPr/>
                  </pic:nvPicPr>
                  <pic:blipFill>
                    <a:blip r:embed="rId11">
                      <a:extLst>
                        <a:ext uri="{28A0092B-C50C-407E-A947-70E740481C1C}">
                          <a14:useLocalDpi xmlns:a14="http://schemas.microsoft.com/office/drawing/2010/main"/>
                        </a:ext>
                      </a:extLst>
                    </a:blip>
                    <a:stretch>
                      <a:fillRect/>
                    </a:stretch>
                  </pic:blipFill>
                  <pic:spPr>
                    <a:xfrm>
                      <a:off x="0" y="0"/>
                      <a:ext cx="1606521" cy="1376637"/>
                    </a:xfrm>
                    <a:prstGeom prst="rect">
                      <a:avLst/>
                    </a:prstGeom>
                  </pic:spPr>
                </pic:pic>
              </a:graphicData>
            </a:graphic>
          </wp:inline>
        </w:drawing>
      </w:r>
    </w:p>
    <w:p w14:paraId="45EBF922" w14:textId="121C2AFB" w:rsidR="3B8C0AF2" w:rsidRDefault="3D17BA0D" w:rsidP="5347E84F">
      <w:pPr>
        <w:spacing w:before="240" w:after="240" w:line="360" w:lineRule="auto"/>
        <w:rPr>
          <w:rFonts w:ascii="Arial" w:eastAsia="Arial" w:hAnsi="Arial" w:cs="Arial"/>
          <w:sz w:val="22"/>
          <w:szCs w:val="22"/>
        </w:rPr>
      </w:pPr>
      <w:r w:rsidRPr="5347E84F">
        <w:rPr>
          <w:rFonts w:ascii="Arial" w:eastAsia="Arial" w:hAnsi="Arial" w:cs="Arial"/>
          <w:sz w:val="22"/>
          <w:szCs w:val="22"/>
        </w:rPr>
        <w:t xml:space="preserve">The origins of residential care homes in the UK can be linked to early charitable institutions known as </w:t>
      </w:r>
      <w:r w:rsidR="17165F25" w:rsidRPr="5347E84F">
        <w:rPr>
          <w:rFonts w:ascii="Arial" w:eastAsia="Arial" w:hAnsi="Arial" w:cs="Arial"/>
          <w:sz w:val="22"/>
          <w:szCs w:val="22"/>
        </w:rPr>
        <w:t>alms-houses</w:t>
      </w:r>
      <w:r w:rsidRPr="5347E84F">
        <w:rPr>
          <w:rFonts w:ascii="Arial" w:eastAsia="Arial" w:hAnsi="Arial" w:cs="Arial"/>
          <w:sz w:val="22"/>
          <w:szCs w:val="22"/>
        </w:rPr>
        <w:t xml:space="preserve">, which appeared as early as the 10th century. One of the earliest </w:t>
      </w:r>
      <w:r w:rsidRPr="5347E84F">
        <w:rPr>
          <w:rFonts w:ascii="Arial" w:eastAsia="Arial" w:hAnsi="Arial" w:cs="Arial"/>
          <w:sz w:val="22"/>
          <w:szCs w:val="22"/>
        </w:rPr>
        <w:lastRenderedPageBreak/>
        <w:t>recorded examples was founded in York in 936 by King Aethelstan to provide support for older people who were no longer able to care for themselves (Munson, 2025). These early forms of provision, typically managed by the Church and funded by wealthy donors, offered basic shelter and care, reflecting a strong moral and religious commitment to protecting vulnerable members of society (Gloveman, 2023).</w:t>
      </w:r>
    </w:p>
    <w:p w14:paraId="023247B8" w14:textId="2B3120B1" w:rsidR="3B8C0AF2" w:rsidRDefault="3D17BA0D" w:rsidP="5347E84F">
      <w:pPr>
        <w:spacing w:before="240" w:after="240" w:line="360" w:lineRule="auto"/>
        <w:rPr>
          <w:rFonts w:ascii="Arial" w:eastAsia="Arial" w:hAnsi="Arial" w:cs="Arial"/>
          <w:sz w:val="22"/>
          <w:szCs w:val="22"/>
        </w:rPr>
      </w:pPr>
      <w:r w:rsidRPr="5347E84F">
        <w:rPr>
          <w:rFonts w:ascii="Arial" w:eastAsia="Arial" w:hAnsi="Arial" w:cs="Arial"/>
          <w:sz w:val="22"/>
          <w:szCs w:val="22"/>
        </w:rPr>
        <w:t>Institutional care changed significantly during the 18th and 19th centuries as social and legislative reforms reshaped welfare provision. The Poor Law system formalised state responsibility for those unable to support themselves, leading to the</w:t>
      </w:r>
      <w:r w:rsidR="77611348" w:rsidRPr="5347E84F">
        <w:rPr>
          <w:rFonts w:ascii="Arial" w:eastAsia="Arial" w:hAnsi="Arial" w:cs="Arial"/>
          <w:sz w:val="22"/>
          <w:szCs w:val="22"/>
        </w:rPr>
        <w:t xml:space="preserve"> </w:t>
      </w:r>
      <w:r w:rsidRPr="5347E84F">
        <w:rPr>
          <w:rFonts w:ascii="Arial" w:eastAsia="Arial" w:hAnsi="Arial" w:cs="Arial"/>
          <w:sz w:val="22"/>
          <w:szCs w:val="22"/>
        </w:rPr>
        <w:t>establishment of workhouses, where many older and disabled people lived in often harsh and restrictive conditions (Drive Forward Foundation, 2021). By the mid‑20th century, post‑war welfare reforms and the introduction of the state pension transformed expectations around state support for older adults, laying the foundations for modern residential care services (Munson, 2025).</w:t>
      </w:r>
    </w:p>
    <w:p w14:paraId="371DB5B3" w14:textId="52E8AF85" w:rsidR="3B8C0AF2" w:rsidRDefault="59661866" w:rsidP="5347E84F">
      <w:pPr>
        <w:spacing w:before="240" w:after="240" w:line="360" w:lineRule="auto"/>
        <w:rPr>
          <w:rFonts w:ascii="Arial" w:eastAsia="Arial" w:hAnsi="Arial" w:cs="Arial"/>
          <w:sz w:val="22"/>
          <w:szCs w:val="22"/>
        </w:rPr>
      </w:pPr>
      <w:r w:rsidRPr="5347E84F">
        <w:rPr>
          <w:rFonts w:ascii="Arial" w:eastAsia="Arial" w:hAnsi="Arial" w:cs="Arial"/>
          <w:sz w:val="22"/>
          <w:szCs w:val="22"/>
        </w:rPr>
        <w:t>From the 1980s onwards, the sector expanded rapidly as private providers became more prominent. By the early 2000s, regulatory systems were strengthened, and care homes were formally divided into residential care homes and nursing homes (Wikipedia, 2025). The current system reflects a long transition from charitable provision to a regulated, mixed‑economy model of care.</w:t>
      </w:r>
    </w:p>
    <w:p w14:paraId="7C4A046D" w14:textId="76A827F9" w:rsidR="29F6E89A" w:rsidRDefault="29F6E89A" w:rsidP="5347E84F">
      <w:pPr>
        <w:spacing w:before="240" w:after="240" w:line="360" w:lineRule="auto"/>
        <w:rPr>
          <w:rFonts w:ascii="Arial" w:eastAsia="Arial" w:hAnsi="Arial" w:cs="Arial"/>
          <w:b/>
          <w:bCs/>
          <w:sz w:val="22"/>
          <w:szCs w:val="22"/>
          <w:u w:val="single"/>
        </w:rPr>
      </w:pPr>
    </w:p>
    <w:p w14:paraId="05E8EDE1" w14:textId="27CE841A" w:rsidR="1C109CAD" w:rsidRDefault="19B12600" w:rsidP="5347E84F">
      <w:pPr>
        <w:spacing w:before="240" w:after="240" w:line="360" w:lineRule="auto"/>
        <w:rPr>
          <w:rFonts w:ascii="Arial" w:eastAsia="Arial" w:hAnsi="Arial" w:cs="Arial"/>
          <w:sz w:val="22"/>
          <w:szCs w:val="22"/>
        </w:rPr>
      </w:pPr>
      <w:r w:rsidRPr="5347E84F">
        <w:rPr>
          <w:rFonts w:ascii="Arial" w:eastAsia="Arial" w:hAnsi="Arial" w:cs="Arial"/>
          <w:b/>
          <w:bCs/>
          <w:sz w:val="22"/>
          <w:szCs w:val="22"/>
          <w:u w:val="single"/>
        </w:rPr>
        <w:t xml:space="preserve">What </w:t>
      </w:r>
      <w:r w:rsidR="20A14F48" w:rsidRPr="5347E84F">
        <w:rPr>
          <w:rFonts w:ascii="Arial" w:eastAsia="Arial" w:hAnsi="Arial" w:cs="Arial"/>
          <w:b/>
          <w:bCs/>
          <w:sz w:val="22"/>
          <w:szCs w:val="22"/>
          <w:u w:val="single"/>
        </w:rPr>
        <w:t>is</w:t>
      </w:r>
      <w:r w:rsidRPr="5347E84F">
        <w:rPr>
          <w:rFonts w:ascii="Arial" w:eastAsia="Arial" w:hAnsi="Arial" w:cs="Arial"/>
          <w:b/>
          <w:bCs/>
          <w:sz w:val="22"/>
          <w:szCs w:val="22"/>
          <w:u w:val="single"/>
        </w:rPr>
        <w:t xml:space="preserve"> the current functioning's of the service:</w:t>
      </w:r>
    </w:p>
    <w:p w14:paraId="7F6A25AD" w14:textId="229EDF86" w:rsidR="141DD964" w:rsidRDefault="74505912" w:rsidP="5347E84F">
      <w:pPr>
        <w:spacing w:line="360" w:lineRule="auto"/>
        <w:rPr>
          <w:sz w:val="22"/>
          <w:szCs w:val="22"/>
        </w:rPr>
      </w:pPr>
      <w:r>
        <w:rPr>
          <w:noProof/>
        </w:rPr>
        <w:drawing>
          <wp:inline distT="0" distB="0" distL="0" distR="0" wp14:anchorId="645AB1A7" wp14:editId="0A404A51">
            <wp:extent cx="1352344" cy="1382285"/>
            <wp:effectExtent l="0" t="0" r="0" b="0"/>
            <wp:docPr id="14075835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583593" name="Picture 1407583593"/>
                    <pic:cNvPicPr/>
                  </pic:nvPicPr>
                  <pic:blipFill>
                    <a:blip r:embed="rId12">
                      <a:extLst>
                        <a:ext uri="{28A0092B-C50C-407E-A947-70E740481C1C}">
                          <a14:useLocalDpi xmlns:a14="http://schemas.microsoft.com/office/drawing/2010/main"/>
                        </a:ext>
                      </a:extLst>
                    </a:blip>
                    <a:stretch>
                      <a:fillRect/>
                    </a:stretch>
                  </pic:blipFill>
                  <pic:spPr>
                    <a:xfrm>
                      <a:off x="0" y="0"/>
                      <a:ext cx="1352344" cy="1382285"/>
                    </a:xfrm>
                    <a:prstGeom prst="rect">
                      <a:avLst/>
                    </a:prstGeom>
                  </pic:spPr>
                </pic:pic>
              </a:graphicData>
            </a:graphic>
          </wp:inline>
        </w:drawing>
      </w:r>
    </w:p>
    <w:p w14:paraId="4AD48594" w14:textId="393FBAA7" w:rsidR="40696FFC" w:rsidRDefault="34790DE8" w:rsidP="5347E84F">
      <w:pPr>
        <w:spacing w:line="360" w:lineRule="auto"/>
        <w:rPr>
          <w:rFonts w:ascii="Arial" w:eastAsia="Arial" w:hAnsi="Arial" w:cs="Arial"/>
          <w:sz w:val="22"/>
          <w:szCs w:val="22"/>
        </w:rPr>
      </w:pPr>
      <w:r w:rsidRPr="5347E84F">
        <w:rPr>
          <w:rFonts w:ascii="Arial" w:eastAsia="Arial" w:hAnsi="Arial" w:cs="Arial"/>
          <w:sz w:val="22"/>
          <w:szCs w:val="22"/>
        </w:rPr>
        <w:t>Residential care homes carry out several essential functions designed to support individuals who can no longer manage daily living independently. Their core role is to provide 24‑hour personal care, with trained staff assisting residents with everyday activities such as washing, dressing, grooming, toileting, and mobility (Carehome.co.uk, 2024). Alongside personal care, these homes offer safe and comfortable accommodation, including meals, housekeeping, laundry, and general maintenance, ensuring residents live in a supported and well‑managed environment (Rowan Park Care, 2024).</w:t>
      </w:r>
    </w:p>
    <w:p w14:paraId="4A19AF35" w14:textId="59877A94" w:rsidR="40696FFC" w:rsidRDefault="34790DE8" w:rsidP="5347E84F">
      <w:pPr>
        <w:spacing w:line="360" w:lineRule="auto"/>
        <w:rPr>
          <w:rFonts w:ascii="Arial" w:eastAsia="Arial" w:hAnsi="Arial" w:cs="Arial"/>
          <w:sz w:val="22"/>
          <w:szCs w:val="22"/>
        </w:rPr>
      </w:pPr>
      <w:r w:rsidRPr="5347E84F">
        <w:rPr>
          <w:rFonts w:ascii="Arial" w:eastAsia="Arial" w:hAnsi="Arial" w:cs="Arial"/>
          <w:sz w:val="22"/>
          <w:szCs w:val="22"/>
        </w:rPr>
        <w:lastRenderedPageBreak/>
        <w:t>Another key function is medication support, where staff help administer or supervise prescribed medicines to ensure they are taken safely and correctly (Carers UK, 2024). Residential care homes also promote wellbeing through structured social and recreational activities, such as arts, gardening, group events, and outings, which help reduce isolation and enhance quality of life (Carehome.co.uk, 2024).</w:t>
      </w:r>
    </w:p>
    <w:p w14:paraId="45223358" w14:textId="4D3526E4" w:rsidR="6F709B29" w:rsidRDefault="1E9DC672" w:rsidP="7BC99572">
      <w:pPr>
        <w:spacing w:line="360" w:lineRule="auto"/>
        <w:rPr>
          <w:rFonts w:ascii="Arial" w:eastAsia="Arial" w:hAnsi="Arial" w:cs="Arial"/>
          <w:sz w:val="22"/>
          <w:szCs w:val="22"/>
        </w:rPr>
      </w:pPr>
      <w:r w:rsidRPr="7BC99572">
        <w:rPr>
          <w:rFonts w:ascii="Arial" w:eastAsia="Arial" w:hAnsi="Arial" w:cs="Arial"/>
          <w:sz w:val="22"/>
          <w:szCs w:val="22"/>
        </w:rPr>
        <w:t>Safety is a central responsibility, with homes providing a secure environment that reduces risks associated with living alone. Residents also receive nutritional support, with balanced meals tailored to individual needs (Rowan Park Care, 2024). Some homes additionally offer specialist non‑nursing care, such as dementia support or end‑of‑life care, for individuals requiring more tailored assistance (Carers UK, 2024).</w:t>
      </w:r>
    </w:p>
    <w:p w14:paraId="2851E289" w14:textId="38C80903" w:rsidR="7BC99572" w:rsidRDefault="7BC99572" w:rsidP="7BC99572">
      <w:pPr>
        <w:spacing w:line="360" w:lineRule="auto"/>
        <w:rPr>
          <w:rFonts w:ascii="Arial" w:eastAsia="Arial" w:hAnsi="Arial" w:cs="Arial"/>
          <w:sz w:val="22"/>
          <w:szCs w:val="22"/>
        </w:rPr>
      </w:pPr>
    </w:p>
    <w:p w14:paraId="39020615" w14:textId="64A9A9F2" w:rsidR="6F709B29" w:rsidRDefault="6EA7CF48" w:rsidP="5347E84F">
      <w:pPr>
        <w:spacing w:line="360" w:lineRule="auto"/>
        <w:rPr>
          <w:rFonts w:ascii="Arial" w:eastAsia="Arial" w:hAnsi="Arial" w:cs="Arial"/>
          <w:b/>
          <w:bCs/>
          <w:sz w:val="22"/>
          <w:szCs w:val="22"/>
          <w:u w:val="single"/>
        </w:rPr>
      </w:pPr>
      <w:r w:rsidRPr="5347E84F">
        <w:rPr>
          <w:rFonts w:ascii="Arial" w:eastAsia="Arial" w:hAnsi="Arial" w:cs="Arial"/>
          <w:b/>
          <w:bCs/>
          <w:sz w:val="22"/>
          <w:szCs w:val="22"/>
          <w:u w:val="single"/>
        </w:rPr>
        <w:t>Challenges of residential care homes:</w:t>
      </w:r>
    </w:p>
    <w:p w14:paraId="6F6E559A" w14:textId="4C892A33" w:rsidR="6F709B29" w:rsidRDefault="789899EF" w:rsidP="5347E84F">
      <w:pPr>
        <w:spacing w:line="360" w:lineRule="auto"/>
        <w:rPr>
          <w:rFonts w:ascii="Arial" w:eastAsia="Arial" w:hAnsi="Arial" w:cs="Arial"/>
          <w:b/>
          <w:bCs/>
          <w:sz w:val="22"/>
          <w:szCs w:val="22"/>
        </w:rPr>
      </w:pPr>
      <w:r>
        <w:rPr>
          <w:noProof/>
        </w:rPr>
        <w:drawing>
          <wp:inline distT="0" distB="0" distL="0" distR="0" wp14:anchorId="490C33CD" wp14:editId="4D365D9C">
            <wp:extent cx="2172462" cy="1449513"/>
            <wp:effectExtent l="0" t="0" r="0" b="0"/>
            <wp:docPr id="4712692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69213" name="Picture 471269213"/>
                    <pic:cNvPicPr/>
                  </pic:nvPicPr>
                  <pic:blipFill>
                    <a:blip r:embed="rId13">
                      <a:extLst>
                        <a:ext uri="{28A0092B-C50C-407E-A947-70E740481C1C}">
                          <a14:useLocalDpi xmlns:a14="http://schemas.microsoft.com/office/drawing/2010/main"/>
                        </a:ext>
                      </a:extLst>
                    </a:blip>
                    <a:stretch>
                      <a:fillRect/>
                    </a:stretch>
                  </pic:blipFill>
                  <pic:spPr>
                    <a:xfrm>
                      <a:off x="0" y="0"/>
                      <a:ext cx="2172462" cy="1449513"/>
                    </a:xfrm>
                    <a:prstGeom prst="rect">
                      <a:avLst/>
                    </a:prstGeom>
                  </pic:spPr>
                </pic:pic>
              </a:graphicData>
            </a:graphic>
          </wp:inline>
        </w:drawing>
      </w:r>
      <w:r w:rsidR="6F709B29">
        <w:br/>
      </w:r>
      <w:r w:rsidR="20CFBC32" w:rsidRPr="5347E84F">
        <w:rPr>
          <w:rFonts w:ascii="Arial" w:eastAsia="Arial" w:hAnsi="Arial" w:cs="Arial"/>
          <w:sz w:val="22"/>
          <w:szCs w:val="22"/>
        </w:rPr>
        <w:t xml:space="preserve">Residential care homes in the UK face </w:t>
      </w:r>
      <w:r w:rsidR="4D843906" w:rsidRPr="5347E84F">
        <w:rPr>
          <w:rFonts w:ascii="Arial" w:eastAsia="Arial" w:hAnsi="Arial" w:cs="Arial"/>
          <w:sz w:val="22"/>
          <w:szCs w:val="22"/>
        </w:rPr>
        <w:t>several</w:t>
      </w:r>
      <w:r w:rsidR="20CFBC32" w:rsidRPr="5347E84F">
        <w:rPr>
          <w:rFonts w:ascii="Arial" w:eastAsia="Arial" w:hAnsi="Arial" w:cs="Arial"/>
          <w:sz w:val="22"/>
          <w:szCs w:val="22"/>
        </w:rPr>
        <w:t xml:space="preserve"> ongoing challenges that affect their ability to deliver consistent, high‑quality care. One major issue is financial pressure, as many providers struggle with rising operational costs, limited local authority funding, and increasing expenditure on staffing, utilities, and regulatory compliance (eCert Training, 2024). These financial constraints often leave homes operating on tight margins, making long‑term sustainability difficult.</w:t>
      </w:r>
    </w:p>
    <w:p w14:paraId="4D44A14D" w14:textId="26639966" w:rsidR="3CC53965" w:rsidRDefault="11F3BF97" w:rsidP="5347E84F">
      <w:pPr>
        <w:spacing w:line="360" w:lineRule="auto"/>
        <w:rPr>
          <w:sz w:val="22"/>
          <w:szCs w:val="22"/>
        </w:rPr>
      </w:pPr>
      <w:r w:rsidRPr="7BC99572">
        <w:rPr>
          <w:rFonts w:ascii="Arial" w:eastAsia="Arial" w:hAnsi="Arial" w:cs="Arial"/>
          <w:sz w:val="22"/>
          <w:szCs w:val="22"/>
        </w:rPr>
        <w:t>Another significant challenge is workforce shortages. Many care homes experience high staff turnover and difficulties recruiting and retaining skilled workers, which places additional strain on existing staff and can impact the continuity and quality of care provided (Paperclip, 2024). Staffing pressures also contribute to higher vacancy rates within homes, reducing the number of available placements for older adults.</w:t>
      </w:r>
      <w:r w:rsidR="2C915BD1" w:rsidRPr="7BC99572">
        <w:rPr>
          <w:rFonts w:ascii="Arial" w:eastAsia="Arial" w:hAnsi="Arial" w:cs="Arial"/>
          <w:sz w:val="22"/>
          <w:szCs w:val="22"/>
        </w:rPr>
        <w:t xml:space="preserve"> See appendix 1 as visual infographic poster</w:t>
      </w:r>
      <w:r w:rsidR="70389FC5" w:rsidRPr="7BC99572">
        <w:rPr>
          <w:rFonts w:ascii="Arial" w:eastAsia="Arial" w:hAnsi="Arial" w:cs="Arial"/>
          <w:sz w:val="22"/>
          <w:szCs w:val="22"/>
        </w:rPr>
        <w:t>.</w:t>
      </w:r>
      <w:r w:rsidR="3CC53965">
        <w:br/>
      </w:r>
    </w:p>
    <w:p w14:paraId="418772CA" w14:textId="0AD50452" w:rsidR="7C6CE50D" w:rsidRDefault="7C6CE50D" w:rsidP="5347E84F">
      <w:pPr>
        <w:spacing w:line="360" w:lineRule="auto"/>
        <w:rPr>
          <w:sz w:val="22"/>
          <w:szCs w:val="22"/>
        </w:rPr>
      </w:pPr>
      <w:r w:rsidRPr="5347E84F">
        <w:rPr>
          <w:sz w:val="22"/>
          <w:szCs w:val="22"/>
        </w:rPr>
        <w:br w:type="page"/>
      </w:r>
    </w:p>
    <w:p w14:paraId="74067C32" w14:textId="373ACE48" w:rsidR="7C6CE50D" w:rsidRDefault="1399DD11" w:rsidP="7BC99572">
      <w:pPr>
        <w:spacing w:line="360" w:lineRule="auto"/>
        <w:jc w:val="center"/>
        <w:rPr>
          <w:rFonts w:ascii="Arial" w:eastAsia="Arial" w:hAnsi="Arial" w:cs="Arial"/>
          <w:b/>
          <w:bCs/>
          <w:sz w:val="22"/>
          <w:szCs w:val="22"/>
          <w:u w:val="single"/>
        </w:rPr>
      </w:pPr>
      <w:r w:rsidRPr="7BC99572">
        <w:rPr>
          <w:rFonts w:ascii="Arial" w:eastAsia="Arial" w:hAnsi="Arial" w:cs="Arial"/>
          <w:b/>
          <w:bCs/>
          <w:sz w:val="22"/>
          <w:szCs w:val="22"/>
          <w:u w:val="single"/>
        </w:rPr>
        <w:lastRenderedPageBreak/>
        <w:t>Community antenatal midwifery services</w:t>
      </w:r>
    </w:p>
    <w:p w14:paraId="39B2911E" w14:textId="01364F95" w:rsidR="478BFD17" w:rsidRDefault="1B5A5371" w:rsidP="219A8433">
      <w:pPr>
        <w:spacing w:line="360" w:lineRule="auto"/>
        <w:ind w:left="720"/>
        <w:rPr>
          <w:rFonts w:ascii="Arial" w:eastAsia="Arial" w:hAnsi="Arial" w:cs="Arial"/>
          <w:b/>
          <w:bCs/>
          <w:sz w:val="22"/>
          <w:szCs w:val="22"/>
          <w:u w:val="single"/>
        </w:rPr>
      </w:pPr>
      <w:r w:rsidRPr="219A8433">
        <w:rPr>
          <w:rFonts w:ascii="Arial" w:eastAsia="Arial" w:hAnsi="Arial" w:cs="Arial"/>
          <w:sz w:val="22"/>
          <w:szCs w:val="22"/>
        </w:rPr>
        <w:t>Community antenatal midwifery services play a vital role in supporting pregnant women and their families, providing comprehensive care throughout the pregnancy journey. These services, deeply rooted in historical practices, have evolved to meet the changing needs of communities, offering personalized and accessible care. This essay will explore the origins of the community antenatal service, critically evaluate its function today, and discuss its significance in enhancing the quality of life for service users.</w:t>
      </w:r>
    </w:p>
    <w:p w14:paraId="234F9F4E" w14:textId="21A116F4" w:rsidR="478BFD17" w:rsidRDefault="1B5A5371" w:rsidP="219A8433">
      <w:pPr>
        <w:spacing w:before="240" w:after="240" w:line="360" w:lineRule="auto"/>
        <w:ind w:left="720"/>
        <w:rPr>
          <w:rFonts w:ascii="Arial" w:eastAsia="Arial" w:hAnsi="Arial" w:cs="Arial"/>
          <w:sz w:val="22"/>
          <w:szCs w:val="22"/>
        </w:rPr>
      </w:pPr>
      <w:r w:rsidRPr="219A8433">
        <w:rPr>
          <w:rFonts w:ascii="Arial" w:eastAsia="Arial" w:hAnsi="Arial" w:cs="Arial"/>
          <w:sz w:val="22"/>
          <w:szCs w:val="22"/>
        </w:rPr>
        <w:t xml:space="preserve">One of the earliest forms of community antenatal care can be traced back to </w:t>
      </w:r>
      <w:proofErr w:type="gramStart"/>
      <w:r w:rsidRPr="219A8433">
        <w:rPr>
          <w:rFonts w:ascii="Arial" w:eastAsia="Arial" w:hAnsi="Arial" w:cs="Arial"/>
          <w:sz w:val="22"/>
          <w:szCs w:val="22"/>
        </w:rPr>
        <w:t>the work</w:t>
      </w:r>
      <w:proofErr w:type="gramEnd"/>
      <w:r w:rsidRPr="219A8433">
        <w:rPr>
          <w:rFonts w:ascii="Arial" w:eastAsia="Arial" w:hAnsi="Arial" w:cs="Arial"/>
          <w:sz w:val="22"/>
          <w:szCs w:val="22"/>
        </w:rPr>
        <w:t xml:space="preserve"> of Victorian midwives in the late 19th and early 20th centuries in the UK. The historical context of this era was marked by high rates of maternal and infant mortality, particularly in impoverished urban areas (Donnison, 1988). Recognizing the urgent need for intervention, philanthropic organisations and pioneering midwives established district nursing services that included antenatal care (Dingwall, Rafferty and Webster, 1988). These midwives, often working in challenging conditions, visited pregnant women in their homes, providing essential advice on nutrition, hygiene, and preparation for childbirth. Their efforts were instrumental in reducing mortality rates and improving the overall health of mothers and babies (Marland, 1997). The ethos of these early services, characterised by a commitment to providing care in the community and addressing the social determinants of health, continues to influence modern midwifery practice.</w:t>
      </w:r>
    </w:p>
    <w:p w14:paraId="1C992740" w14:textId="04725610" w:rsidR="478BFD17" w:rsidRDefault="1B5A5371" w:rsidP="219A8433">
      <w:pPr>
        <w:spacing w:before="240" w:after="240" w:line="360" w:lineRule="auto"/>
        <w:ind w:left="720"/>
        <w:rPr>
          <w:rFonts w:ascii="Arial" w:eastAsia="Arial" w:hAnsi="Arial" w:cs="Arial"/>
          <w:sz w:val="22"/>
          <w:szCs w:val="22"/>
        </w:rPr>
      </w:pPr>
      <w:r w:rsidRPr="7BC99572">
        <w:rPr>
          <w:rFonts w:ascii="Arial" w:eastAsia="Arial" w:hAnsi="Arial" w:cs="Arial"/>
          <w:sz w:val="22"/>
          <w:szCs w:val="22"/>
        </w:rPr>
        <w:t xml:space="preserve">Today, community antenatal midwifery services function as an integrated part of the broader healthcare system. Midwives work in various settings, including health centres, clinics, and women’s homes, providing a range of services such as antenatal check-ups, childbirth education, and breastfeeding support (NICE, 2021). A critical evaluation of these services reveals both strengths and areas for improvement. On the one hand, community-based care promotes accessibility, allowing women to receive care in familiar and convenient settings (Department of Health, 2007). It also fosters a strong relationship between the midwife and the woman, built on trust and mutual respect. This continuity of care is associated with improved outcomes, such as reduced rates of preterm birth and caesarean section (Sandall et al., 2016). On the other hand, challenges remain in ensuring equitable access to these services, particularly for women from marginalised communities. Factors such as language barriers, cultural differences, and lack of transportation can hinder access to care (Henderson et al., 2018). Additionally, the increasing demand on midwives, coupled </w:t>
      </w:r>
      <w:r w:rsidRPr="7BC99572">
        <w:rPr>
          <w:rFonts w:ascii="Arial" w:eastAsia="Arial" w:hAnsi="Arial" w:cs="Arial"/>
          <w:sz w:val="22"/>
          <w:szCs w:val="22"/>
        </w:rPr>
        <w:lastRenderedPageBreak/>
        <w:t>with staffing shortages, can limit the time and resources available for each woman (RCM, 2023).</w:t>
      </w:r>
    </w:p>
    <w:p w14:paraId="09A508D9" w14:textId="2380EF7A" w:rsidR="478BFD17" w:rsidRDefault="1B5A5371" w:rsidP="219A8433">
      <w:pPr>
        <w:spacing w:before="240" w:after="240" w:line="360" w:lineRule="auto"/>
        <w:ind w:left="720"/>
        <w:rPr>
          <w:rFonts w:ascii="Arial" w:eastAsia="Arial" w:hAnsi="Arial" w:cs="Arial"/>
          <w:sz w:val="22"/>
          <w:szCs w:val="22"/>
        </w:rPr>
      </w:pPr>
      <w:r w:rsidRPr="219A8433">
        <w:rPr>
          <w:rFonts w:ascii="Arial" w:eastAsia="Arial" w:hAnsi="Arial" w:cs="Arial"/>
          <w:sz w:val="22"/>
          <w:szCs w:val="22"/>
        </w:rPr>
        <w:t>The significance of community antenatal midwifery services in enhancing the quality of life for service users cannot be overstated. By providing comprehensive care and support, midwifery empowers women to make informed choices about their health and their babies’ well-being (WHO, 2016). Antenatal education classes equip women with the knowledge and skills to navigate pregnancy, childbirth, and early parenting (Nolan, 2012). Midwives also play a crucial role in identifying and addressing potential health risks, such as gestational diabetes and pre-eclampsia, ensuring timely intervention and reducing the risk of complications (Renfrew et al., 2014). Furthermore, community-based care fosters a sense of belonging and social support, which can be particularly beneficial for women experiencing social isolation or mental health challenges (Bick and Chang, 2014). By promoting positive birth experiences and supporting the transition to motherhood, community antenatal midwifery services contribute to the overall well-being of women and their families, laying a strong foundation for the future.</w:t>
      </w:r>
    </w:p>
    <w:p w14:paraId="6B19D7E0" w14:textId="54E1290A" w:rsidR="478BFD17" w:rsidRDefault="1B5A5371" w:rsidP="219A8433">
      <w:pPr>
        <w:spacing w:before="240" w:after="240" w:line="360" w:lineRule="auto"/>
        <w:ind w:left="720"/>
        <w:rPr>
          <w:rFonts w:ascii="Arial" w:eastAsia="Arial" w:hAnsi="Arial" w:cs="Arial"/>
          <w:sz w:val="22"/>
          <w:szCs w:val="22"/>
        </w:rPr>
      </w:pPr>
      <w:r w:rsidRPr="219A8433">
        <w:rPr>
          <w:rFonts w:ascii="Arial" w:eastAsia="Arial" w:hAnsi="Arial" w:cs="Arial"/>
          <w:sz w:val="22"/>
          <w:szCs w:val="22"/>
        </w:rPr>
        <w:t>In conclusion, community antenatal midwifery services have evolved from their historical roots to become an integral part of modern healthcare. While challenges remain in ensuring equitable access and adequate resources, these services play a vital role in enhancing the quality of life for service users by providing comprehensive, personalised, and accessible care throughout the pregnancy journey.</w:t>
      </w:r>
    </w:p>
    <w:p w14:paraId="4C590412" w14:textId="0E444C9A" w:rsidR="478BFD17" w:rsidRDefault="478BFD17" w:rsidP="219A8433">
      <w:pPr>
        <w:spacing w:line="360" w:lineRule="auto"/>
        <w:ind w:left="720"/>
        <w:rPr>
          <w:rFonts w:ascii="Arial" w:eastAsia="Arial" w:hAnsi="Arial" w:cs="Arial"/>
          <w:b/>
          <w:bCs/>
          <w:sz w:val="22"/>
          <w:szCs w:val="22"/>
          <w:u w:val="single"/>
        </w:rPr>
      </w:pPr>
    </w:p>
    <w:p w14:paraId="4A58C7AA" w14:textId="1E4FDE65" w:rsidR="478BFD17" w:rsidRDefault="478BFD17" w:rsidP="219A8433">
      <w:pPr>
        <w:spacing w:line="360" w:lineRule="auto"/>
        <w:ind w:left="720"/>
        <w:rPr>
          <w:rFonts w:ascii="Arial" w:eastAsia="Arial" w:hAnsi="Arial" w:cs="Arial"/>
          <w:b/>
          <w:bCs/>
          <w:sz w:val="22"/>
          <w:szCs w:val="22"/>
          <w:u w:val="single"/>
        </w:rPr>
      </w:pPr>
    </w:p>
    <w:p w14:paraId="705D4795" w14:textId="73FDB80B" w:rsidR="478BFD17" w:rsidRDefault="478BFD17" w:rsidP="5347E84F">
      <w:pPr>
        <w:spacing w:line="360" w:lineRule="auto"/>
        <w:rPr>
          <w:rFonts w:ascii="Arial" w:eastAsia="Arial" w:hAnsi="Arial" w:cs="Arial"/>
          <w:b/>
          <w:bCs/>
          <w:sz w:val="22"/>
          <w:szCs w:val="22"/>
          <w:u w:val="single"/>
        </w:rPr>
      </w:pPr>
    </w:p>
    <w:p w14:paraId="4FB130C1" w14:textId="298CB2F6" w:rsidR="478BFD17" w:rsidRDefault="478BFD17" w:rsidP="5347E84F">
      <w:pPr>
        <w:spacing w:line="360" w:lineRule="auto"/>
        <w:rPr>
          <w:rFonts w:ascii="Arial" w:eastAsia="Arial" w:hAnsi="Arial" w:cs="Arial"/>
          <w:b/>
          <w:bCs/>
          <w:sz w:val="22"/>
          <w:szCs w:val="22"/>
          <w:u w:val="single"/>
        </w:rPr>
      </w:pPr>
    </w:p>
    <w:p w14:paraId="52ACD4D2" w14:textId="75EC0C9C" w:rsidR="478BFD17" w:rsidRDefault="478BFD17" w:rsidP="5347E84F">
      <w:pPr>
        <w:spacing w:line="360" w:lineRule="auto"/>
        <w:rPr>
          <w:rFonts w:ascii="Arial" w:eastAsia="Arial" w:hAnsi="Arial" w:cs="Arial"/>
          <w:b/>
          <w:bCs/>
          <w:sz w:val="22"/>
          <w:szCs w:val="22"/>
          <w:u w:val="single"/>
        </w:rPr>
      </w:pPr>
    </w:p>
    <w:p w14:paraId="0CF9DA9F" w14:textId="030C6BF1" w:rsidR="478BFD17" w:rsidRDefault="76ED66DC" w:rsidP="29F6E89A">
      <w:pPr>
        <w:spacing w:line="360" w:lineRule="auto"/>
      </w:pPr>
      <w:r>
        <w:rPr>
          <w:noProof/>
        </w:rPr>
        <w:lastRenderedPageBreak/>
        <w:drawing>
          <wp:inline distT="0" distB="0" distL="0" distR="0" wp14:anchorId="7A9A79D1" wp14:editId="1523FF96">
            <wp:extent cx="4825456" cy="7945477"/>
            <wp:effectExtent l="0" t="0" r="0" b="0"/>
            <wp:docPr id="5770692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87300" name="Picture 1974187300"/>
                    <pic:cNvPicPr/>
                  </pic:nvPicPr>
                  <pic:blipFill>
                    <a:blip r:embed="rId14">
                      <a:extLst>
                        <a:ext uri="{28A0092B-C50C-407E-A947-70E740481C1C}">
                          <a14:useLocalDpi xmlns:a14="http://schemas.microsoft.com/office/drawing/2010/main"/>
                        </a:ext>
                      </a:extLst>
                    </a:blip>
                    <a:stretch>
                      <a:fillRect/>
                    </a:stretch>
                  </pic:blipFill>
                  <pic:spPr>
                    <a:xfrm>
                      <a:off x="0" y="0"/>
                      <a:ext cx="4825456" cy="7945477"/>
                    </a:xfrm>
                    <a:prstGeom prst="rect">
                      <a:avLst/>
                    </a:prstGeom>
                  </pic:spPr>
                </pic:pic>
              </a:graphicData>
            </a:graphic>
          </wp:inline>
        </w:drawing>
      </w:r>
    </w:p>
    <w:p w14:paraId="11934C3C" w14:textId="6E43067D" w:rsidR="478BFD17" w:rsidRDefault="76ED66DC" w:rsidP="7BC99572">
      <w:pPr>
        <w:spacing w:line="360" w:lineRule="auto"/>
        <w:jc w:val="center"/>
        <w:rPr>
          <w:rFonts w:ascii="Arial" w:eastAsia="Arial" w:hAnsi="Arial" w:cs="Arial"/>
          <w:b/>
          <w:bCs/>
        </w:rPr>
      </w:pPr>
      <w:r w:rsidRPr="7BC99572">
        <w:rPr>
          <w:rFonts w:ascii="Arial" w:eastAsia="Arial" w:hAnsi="Arial" w:cs="Arial"/>
          <w:b/>
          <w:bCs/>
        </w:rPr>
        <w:t>Appendix 1. visual poster infographic</w:t>
      </w:r>
    </w:p>
    <w:p w14:paraId="49C7B888" w14:textId="7E0615D6" w:rsidR="478BFD17" w:rsidRDefault="478BFD17" w:rsidP="7BC99572">
      <w:pPr>
        <w:spacing w:line="360" w:lineRule="auto"/>
        <w:rPr>
          <w:rFonts w:ascii="Arial" w:eastAsia="Arial" w:hAnsi="Arial" w:cs="Arial"/>
          <w:b/>
          <w:bCs/>
          <w:sz w:val="22"/>
          <w:szCs w:val="22"/>
          <w:u w:val="single"/>
        </w:rPr>
      </w:pPr>
    </w:p>
    <w:p w14:paraId="48F306EA"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lastRenderedPageBreak/>
        <w:t xml:space="preserve">Bick, D. &amp; Chang, Y.S. (2014) ‘Maternal wellbeing and postnatal care’, Midwifery, 30(6), pp. 610–612. Available at: </w:t>
      </w:r>
      <w:hyperlink r:id="rId15">
        <w:r w:rsidRPr="7BC99572">
          <w:rPr>
            <w:rStyle w:val="Hyperlink"/>
            <w:rFonts w:ascii="Arial" w:eastAsia="Arial" w:hAnsi="Arial" w:cs="Arial"/>
            <w:sz w:val="22"/>
            <w:szCs w:val="22"/>
          </w:rPr>
          <w:t>https://doi.org/10.1016/j.midw.2013.10.006</w:t>
        </w:r>
      </w:hyperlink>
      <w:r w:rsidRPr="7BC99572">
        <w:rPr>
          <w:rFonts w:ascii="Arial" w:eastAsia="Arial" w:hAnsi="Arial" w:cs="Arial"/>
          <w:sz w:val="22"/>
          <w:szCs w:val="22"/>
        </w:rPr>
        <w:t xml:space="preserve"> </w:t>
      </w:r>
      <w:hyperlink r:id="rId16">
        <w:r w:rsidRPr="7BC99572">
          <w:rPr>
            <w:rStyle w:val="Hyperlink"/>
            <w:rFonts w:ascii="Arial" w:eastAsia="Arial" w:hAnsi="Arial" w:cs="Arial"/>
            <w:sz w:val="22"/>
            <w:szCs w:val="22"/>
          </w:rPr>
          <w:t>(doi.org in Bing).</w:t>
        </w:r>
      </w:hyperlink>
      <w:r w:rsidRPr="7BC99572">
        <w:rPr>
          <w:rFonts w:ascii="Arial" w:eastAsia="Arial" w:hAnsi="Arial" w:cs="Arial"/>
          <w:sz w:val="22"/>
          <w:szCs w:val="22"/>
        </w:rPr>
        <w:t xml:space="preserve"> Accessed: 19 February 2026.</w:t>
      </w:r>
    </w:p>
    <w:p w14:paraId="2E5D2284"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Carehome.co.uk (2024) Residential care homes: services and support. Available at: </w:t>
      </w:r>
      <w:hyperlink r:id="rId17">
        <w:r w:rsidRPr="7BC99572">
          <w:rPr>
            <w:rStyle w:val="Hyperlink"/>
            <w:rFonts w:ascii="Arial" w:eastAsia="Arial" w:hAnsi="Arial" w:cs="Arial"/>
            <w:sz w:val="22"/>
            <w:szCs w:val="22"/>
          </w:rPr>
          <w:t>https://www.carehome.co.uk</w:t>
        </w:r>
      </w:hyperlink>
      <w:r w:rsidRPr="7BC99572">
        <w:rPr>
          <w:rFonts w:ascii="Arial" w:eastAsia="Arial" w:hAnsi="Arial" w:cs="Arial"/>
          <w:sz w:val="22"/>
          <w:szCs w:val="22"/>
        </w:rPr>
        <w:t xml:space="preserve"> (Accessed: 10 February 2026).</w:t>
      </w:r>
    </w:p>
    <w:p w14:paraId="4601DDD2"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Carehome.co.uk (2024) What is a residential care home? Available at: </w:t>
      </w:r>
      <w:hyperlink r:id="rId18">
        <w:r w:rsidRPr="7BC99572">
          <w:rPr>
            <w:rStyle w:val="Hyperlink"/>
            <w:rFonts w:ascii="Arial" w:eastAsia="Arial" w:hAnsi="Arial" w:cs="Arial"/>
            <w:sz w:val="22"/>
            <w:szCs w:val="22"/>
          </w:rPr>
          <w:t>https://www.carehome.co.uk/advice/what-is-a-residential-care-home</w:t>
        </w:r>
      </w:hyperlink>
      <w:r w:rsidRPr="7BC99572">
        <w:rPr>
          <w:rFonts w:ascii="Arial" w:eastAsia="Arial" w:hAnsi="Arial" w:cs="Arial"/>
          <w:sz w:val="22"/>
          <w:szCs w:val="22"/>
        </w:rPr>
        <w:t xml:space="preserve"> (carehome.co.uk in Bing) (Accessed: 10 February 2026).</w:t>
      </w:r>
    </w:p>
    <w:p w14:paraId="50A7A026"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Carers UK (2024) Residential care. Available at: </w:t>
      </w:r>
      <w:hyperlink r:id="rId19">
        <w:r w:rsidRPr="7BC99572">
          <w:rPr>
            <w:rStyle w:val="Hyperlink"/>
            <w:rFonts w:ascii="Arial" w:eastAsia="Arial" w:hAnsi="Arial" w:cs="Arial"/>
            <w:sz w:val="22"/>
            <w:szCs w:val="22"/>
          </w:rPr>
          <w:t>https://www.carersuk.org/help-and-advice/practical-support/arranging-care-and-support-for-someone/residential-care</w:t>
        </w:r>
      </w:hyperlink>
      <w:r w:rsidRPr="7BC99572">
        <w:rPr>
          <w:rFonts w:ascii="Arial" w:eastAsia="Arial" w:hAnsi="Arial" w:cs="Arial"/>
          <w:sz w:val="22"/>
          <w:szCs w:val="22"/>
        </w:rPr>
        <w:t xml:space="preserve"> (carersuk.org in Bing) (Accessed: 10 February 2026).</w:t>
      </w:r>
    </w:p>
    <w:p w14:paraId="49B7A9FF"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Carers UK (2024) Types of care: residential and nursing care. Available at: </w:t>
      </w:r>
      <w:hyperlink r:id="rId20">
        <w:r w:rsidRPr="7BC99572">
          <w:rPr>
            <w:rStyle w:val="Hyperlink"/>
            <w:rFonts w:ascii="Arial" w:eastAsia="Arial" w:hAnsi="Arial" w:cs="Arial"/>
            <w:sz w:val="22"/>
            <w:szCs w:val="22"/>
          </w:rPr>
          <w:t>https://www.carersuk.org</w:t>
        </w:r>
      </w:hyperlink>
      <w:r w:rsidRPr="7BC99572">
        <w:rPr>
          <w:rFonts w:ascii="Arial" w:eastAsia="Arial" w:hAnsi="Arial" w:cs="Arial"/>
          <w:sz w:val="22"/>
          <w:szCs w:val="22"/>
        </w:rPr>
        <w:t xml:space="preserve"> (Accessed: 10 February 2026).</w:t>
      </w:r>
    </w:p>
    <w:p w14:paraId="26016D76"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Department of Health (2007) Maternity Matters: Choice, Access and Continuity of Care in a Safe Service. London: Department of Health. Available at: </w:t>
      </w:r>
      <w:hyperlink r:id="rId21">
        <w:r w:rsidRPr="7BC99572">
          <w:rPr>
            <w:rStyle w:val="Hyperlink"/>
            <w:rFonts w:ascii="Arial" w:eastAsia="Arial" w:hAnsi="Arial" w:cs="Arial"/>
            <w:sz w:val="22"/>
            <w:szCs w:val="22"/>
          </w:rPr>
          <w:t>https://webarchive.nationalarchives.gov.uk/ukgwa/+/www.dh.gov.uk/en/Publicationsandstatistics/Publications/PublicationsPolicyAndGuidance/DH_073312</w:t>
        </w:r>
      </w:hyperlink>
      <w:r w:rsidRPr="7BC99572">
        <w:rPr>
          <w:rFonts w:ascii="Arial" w:eastAsia="Arial" w:hAnsi="Arial" w:cs="Arial"/>
          <w:sz w:val="22"/>
          <w:szCs w:val="22"/>
        </w:rPr>
        <w:t xml:space="preserve"> </w:t>
      </w:r>
      <w:hyperlink r:id="rId22">
        <w:r w:rsidRPr="7BC99572">
          <w:rPr>
            <w:rStyle w:val="Hyperlink"/>
            <w:rFonts w:ascii="Arial" w:eastAsia="Arial" w:hAnsi="Arial" w:cs="Arial"/>
            <w:sz w:val="22"/>
            <w:szCs w:val="22"/>
          </w:rPr>
          <w:t>(webarchive.nationalarchives.gov.uk in Bing).</w:t>
        </w:r>
      </w:hyperlink>
      <w:r w:rsidRPr="7BC99572">
        <w:rPr>
          <w:rFonts w:ascii="Arial" w:eastAsia="Arial" w:hAnsi="Arial" w:cs="Arial"/>
          <w:sz w:val="22"/>
          <w:szCs w:val="22"/>
        </w:rPr>
        <w:t xml:space="preserve"> Accessed: 19 February 2026.</w:t>
      </w:r>
    </w:p>
    <w:p w14:paraId="1FD108D5"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Dingwall, R., Rafferty, A.M. &amp; Webster, C. (1988) An Introduction to the Social History of Nursing. London: Routledge. Available at: </w:t>
      </w:r>
      <w:hyperlink r:id="rId23">
        <w:r w:rsidRPr="7BC99572">
          <w:rPr>
            <w:rStyle w:val="Hyperlink"/>
            <w:rFonts w:ascii="Arial" w:eastAsia="Arial" w:hAnsi="Arial" w:cs="Arial"/>
            <w:sz w:val="22"/>
            <w:szCs w:val="22"/>
          </w:rPr>
          <w:t>https://www.routledge.com/An-Introduction-to-the-Social-History-of-Nursing/Dingwall-Rafferty-Webster/p/book/9780415007295</w:t>
        </w:r>
      </w:hyperlink>
      <w:r w:rsidRPr="7BC99572">
        <w:rPr>
          <w:rFonts w:ascii="Arial" w:eastAsia="Arial" w:hAnsi="Arial" w:cs="Arial"/>
          <w:sz w:val="22"/>
          <w:szCs w:val="22"/>
        </w:rPr>
        <w:t xml:space="preserve"> </w:t>
      </w:r>
      <w:hyperlink r:id="rId24">
        <w:r w:rsidRPr="7BC99572">
          <w:rPr>
            <w:rStyle w:val="Hyperlink"/>
            <w:rFonts w:ascii="Arial" w:eastAsia="Arial" w:hAnsi="Arial" w:cs="Arial"/>
            <w:sz w:val="22"/>
            <w:szCs w:val="22"/>
          </w:rPr>
          <w:t>(routledge.com in Bing).</w:t>
        </w:r>
      </w:hyperlink>
      <w:r w:rsidRPr="7BC99572">
        <w:rPr>
          <w:rFonts w:ascii="Arial" w:eastAsia="Arial" w:hAnsi="Arial" w:cs="Arial"/>
          <w:sz w:val="22"/>
          <w:szCs w:val="22"/>
        </w:rPr>
        <w:t xml:space="preserve"> Accessed: 19 February 2026.</w:t>
      </w:r>
    </w:p>
    <w:p w14:paraId="314C995D"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Donnison, J. (1988) Midwives and Medical Men: A History of Inter-Professional Rivalries and Women’s Rights. London: Historical Publications. Available at: </w:t>
      </w:r>
      <w:hyperlink r:id="rId25">
        <w:r w:rsidRPr="7BC99572">
          <w:rPr>
            <w:rStyle w:val="Hyperlink"/>
            <w:rFonts w:ascii="Arial" w:eastAsia="Arial" w:hAnsi="Arial" w:cs="Arial"/>
            <w:sz w:val="22"/>
            <w:szCs w:val="22"/>
          </w:rPr>
          <w:t>https://www.worldcat.org/title/17650832.</w:t>
        </w:r>
      </w:hyperlink>
      <w:r w:rsidRPr="7BC99572">
        <w:rPr>
          <w:rFonts w:ascii="Arial" w:eastAsia="Arial" w:hAnsi="Arial" w:cs="Arial"/>
          <w:sz w:val="22"/>
          <w:szCs w:val="22"/>
        </w:rPr>
        <w:t xml:space="preserve"> Accessed: 19 February 2026.</w:t>
      </w:r>
    </w:p>
    <w:p w14:paraId="62A45149"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Drive Forward Foundation (2021) A brief history of the UK care system. Available at: </w:t>
      </w:r>
      <w:hyperlink r:id="rId26">
        <w:r w:rsidRPr="7BC99572">
          <w:rPr>
            <w:rStyle w:val="Hyperlink"/>
            <w:rFonts w:ascii="Arial" w:eastAsia="Arial" w:hAnsi="Arial" w:cs="Arial"/>
            <w:sz w:val="22"/>
            <w:szCs w:val="22"/>
          </w:rPr>
          <w:t>https://www.driveforwardfoundation.org</w:t>
        </w:r>
      </w:hyperlink>
      <w:r w:rsidRPr="7BC99572">
        <w:rPr>
          <w:rFonts w:ascii="Arial" w:eastAsia="Arial" w:hAnsi="Arial" w:cs="Arial"/>
          <w:sz w:val="22"/>
          <w:szCs w:val="22"/>
        </w:rPr>
        <w:t xml:space="preserve"> (Accessed: 10 February 2026).</w:t>
      </w:r>
    </w:p>
    <w:p w14:paraId="54CF48D1" w14:textId="77777777" w:rsidR="00712481" w:rsidRDefault="00712481" w:rsidP="7BC99572">
      <w:pPr>
        <w:rPr>
          <w:rFonts w:ascii="Arial" w:eastAsia="Arial" w:hAnsi="Arial" w:cs="Arial"/>
          <w:sz w:val="22"/>
          <w:szCs w:val="22"/>
        </w:rPr>
      </w:pPr>
      <w:proofErr w:type="spellStart"/>
      <w:r w:rsidRPr="7BC99572">
        <w:rPr>
          <w:rFonts w:ascii="Arial" w:eastAsia="Arial" w:hAnsi="Arial" w:cs="Arial"/>
          <w:sz w:val="22"/>
          <w:szCs w:val="22"/>
        </w:rPr>
        <w:t>eCert</w:t>
      </w:r>
      <w:proofErr w:type="spellEnd"/>
      <w:r w:rsidRPr="7BC99572">
        <w:rPr>
          <w:rFonts w:ascii="Arial" w:eastAsia="Arial" w:hAnsi="Arial" w:cs="Arial"/>
          <w:sz w:val="22"/>
          <w:szCs w:val="22"/>
        </w:rPr>
        <w:t xml:space="preserve"> Training (2024) Funding and financial challenges in care homes. Available at: </w:t>
      </w:r>
      <w:hyperlink r:id="rId27">
        <w:r w:rsidRPr="7BC99572">
          <w:rPr>
            <w:rStyle w:val="Hyperlink"/>
            <w:rFonts w:ascii="Arial" w:eastAsia="Arial" w:hAnsi="Arial" w:cs="Arial"/>
            <w:sz w:val="22"/>
            <w:szCs w:val="22"/>
          </w:rPr>
          <w:t>https://ecerttraining.co.uk/resources/funding-and-financial-challenges-in-care-homes/</w:t>
        </w:r>
      </w:hyperlink>
      <w:r w:rsidRPr="7BC99572">
        <w:rPr>
          <w:rFonts w:ascii="Arial" w:eastAsia="Arial" w:hAnsi="Arial" w:cs="Arial"/>
          <w:sz w:val="22"/>
          <w:szCs w:val="22"/>
        </w:rPr>
        <w:t xml:space="preserve"> (Accessed: 10 February 2026).</w:t>
      </w:r>
    </w:p>
    <w:p w14:paraId="2F2957F6"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Gloveman (2023) The history of care homes in Britain. Available at: </w:t>
      </w:r>
      <w:hyperlink r:id="rId28">
        <w:r w:rsidRPr="7BC99572">
          <w:rPr>
            <w:rStyle w:val="Hyperlink"/>
            <w:rFonts w:ascii="Arial" w:eastAsia="Arial" w:hAnsi="Arial" w:cs="Arial"/>
            <w:sz w:val="22"/>
            <w:szCs w:val="22"/>
          </w:rPr>
          <w:t>https://www.gloveman.co.uk</w:t>
        </w:r>
      </w:hyperlink>
      <w:r w:rsidRPr="7BC99572">
        <w:rPr>
          <w:rFonts w:ascii="Arial" w:eastAsia="Arial" w:hAnsi="Arial" w:cs="Arial"/>
          <w:sz w:val="22"/>
          <w:szCs w:val="22"/>
        </w:rPr>
        <w:t xml:space="preserve"> (Accessed: 10 February 2026).</w:t>
      </w:r>
    </w:p>
    <w:p w14:paraId="602050A2"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Henderson, J. et al. (2018) ‘Experiences of care and inequalities in maternity services’, BMC Pregnancy and Childbirth, 18(1), pp. 1–10. Available at: </w:t>
      </w:r>
      <w:hyperlink r:id="rId29">
        <w:r w:rsidRPr="7BC99572">
          <w:rPr>
            <w:rStyle w:val="Hyperlink"/>
            <w:rFonts w:ascii="Arial" w:eastAsia="Arial" w:hAnsi="Arial" w:cs="Arial"/>
            <w:sz w:val="22"/>
            <w:szCs w:val="22"/>
          </w:rPr>
          <w:t>https://doi.org/10.1186/s12884-018-1931-1</w:t>
        </w:r>
      </w:hyperlink>
      <w:r w:rsidRPr="7BC99572">
        <w:rPr>
          <w:rFonts w:ascii="Arial" w:eastAsia="Arial" w:hAnsi="Arial" w:cs="Arial"/>
          <w:sz w:val="22"/>
          <w:szCs w:val="22"/>
        </w:rPr>
        <w:t xml:space="preserve"> </w:t>
      </w:r>
      <w:hyperlink r:id="rId30">
        <w:r w:rsidRPr="7BC99572">
          <w:rPr>
            <w:rStyle w:val="Hyperlink"/>
            <w:rFonts w:ascii="Arial" w:eastAsia="Arial" w:hAnsi="Arial" w:cs="Arial"/>
            <w:sz w:val="22"/>
            <w:szCs w:val="22"/>
          </w:rPr>
          <w:t>(doi.org in Bing).</w:t>
        </w:r>
      </w:hyperlink>
      <w:r w:rsidRPr="7BC99572">
        <w:rPr>
          <w:rFonts w:ascii="Arial" w:eastAsia="Arial" w:hAnsi="Arial" w:cs="Arial"/>
          <w:sz w:val="22"/>
          <w:szCs w:val="22"/>
        </w:rPr>
        <w:t xml:space="preserve"> Accessed: 19 February 2026.</w:t>
      </w:r>
    </w:p>
    <w:p w14:paraId="52C22FA4"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Knight, M. et al. (2023) MBRRACE-UK: Saving Lives, Improving Mothers’ Care. Oxford: National Perinatal Epidemiology Unit. Available at: </w:t>
      </w:r>
      <w:hyperlink r:id="rId31">
        <w:r w:rsidRPr="7BC99572">
          <w:rPr>
            <w:rStyle w:val="Hyperlink"/>
            <w:rFonts w:ascii="Arial" w:eastAsia="Arial" w:hAnsi="Arial" w:cs="Arial"/>
            <w:sz w:val="22"/>
            <w:szCs w:val="22"/>
          </w:rPr>
          <w:t>https://www.npeu.ox.ac.uk/mbrrace-uk/reports</w:t>
        </w:r>
      </w:hyperlink>
      <w:r w:rsidRPr="7BC99572">
        <w:rPr>
          <w:rFonts w:ascii="Arial" w:eastAsia="Arial" w:hAnsi="Arial" w:cs="Arial"/>
          <w:sz w:val="22"/>
          <w:szCs w:val="22"/>
        </w:rPr>
        <w:t xml:space="preserve"> </w:t>
      </w:r>
      <w:hyperlink r:id="rId32">
        <w:r w:rsidRPr="7BC99572">
          <w:rPr>
            <w:rStyle w:val="Hyperlink"/>
            <w:rFonts w:ascii="Arial" w:eastAsia="Arial" w:hAnsi="Arial" w:cs="Arial"/>
            <w:sz w:val="22"/>
            <w:szCs w:val="22"/>
          </w:rPr>
          <w:t>(npeu.ox.ac.uk in Bing).</w:t>
        </w:r>
      </w:hyperlink>
      <w:r w:rsidRPr="7BC99572">
        <w:rPr>
          <w:rFonts w:ascii="Arial" w:eastAsia="Arial" w:hAnsi="Arial" w:cs="Arial"/>
          <w:sz w:val="22"/>
          <w:szCs w:val="22"/>
        </w:rPr>
        <w:t xml:space="preserve"> Accessed: 19 February 2026.</w:t>
      </w:r>
    </w:p>
    <w:p w14:paraId="7EAA89C8"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lastRenderedPageBreak/>
        <w:t xml:space="preserve">Marland, H. (1997) ‘A pioneer in infant welfare: The Huddersfield scheme, 1903–1920’, Social History of Medicine, 10(1), pp. 37–57. Available at: </w:t>
      </w:r>
      <w:hyperlink r:id="rId33">
        <w:r w:rsidRPr="7BC99572">
          <w:rPr>
            <w:rStyle w:val="Hyperlink"/>
            <w:rFonts w:ascii="Arial" w:eastAsia="Arial" w:hAnsi="Arial" w:cs="Arial"/>
            <w:sz w:val="22"/>
            <w:szCs w:val="22"/>
          </w:rPr>
          <w:t>https://doi.org/10.1093/shm/10.1.37</w:t>
        </w:r>
      </w:hyperlink>
      <w:r w:rsidRPr="7BC99572">
        <w:rPr>
          <w:rFonts w:ascii="Arial" w:eastAsia="Arial" w:hAnsi="Arial" w:cs="Arial"/>
          <w:sz w:val="22"/>
          <w:szCs w:val="22"/>
        </w:rPr>
        <w:t xml:space="preserve"> </w:t>
      </w:r>
      <w:hyperlink r:id="rId34">
        <w:r w:rsidRPr="7BC99572">
          <w:rPr>
            <w:rStyle w:val="Hyperlink"/>
            <w:rFonts w:ascii="Arial" w:eastAsia="Arial" w:hAnsi="Arial" w:cs="Arial"/>
            <w:sz w:val="22"/>
            <w:szCs w:val="22"/>
          </w:rPr>
          <w:t>(doi.org in Bing).</w:t>
        </w:r>
      </w:hyperlink>
      <w:r w:rsidRPr="7BC99572">
        <w:rPr>
          <w:rFonts w:ascii="Arial" w:eastAsia="Arial" w:hAnsi="Arial" w:cs="Arial"/>
          <w:sz w:val="22"/>
          <w:szCs w:val="22"/>
        </w:rPr>
        <w:t xml:space="preserve"> Accessed: 19 February 2026.</w:t>
      </w:r>
    </w:p>
    <w:p w14:paraId="6F74AA60"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Munson, S. (2025) A history of care homes. Available at: </w:t>
      </w:r>
      <w:hyperlink r:id="rId35">
        <w:r w:rsidRPr="7BC99572">
          <w:rPr>
            <w:rStyle w:val="Hyperlink"/>
            <w:rFonts w:ascii="Arial" w:eastAsia="Arial" w:hAnsi="Arial" w:cs="Arial"/>
            <w:sz w:val="22"/>
            <w:szCs w:val="22"/>
          </w:rPr>
          <w:t>https://www.carehome.co.uk</w:t>
        </w:r>
      </w:hyperlink>
      <w:r w:rsidRPr="7BC99572">
        <w:rPr>
          <w:rFonts w:ascii="Arial" w:eastAsia="Arial" w:hAnsi="Arial" w:cs="Arial"/>
          <w:sz w:val="22"/>
          <w:szCs w:val="22"/>
        </w:rPr>
        <w:t xml:space="preserve"> (Accessed: 10 February 2026).</w:t>
      </w:r>
    </w:p>
    <w:p w14:paraId="69B9144B"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National Institute for Health and Care Excellence (2021) Antenatal Care (NG201). London: NICE. Available at: </w:t>
      </w:r>
      <w:hyperlink r:id="rId36">
        <w:r w:rsidRPr="7BC99572">
          <w:rPr>
            <w:rStyle w:val="Hyperlink"/>
            <w:rFonts w:ascii="Arial" w:eastAsia="Arial" w:hAnsi="Arial" w:cs="Arial"/>
            <w:sz w:val="22"/>
            <w:szCs w:val="22"/>
          </w:rPr>
          <w:t>https://www.nice.org.uk/guidance/ng201.</w:t>
        </w:r>
      </w:hyperlink>
      <w:r w:rsidRPr="7BC99572">
        <w:rPr>
          <w:rFonts w:ascii="Arial" w:eastAsia="Arial" w:hAnsi="Arial" w:cs="Arial"/>
          <w:sz w:val="22"/>
          <w:szCs w:val="22"/>
        </w:rPr>
        <w:t xml:space="preserve"> Accessed: 19 February 2026.</w:t>
      </w:r>
    </w:p>
    <w:p w14:paraId="7C4C5EFA"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Nolan, M. (2012) Antenatal Education: A Dynamic Approach. London: Churchill Livingstone. Available at: </w:t>
      </w:r>
      <w:hyperlink r:id="rId37">
        <w:r w:rsidRPr="7BC99572">
          <w:rPr>
            <w:rStyle w:val="Hyperlink"/>
            <w:rFonts w:ascii="Arial" w:eastAsia="Arial" w:hAnsi="Arial" w:cs="Arial"/>
            <w:sz w:val="22"/>
            <w:szCs w:val="22"/>
          </w:rPr>
          <w:t>https://www.elsevier.com/books/antenatal-education/nolan/978-0-7020-3575-0</w:t>
        </w:r>
      </w:hyperlink>
      <w:r w:rsidRPr="7BC99572">
        <w:rPr>
          <w:rFonts w:ascii="Arial" w:eastAsia="Arial" w:hAnsi="Arial" w:cs="Arial"/>
          <w:sz w:val="22"/>
          <w:szCs w:val="22"/>
        </w:rPr>
        <w:t xml:space="preserve"> </w:t>
      </w:r>
      <w:hyperlink r:id="rId38">
        <w:r w:rsidRPr="7BC99572">
          <w:rPr>
            <w:rStyle w:val="Hyperlink"/>
            <w:rFonts w:ascii="Arial" w:eastAsia="Arial" w:hAnsi="Arial" w:cs="Arial"/>
            <w:sz w:val="22"/>
            <w:szCs w:val="22"/>
          </w:rPr>
          <w:t>(elsevier.com in Bing).</w:t>
        </w:r>
      </w:hyperlink>
      <w:r w:rsidRPr="7BC99572">
        <w:rPr>
          <w:rFonts w:ascii="Arial" w:eastAsia="Arial" w:hAnsi="Arial" w:cs="Arial"/>
          <w:sz w:val="22"/>
          <w:szCs w:val="22"/>
        </w:rPr>
        <w:t xml:space="preserve"> Accessed: 19 February 2026.</w:t>
      </w:r>
    </w:p>
    <w:p w14:paraId="18E4A5F1"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Paperclip (2024) Care homes and nursing homes in the UK. Available at: </w:t>
      </w:r>
      <w:hyperlink r:id="rId39">
        <w:r w:rsidRPr="7BC99572">
          <w:rPr>
            <w:rStyle w:val="Hyperlink"/>
            <w:rFonts w:ascii="Arial" w:eastAsia="Arial" w:hAnsi="Arial" w:cs="Arial"/>
            <w:sz w:val="22"/>
            <w:szCs w:val="22"/>
          </w:rPr>
          <w:t>https://www.paperclip.co.uk/care-homes/</w:t>
        </w:r>
      </w:hyperlink>
      <w:r w:rsidRPr="7BC99572">
        <w:rPr>
          <w:rFonts w:ascii="Arial" w:eastAsia="Arial" w:hAnsi="Arial" w:cs="Arial"/>
          <w:sz w:val="22"/>
          <w:szCs w:val="22"/>
        </w:rPr>
        <w:t xml:space="preserve"> (Accessed: 10 February 2026).</w:t>
      </w:r>
    </w:p>
    <w:p w14:paraId="16BED19D"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Public Health England (2019) Health Equity in England: The Marmot Review 10 Years On. London: PHE. Available at: </w:t>
      </w:r>
      <w:hyperlink r:id="rId40">
        <w:r w:rsidRPr="7BC99572">
          <w:rPr>
            <w:rStyle w:val="Hyperlink"/>
            <w:rFonts w:ascii="Arial" w:eastAsia="Arial" w:hAnsi="Arial" w:cs="Arial"/>
            <w:sz w:val="22"/>
            <w:szCs w:val="22"/>
          </w:rPr>
          <w:t>https://www.health.org.uk/publications/reports/the-marmot-review-10-years-on</w:t>
        </w:r>
      </w:hyperlink>
      <w:r w:rsidRPr="7BC99572">
        <w:rPr>
          <w:rFonts w:ascii="Arial" w:eastAsia="Arial" w:hAnsi="Arial" w:cs="Arial"/>
          <w:sz w:val="22"/>
          <w:szCs w:val="22"/>
        </w:rPr>
        <w:t xml:space="preserve"> </w:t>
      </w:r>
      <w:hyperlink r:id="rId41">
        <w:r w:rsidRPr="7BC99572">
          <w:rPr>
            <w:rStyle w:val="Hyperlink"/>
            <w:rFonts w:ascii="Arial" w:eastAsia="Arial" w:hAnsi="Arial" w:cs="Arial"/>
            <w:sz w:val="22"/>
            <w:szCs w:val="22"/>
          </w:rPr>
          <w:t>(health.org.uk in Bing).</w:t>
        </w:r>
      </w:hyperlink>
      <w:r w:rsidRPr="7BC99572">
        <w:rPr>
          <w:rFonts w:ascii="Arial" w:eastAsia="Arial" w:hAnsi="Arial" w:cs="Arial"/>
          <w:sz w:val="22"/>
          <w:szCs w:val="22"/>
        </w:rPr>
        <w:t xml:space="preserve"> Accessed: 19 February 2026.</w:t>
      </w:r>
    </w:p>
    <w:p w14:paraId="317C3D51"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Public Sector (2024) Care homes: key statistics and sector overview. Available at: https://www.publicsector.co.uk/chart-carehomes (Accessed: 10 February 2026)</w:t>
      </w:r>
    </w:p>
    <w:p w14:paraId="064918A2"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Public Sector (n.d.) Care homes chart. Available at: </w:t>
      </w:r>
      <w:hyperlink r:id="rId42">
        <w:r w:rsidRPr="7BC99572">
          <w:rPr>
            <w:rStyle w:val="Hyperlink"/>
            <w:rFonts w:ascii="Arial" w:eastAsia="Arial" w:hAnsi="Arial" w:cs="Arial"/>
            <w:sz w:val="22"/>
            <w:szCs w:val="22"/>
          </w:rPr>
          <w:t>https://www.publicsector.co.uk/chart-carehomes</w:t>
        </w:r>
      </w:hyperlink>
      <w:r w:rsidRPr="7BC99572">
        <w:rPr>
          <w:rFonts w:ascii="Arial" w:eastAsia="Arial" w:hAnsi="Arial" w:cs="Arial"/>
          <w:sz w:val="22"/>
          <w:szCs w:val="22"/>
        </w:rPr>
        <w:t xml:space="preserve"> (Accessed: 19 February 2026).</w:t>
      </w:r>
    </w:p>
    <w:p w14:paraId="3D42A7EA"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References</w:t>
      </w:r>
    </w:p>
    <w:p w14:paraId="4130842A"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Renfrew, M.J. et al. (2014) ‘Midwifery and quality care: Findings from a new evidence-informed framework for maternal and newborn care’, The Lancet, 384(9948), pp. 1129–1145. Available at: </w:t>
      </w:r>
      <w:hyperlink r:id="rId43">
        <w:r w:rsidRPr="7BC99572">
          <w:rPr>
            <w:rStyle w:val="Hyperlink"/>
            <w:rFonts w:ascii="Arial" w:eastAsia="Arial" w:hAnsi="Arial" w:cs="Arial"/>
            <w:sz w:val="22"/>
            <w:szCs w:val="22"/>
          </w:rPr>
          <w:t>https://doi.org/10.1016/S0140-6736(14)60789-3</w:t>
        </w:r>
      </w:hyperlink>
      <w:r w:rsidRPr="7BC99572">
        <w:rPr>
          <w:rFonts w:ascii="Arial" w:eastAsia="Arial" w:hAnsi="Arial" w:cs="Arial"/>
          <w:sz w:val="22"/>
          <w:szCs w:val="22"/>
        </w:rPr>
        <w:t xml:space="preserve"> </w:t>
      </w:r>
      <w:hyperlink r:id="rId44">
        <w:r w:rsidRPr="7BC99572">
          <w:rPr>
            <w:rStyle w:val="Hyperlink"/>
            <w:rFonts w:ascii="Arial" w:eastAsia="Arial" w:hAnsi="Arial" w:cs="Arial"/>
            <w:sz w:val="22"/>
            <w:szCs w:val="22"/>
          </w:rPr>
          <w:t>(doi.org in Bing)</w:t>
        </w:r>
      </w:hyperlink>
      <w:r w:rsidRPr="7BC99572">
        <w:rPr>
          <w:rFonts w:ascii="Arial" w:eastAsia="Arial" w:hAnsi="Arial" w:cs="Arial"/>
          <w:sz w:val="22"/>
          <w:szCs w:val="22"/>
        </w:rPr>
        <w:t>Accessed: 19 February 2026.</w:t>
      </w:r>
    </w:p>
    <w:p w14:paraId="7D4B1605"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Rowan Park Care (2024) What is a residential care home? Available at: </w:t>
      </w:r>
      <w:hyperlink r:id="rId45">
        <w:r w:rsidRPr="7BC99572">
          <w:rPr>
            <w:rStyle w:val="Hyperlink"/>
            <w:rFonts w:ascii="Arial" w:eastAsia="Arial" w:hAnsi="Arial" w:cs="Arial"/>
            <w:sz w:val="22"/>
            <w:szCs w:val="22"/>
          </w:rPr>
          <w:t>https://rowanparkcare.co.uk/news-events/what-is-a-residential-care-home</w:t>
        </w:r>
      </w:hyperlink>
      <w:r w:rsidRPr="7BC99572">
        <w:rPr>
          <w:rFonts w:ascii="Arial" w:eastAsia="Arial" w:hAnsi="Arial" w:cs="Arial"/>
          <w:sz w:val="22"/>
          <w:szCs w:val="22"/>
        </w:rPr>
        <w:t xml:space="preserve"> (Accessed: 10 February 2026).</w:t>
      </w:r>
    </w:p>
    <w:p w14:paraId="4498CB0E"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Royal College of Midwives (2023) The State of Maternity Services Report. London: RCM. Available at: </w:t>
      </w:r>
      <w:hyperlink r:id="rId46">
        <w:r w:rsidRPr="7BC99572">
          <w:rPr>
            <w:rStyle w:val="Hyperlink"/>
            <w:rFonts w:ascii="Arial" w:eastAsia="Arial" w:hAnsi="Arial" w:cs="Arial"/>
            <w:sz w:val="22"/>
            <w:szCs w:val="22"/>
          </w:rPr>
          <w:t>https://www.rcm.org.uk/media-releases/2023/november/state-of-maternity-services-report-2023/</w:t>
        </w:r>
      </w:hyperlink>
      <w:r w:rsidRPr="7BC99572">
        <w:rPr>
          <w:rFonts w:ascii="Arial" w:eastAsia="Arial" w:hAnsi="Arial" w:cs="Arial"/>
          <w:sz w:val="22"/>
          <w:szCs w:val="22"/>
        </w:rPr>
        <w:t xml:space="preserve"> </w:t>
      </w:r>
      <w:hyperlink r:id="rId47">
        <w:r w:rsidRPr="7BC99572">
          <w:rPr>
            <w:rStyle w:val="Hyperlink"/>
            <w:rFonts w:ascii="Arial" w:eastAsia="Arial" w:hAnsi="Arial" w:cs="Arial"/>
            <w:sz w:val="22"/>
            <w:szCs w:val="22"/>
          </w:rPr>
          <w:t>(rcm.org.uk in Bing)</w:t>
        </w:r>
      </w:hyperlink>
      <w:r w:rsidRPr="7BC99572">
        <w:rPr>
          <w:rFonts w:ascii="Arial" w:eastAsia="Arial" w:hAnsi="Arial" w:cs="Arial"/>
          <w:sz w:val="22"/>
          <w:szCs w:val="22"/>
        </w:rPr>
        <w:t>Accessed: 19 February 2026.</w:t>
      </w:r>
    </w:p>
    <w:p w14:paraId="34B2C110"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Sandall, J. et al. (2016) ‘Midwife-led continuity models versus other models of care for childbearing women’, Cochrane Database of Systematic Reviews, Issue 4, CD004667. Available at: </w:t>
      </w:r>
      <w:hyperlink r:id="rId48">
        <w:r w:rsidRPr="7BC99572">
          <w:rPr>
            <w:rStyle w:val="Hyperlink"/>
            <w:rFonts w:ascii="Arial" w:eastAsia="Arial" w:hAnsi="Arial" w:cs="Arial"/>
            <w:sz w:val="22"/>
            <w:szCs w:val="22"/>
          </w:rPr>
          <w:t>https://doi.org/10.1002/14651858.CD004667.pub5</w:t>
        </w:r>
      </w:hyperlink>
      <w:r w:rsidRPr="7BC99572">
        <w:rPr>
          <w:rFonts w:ascii="Arial" w:eastAsia="Arial" w:hAnsi="Arial" w:cs="Arial"/>
          <w:sz w:val="22"/>
          <w:szCs w:val="22"/>
        </w:rPr>
        <w:t xml:space="preserve"> </w:t>
      </w:r>
      <w:hyperlink r:id="rId49">
        <w:r w:rsidRPr="7BC99572">
          <w:rPr>
            <w:rStyle w:val="Hyperlink"/>
            <w:rFonts w:ascii="Arial" w:eastAsia="Arial" w:hAnsi="Arial" w:cs="Arial"/>
            <w:sz w:val="22"/>
            <w:szCs w:val="22"/>
          </w:rPr>
          <w:t>(doi.org in Bing)</w:t>
        </w:r>
      </w:hyperlink>
      <w:r w:rsidRPr="7BC99572">
        <w:rPr>
          <w:rFonts w:ascii="Arial" w:eastAsia="Arial" w:hAnsi="Arial" w:cs="Arial"/>
          <w:sz w:val="22"/>
          <w:szCs w:val="22"/>
        </w:rPr>
        <w:t>Accessed: 19 February 2026.</w:t>
      </w:r>
    </w:p>
    <w:p w14:paraId="48A548A5"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Wikipedia (2025) Nursing home care in the United Kingdom. Available at: https://en.wikipedia.org (Accessed: 10 February 2026).</w:t>
      </w:r>
    </w:p>
    <w:p w14:paraId="07E0C6E0" w14:textId="77777777" w:rsidR="00712481" w:rsidRDefault="00712481" w:rsidP="7BC99572">
      <w:pPr>
        <w:rPr>
          <w:rFonts w:ascii="Arial" w:eastAsia="Arial" w:hAnsi="Arial" w:cs="Arial"/>
          <w:sz w:val="22"/>
          <w:szCs w:val="22"/>
        </w:rPr>
      </w:pPr>
      <w:r w:rsidRPr="7BC99572">
        <w:rPr>
          <w:rFonts w:ascii="Arial" w:eastAsia="Arial" w:hAnsi="Arial" w:cs="Arial"/>
          <w:sz w:val="22"/>
          <w:szCs w:val="22"/>
        </w:rPr>
        <w:t xml:space="preserve">World Health Organization (2016) WHO Recommendations on Antenatal Care for a Positive Pregnancy Experience. Geneva: WHO. Available at: </w:t>
      </w:r>
      <w:hyperlink r:id="rId50">
        <w:r w:rsidRPr="7BC99572">
          <w:rPr>
            <w:rStyle w:val="Hyperlink"/>
            <w:rFonts w:ascii="Arial" w:eastAsia="Arial" w:hAnsi="Arial" w:cs="Arial"/>
            <w:sz w:val="22"/>
            <w:szCs w:val="22"/>
          </w:rPr>
          <w:t>https://www.who.int/publications/i/item/9789241549912</w:t>
        </w:r>
      </w:hyperlink>
      <w:r w:rsidRPr="7BC99572">
        <w:rPr>
          <w:rFonts w:ascii="Arial" w:eastAsia="Arial" w:hAnsi="Arial" w:cs="Arial"/>
          <w:sz w:val="22"/>
          <w:szCs w:val="22"/>
        </w:rPr>
        <w:t xml:space="preserve"> </w:t>
      </w:r>
      <w:hyperlink r:id="rId51">
        <w:r w:rsidRPr="7BC99572">
          <w:rPr>
            <w:rStyle w:val="Hyperlink"/>
            <w:rFonts w:ascii="Arial" w:eastAsia="Arial" w:hAnsi="Arial" w:cs="Arial"/>
            <w:sz w:val="22"/>
            <w:szCs w:val="22"/>
          </w:rPr>
          <w:t>(who.int in Bing)</w:t>
        </w:r>
      </w:hyperlink>
      <w:r w:rsidRPr="7BC99572">
        <w:rPr>
          <w:rFonts w:ascii="Arial" w:eastAsia="Arial" w:hAnsi="Arial" w:cs="Arial"/>
          <w:sz w:val="22"/>
          <w:szCs w:val="22"/>
        </w:rPr>
        <w:t xml:space="preserve"> Accessed: 19 February 2026.</w:t>
      </w:r>
    </w:p>
    <w:p w14:paraId="1525CBFE" w14:textId="390262F2" w:rsidR="7C6CE50D" w:rsidRDefault="7C6CE50D" w:rsidP="5347E84F">
      <w:pPr>
        <w:pStyle w:val="ListParagraph"/>
        <w:spacing w:line="360" w:lineRule="auto"/>
        <w:rPr>
          <w:rFonts w:ascii="Arial" w:eastAsia="Arial" w:hAnsi="Arial" w:cs="Arial"/>
          <w:sz w:val="22"/>
          <w:szCs w:val="22"/>
        </w:rPr>
      </w:pPr>
    </w:p>
    <w:sectPr w:rsidR="7C6CE50D">
      <w:footerReference w:type="default" r:id="rId5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B9F559" w14:textId="77777777" w:rsidR="001335C3" w:rsidRDefault="001335C3">
      <w:pPr>
        <w:spacing w:after="0" w:line="240" w:lineRule="auto"/>
      </w:pPr>
      <w:r>
        <w:separator/>
      </w:r>
    </w:p>
  </w:endnote>
  <w:endnote w:type="continuationSeparator" w:id="0">
    <w:p w14:paraId="15EF72C8" w14:textId="77777777" w:rsidR="001335C3" w:rsidRDefault="001335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2971"/>
      <w:gridCol w:w="2973"/>
      <w:gridCol w:w="3082"/>
    </w:tblGrid>
    <w:tr w:rsidR="5347E84F" w14:paraId="35646C68" w14:textId="77777777" w:rsidTr="5347E84F">
      <w:trPr>
        <w:trHeight w:val="300"/>
      </w:trPr>
      <w:tc>
        <w:tcPr>
          <w:tcW w:w="3005" w:type="dxa"/>
        </w:tcPr>
        <w:p w14:paraId="2ADE6D6F" w14:textId="55515540" w:rsidR="5347E84F" w:rsidRDefault="5347E84F" w:rsidP="5347E84F">
          <w:pPr>
            <w:pStyle w:val="Header"/>
            <w:ind w:left="-115"/>
          </w:pPr>
        </w:p>
      </w:tc>
      <w:tc>
        <w:tcPr>
          <w:tcW w:w="3005" w:type="dxa"/>
        </w:tcPr>
        <w:p w14:paraId="502F04F2" w14:textId="0FDB0FD9" w:rsidR="5347E84F" w:rsidRDefault="5347E84F" w:rsidP="5347E84F">
          <w:pPr>
            <w:pStyle w:val="Header"/>
            <w:jc w:val="center"/>
          </w:pPr>
          <w:r>
            <w:fldChar w:fldCharType="begin"/>
          </w:r>
          <w:r>
            <w:instrText>PAGE</w:instrText>
          </w:r>
          <w:r>
            <w:fldChar w:fldCharType="separate"/>
          </w:r>
          <w:r w:rsidR="00712481">
            <w:rPr>
              <w:noProof/>
            </w:rPr>
            <w:t>1</w:t>
          </w:r>
          <w:r>
            <w:fldChar w:fldCharType="end"/>
          </w:r>
        </w:p>
      </w:tc>
      <w:tc>
        <w:tcPr>
          <w:tcW w:w="3117" w:type="dxa"/>
        </w:tcPr>
        <w:p w14:paraId="043C73E1" w14:textId="4122699A" w:rsidR="5347E84F" w:rsidRDefault="5347E84F" w:rsidP="5347E84F">
          <w:pPr>
            <w:pStyle w:val="Header"/>
            <w:ind w:right="-115"/>
            <w:jc w:val="right"/>
          </w:pPr>
        </w:p>
      </w:tc>
    </w:tr>
  </w:tbl>
  <w:p w14:paraId="17AD40E3" w14:textId="762B52B7" w:rsidR="5347E84F" w:rsidRDefault="5347E84F" w:rsidP="5347E8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0E505E" w14:textId="77777777" w:rsidR="001335C3" w:rsidRDefault="001335C3">
      <w:pPr>
        <w:spacing w:after="0" w:line="240" w:lineRule="auto"/>
      </w:pPr>
      <w:r>
        <w:separator/>
      </w:r>
    </w:p>
  </w:footnote>
  <w:footnote w:type="continuationSeparator" w:id="0">
    <w:p w14:paraId="25F927A3" w14:textId="77777777" w:rsidR="001335C3" w:rsidRDefault="001335C3">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p9gN3csMnDDGSi" int2:id="KX23RKcO">
      <int2:state int2:value="Rejected" int2:type="spell"/>
    </int2:textHash>
    <int2:textHash int2:hashCode="NglIdUdFpC7B64" int2:id="jv1NDBH4">
      <int2:state int2:value="Rejected" int2:type="spell"/>
    </int2:textHash>
    <int2:textHash int2:hashCode="PjkWGDHRKEmBqB" int2:id="1mz1Nxrg">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7D793F"/>
    <w:multiLevelType w:val="hybridMultilevel"/>
    <w:tmpl w:val="2C80ADB4"/>
    <w:lvl w:ilvl="0" w:tplc="7FE87024">
      <w:start w:val="1"/>
      <w:numFmt w:val="bullet"/>
      <w:lvlText w:val="-"/>
      <w:lvlJc w:val="left"/>
      <w:pPr>
        <w:ind w:left="720" w:hanging="360"/>
      </w:pPr>
      <w:rPr>
        <w:rFonts w:ascii="Aptos" w:hAnsi="Aptos" w:hint="default"/>
      </w:rPr>
    </w:lvl>
    <w:lvl w:ilvl="1" w:tplc="746E2034">
      <w:start w:val="1"/>
      <w:numFmt w:val="bullet"/>
      <w:lvlText w:val="o"/>
      <w:lvlJc w:val="left"/>
      <w:pPr>
        <w:ind w:left="1440" w:hanging="360"/>
      </w:pPr>
      <w:rPr>
        <w:rFonts w:ascii="Courier New" w:hAnsi="Courier New" w:hint="default"/>
      </w:rPr>
    </w:lvl>
    <w:lvl w:ilvl="2" w:tplc="F2AA1312">
      <w:start w:val="1"/>
      <w:numFmt w:val="bullet"/>
      <w:lvlText w:val=""/>
      <w:lvlJc w:val="left"/>
      <w:pPr>
        <w:ind w:left="2160" w:hanging="360"/>
      </w:pPr>
      <w:rPr>
        <w:rFonts w:ascii="Wingdings" w:hAnsi="Wingdings" w:hint="default"/>
      </w:rPr>
    </w:lvl>
    <w:lvl w:ilvl="3" w:tplc="F2A07ACA">
      <w:start w:val="1"/>
      <w:numFmt w:val="bullet"/>
      <w:lvlText w:val=""/>
      <w:lvlJc w:val="left"/>
      <w:pPr>
        <w:ind w:left="2880" w:hanging="360"/>
      </w:pPr>
      <w:rPr>
        <w:rFonts w:ascii="Symbol" w:hAnsi="Symbol" w:hint="default"/>
      </w:rPr>
    </w:lvl>
    <w:lvl w:ilvl="4" w:tplc="2848B998">
      <w:start w:val="1"/>
      <w:numFmt w:val="bullet"/>
      <w:lvlText w:val="o"/>
      <w:lvlJc w:val="left"/>
      <w:pPr>
        <w:ind w:left="3600" w:hanging="360"/>
      </w:pPr>
      <w:rPr>
        <w:rFonts w:ascii="Courier New" w:hAnsi="Courier New" w:hint="default"/>
      </w:rPr>
    </w:lvl>
    <w:lvl w:ilvl="5" w:tplc="A4446EF6">
      <w:start w:val="1"/>
      <w:numFmt w:val="bullet"/>
      <w:lvlText w:val=""/>
      <w:lvlJc w:val="left"/>
      <w:pPr>
        <w:ind w:left="4320" w:hanging="360"/>
      </w:pPr>
      <w:rPr>
        <w:rFonts w:ascii="Wingdings" w:hAnsi="Wingdings" w:hint="default"/>
      </w:rPr>
    </w:lvl>
    <w:lvl w:ilvl="6" w:tplc="382073CC">
      <w:start w:val="1"/>
      <w:numFmt w:val="bullet"/>
      <w:lvlText w:val=""/>
      <w:lvlJc w:val="left"/>
      <w:pPr>
        <w:ind w:left="5040" w:hanging="360"/>
      </w:pPr>
      <w:rPr>
        <w:rFonts w:ascii="Symbol" w:hAnsi="Symbol" w:hint="default"/>
      </w:rPr>
    </w:lvl>
    <w:lvl w:ilvl="7" w:tplc="F9409EDE">
      <w:start w:val="1"/>
      <w:numFmt w:val="bullet"/>
      <w:lvlText w:val="o"/>
      <w:lvlJc w:val="left"/>
      <w:pPr>
        <w:ind w:left="5760" w:hanging="360"/>
      </w:pPr>
      <w:rPr>
        <w:rFonts w:ascii="Courier New" w:hAnsi="Courier New" w:hint="default"/>
      </w:rPr>
    </w:lvl>
    <w:lvl w:ilvl="8" w:tplc="481A6440">
      <w:start w:val="1"/>
      <w:numFmt w:val="bullet"/>
      <w:lvlText w:val=""/>
      <w:lvlJc w:val="left"/>
      <w:pPr>
        <w:ind w:left="6480" w:hanging="360"/>
      </w:pPr>
      <w:rPr>
        <w:rFonts w:ascii="Wingdings" w:hAnsi="Wingdings" w:hint="default"/>
      </w:rPr>
    </w:lvl>
  </w:abstractNum>
  <w:abstractNum w:abstractNumId="1" w15:restartNumberingAfterBreak="0">
    <w:nsid w:val="0B77E58E"/>
    <w:multiLevelType w:val="hybridMultilevel"/>
    <w:tmpl w:val="D4E4E4E0"/>
    <w:lvl w:ilvl="0" w:tplc="2BE41242">
      <w:start w:val="1"/>
      <w:numFmt w:val="bullet"/>
      <w:lvlText w:val=""/>
      <w:lvlJc w:val="left"/>
      <w:pPr>
        <w:ind w:left="720" w:hanging="360"/>
      </w:pPr>
      <w:rPr>
        <w:rFonts w:ascii="Symbol" w:hAnsi="Symbol" w:hint="default"/>
      </w:rPr>
    </w:lvl>
    <w:lvl w:ilvl="1" w:tplc="BB4CCE2C">
      <w:start w:val="1"/>
      <w:numFmt w:val="bullet"/>
      <w:lvlText w:val="o"/>
      <w:lvlJc w:val="left"/>
      <w:pPr>
        <w:ind w:left="1440" w:hanging="360"/>
      </w:pPr>
      <w:rPr>
        <w:rFonts w:ascii="Courier New" w:hAnsi="Courier New" w:hint="default"/>
      </w:rPr>
    </w:lvl>
    <w:lvl w:ilvl="2" w:tplc="F21CDB12">
      <w:start w:val="1"/>
      <w:numFmt w:val="bullet"/>
      <w:lvlText w:val=""/>
      <w:lvlJc w:val="left"/>
      <w:pPr>
        <w:ind w:left="2160" w:hanging="360"/>
      </w:pPr>
      <w:rPr>
        <w:rFonts w:ascii="Wingdings" w:hAnsi="Wingdings" w:hint="default"/>
      </w:rPr>
    </w:lvl>
    <w:lvl w:ilvl="3" w:tplc="E2AC8BC2">
      <w:start w:val="1"/>
      <w:numFmt w:val="bullet"/>
      <w:lvlText w:val=""/>
      <w:lvlJc w:val="left"/>
      <w:pPr>
        <w:ind w:left="2880" w:hanging="360"/>
      </w:pPr>
      <w:rPr>
        <w:rFonts w:ascii="Symbol" w:hAnsi="Symbol" w:hint="default"/>
      </w:rPr>
    </w:lvl>
    <w:lvl w:ilvl="4" w:tplc="08224482">
      <w:start w:val="1"/>
      <w:numFmt w:val="bullet"/>
      <w:lvlText w:val="o"/>
      <w:lvlJc w:val="left"/>
      <w:pPr>
        <w:ind w:left="3600" w:hanging="360"/>
      </w:pPr>
      <w:rPr>
        <w:rFonts w:ascii="Courier New" w:hAnsi="Courier New" w:hint="default"/>
      </w:rPr>
    </w:lvl>
    <w:lvl w:ilvl="5" w:tplc="83CE1DFC">
      <w:start w:val="1"/>
      <w:numFmt w:val="bullet"/>
      <w:lvlText w:val=""/>
      <w:lvlJc w:val="left"/>
      <w:pPr>
        <w:ind w:left="4320" w:hanging="360"/>
      </w:pPr>
      <w:rPr>
        <w:rFonts w:ascii="Wingdings" w:hAnsi="Wingdings" w:hint="default"/>
      </w:rPr>
    </w:lvl>
    <w:lvl w:ilvl="6" w:tplc="B78CE30E">
      <w:start w:val="1"/>
      <w:numFmt w:val="bullet"/>
      <w:lvlText w:val=""/>
      <w:lvlJc w:val="left"/>
      <w:pPr>
        <w:ind w:left="5040" w:hanging="360"/>
      </w:pPr>
      <w:rPr>
        <w:rFonts w:ascii="Symbol" w:hAnsi="Symbol" w:hint="default"/>
      </w:rPr>
    </w:lvl>
    <w:lvl w:ilvl="7" w:tplc="1F1CF966">
      <w:start w:val="1"/>
      <w:numFmt w:val="bullet"/>
      <w:lvlText w:val="o"/>
      <w:lvlJc w:val="left"/>
      <w:pPr>
        <w:ind w:left="5760" w:hanging="360"/>
      </w:pPr>
      <w:rPr>
        <w:rFonts w:ascii="Courier New" w:hAnsi="Courier New" w:hint="default"/>
      </w:rPr>
    </w:lvl>
    <w:lvl w:ilvl="8" w:tplc="804EC6DC">
      <w:start w:val="1"/>
      <w:numFmt w:val="bullet"/>
      <w:lvlText w:val=""/>
      <w:lvlJc w:val="left"/>
      <w:pPr>
        <w:ind w:left="6480" w:hanging="360"/>
      </w:pPr>
      <w:rPr>
        <w:rFonts w:ascii="Wingdings" w:hAnsi="Wingdings" w:hint="default"/>
      </w:rPr>
    </w:lvl>
  </w:abstractNum>
  <w:abstractNum w:abstractNumId="2" w15:restartNumberingAfterBreak="0">
    <w:nsid w:val="47FD46CB"/>
    <w:multiLevelType w:val="hybridMultilevel"/>
    <w:tmpl w:val="FA24EC30"/>
    <w:lvl w:ilvl="0" w:tplc="B6708A56">
      <w:start w:val="1"/>
      <w:numFmt w:val="bullet"/>
      <w:lvlText w:val="-"/>
      <w:lvlJc w:val="left"/>
      <w:pPr>
        <w:ind w:left="720" w:hanging="360"/>
      </w:pPr>
      <w:rPr>
        <w:rFonts w:ascii="Aptos" w:hAnsi="Aptos" w:hint="default"/>
      </w:rPr>
    </w:lvl>
    <w:lvl w:ilvl="1" w:tplc="758E69DC">
      <w:start w:val="1"/>
      <w:numFmt w:val="bullet"/>
      <w:lvlText w:val="o"/>
      <w:lvlJc w:val="left"/>
      <w:pPr>
        <w:ind w:left="1440" w:hanging="360"/>
      </w:pPr>
      <w:rPr>
        <w:rFonts w:ascii="Courier New" w:hAnsi="Courier New" w:hint="default"/>
      </w:rPr>
    </w:lvl>
    <w:lvl w:ilvl="2" w:tplc="7474282E">
      <w:start w:val="1"/>
      <w:numFmt w:val="bullet"/>
      <w:lvlText w:val=""/>
      <w:lvlJc w:val="left"/>
      <w:pPr>
        <w:ind w:left="2160" w:hanging="360"/>
      </w:pPr>
      <w:rPr>
        <w:rFonts w:ascii="Wingdings" w:hAnsi="Wingdings" w:hint="default"/>
      </w:rPr>
    </w:lvl>
    <w:lvl w:ilvl="3" w:tplc="F1803DA8">
      <w:start w:val="1"/>
      <w:numFmt w:val="bullet"/>
      <w:lvlText w:val=""/>
      <w:lvlJc w:val="left"/>
      <w:pPr>
        <w:ind w:left="2880" w:hanging="360"/>
      </w:pPr>
      <w:rPr>
        <w:rFonts w:ascii="Symbol" w:hAnsi="Symbol" w:hint="default"/>
      </w:rPr>
    </w:lvl>
    <w:lvl w:ilvl="4" w:tplc="C9AAFB02">
      <w:start w:val="1"/>
      <w:numFmt w:val="bullet"/>
      <w:lvlText w:val="o"/>
      <w:lvlJc w:val="left"/>
      <w:pPr>
        <w:ind w:left="3600" w:hanging="360"/>
      </w:pPr>
      <w:rPr>
        <w:rFonts w:ascii="Courier New" w:hAnsi="Courier New" w:hint="default"/>
      </w:rPr>
    </w:lvl>
    <w:lvl w:ilvl="5" w:tplc="3F6A4F4A">
      <w:start w:val="1"/>
      <w:numFmt w:val="bullet"/>
      <w:lvlText w:val=""/>
      <w:lvlJc w:val="left"/>
      <w:pPr>
        <w:ind w:left="4320" w:hanging="360"/>
      </w:pPr>
      <w:rPr>
        <w:rFonts w:ascii="Wingdings" w:hAnsi="Wingdings" w:hint="default"/>
      </w:rPr>
    </w:lvl>
    <w:lvl w:ilvl="6" w:tplc="4E0C8FC4">
      <w:start w:val="1"/>
      <w:numFmt w:val="bullet"/>
      <w:lvlText w:val=""/>
      <w:lvlJc w:val="left"/>
      <w:pPr>
        <w:ind w:left="5040" w:hanging="360"/>
      </w:pPr>
      <w:rPr>
        <w:rFonts w:ascii="Symbol" w:hAnsi="Symbol" w:hint="default"/>
      </w:rPr>
    </w:lvl>
    <w:lvl w:ilvl="7" w:tplc="C964B078">
      <w:start w:val="1"/>
      <w:numFmt w:val="bullet"/>
      <w:lvlText w:val="o"/>
      <w:lvlJc w:val="left"/>
      <w:pPr>
        <w:ind w:left="5760" w:hanging="360"/>
      </w:pPr>
      <w:rPr>
        <w:rFonts w:ascii="Courier New" w:hAnsi="Courier New" w:hint="default"/>
      </w:rPr>
    </w:lvl>
    <w:lvl w:ilvl="8" w:tplc="6E4239E4">
      <w:start w:val="1"/>
      <w:numFmt w:val="bullet"/>
      <w:lvlText w:val=""/>
      <w:lvlJc w:val="left"/>
      <w:pPr>
        <w:ind w:left="6480" w:hanging="360"/>
      </w:pPr>
      <w:rPr>
        <w:rFonts w:ascii="Wingdings" w:hAnsi="Wingdings" w:hint="default"/>
      </w:rPr>
    </w:lvl>
  </w:abstractNum>
  <w:abstractNum w:abstractNumId="3" w15:restartNumberingAfterBreak="0">
    <w:nsid w:val="61D5FFB2"/>
    <w:multiLevelType w:val="hybridMultilevel"/>
    <w:tmpl w:val="ECE84474"/>
    <w:lvl w:ilvl="0" w:tplc="61100C4E">
      <w:start w:val="1"/>
      <w:numFmt w:val="decimal"/>
      <w:lvlText w:val="%1."/>
      <w:lvlJc w:val="left"/>
      <w:pPr>
        <w:ind w:left="720" w:hanging="360"/>
      </w:pPr>
    </w:lvl>
    <w:lvl w:ilvl="1" w:tplc="89B8F0AE">
      <w:start w:val="1"/>
      <w:numFmt w:val="lowerLetter"/>
      <w:lvlText w:val="%2."/>
      <w:lvlJc w:val="left"/>
      <w:pPr>
        <w:ind w:left="1440" w:hanging="360"/>
      </w:pPr>
    </w:lvl>
    <w:lvl w:ilvl="2" w:tplc="E58262D4">
      <w:start w:val="1"/>
      <w:numFmt w:val="lowerRoman"/>
      <w:lvlText w:val="%3."/>
      <w:lvlJc w:val="right"/>
      <w:pPr>
        <w:ind w:left="2160" w:hanging="180"/>
      </w:pPr>
    </w:lvl>
    <w:lvl w:ilvl="3" w:tplc="EE5AAA0A">
      <w:start w:val="1"/>
      <w:numFmt w:val="decimal"/>
      <w:lvlText w:val="%4."/>
      <w:lvlJc w:val="left"/>
      <w:pPr>
        <w:ind w:left="2880" w:hanging="360"/>
      </w:pPr>
    </w:lvl>
    <w:lvl w:ilvl="4" w:tplc="CEF4E0A6">
      <w:start w:val="1"/>
      <w:numFmt w:val="lowerLetter"/>
      <w:lvlText w:val="%5."/>
      <w:lvlJc w:val="left"/>
      <w:pPr>
        <w:ind w:left="3600" w:hanging="360"/>
      </w:pPr>
    </w:lvl>
    <w:lvl w:ilvl="5" w:tplc="EF1CBB7A">
      <w:start w:val="1"/>
      <w:numFmt w:val="lowerRoman"/>
      <w:lvlText w:val="%6."/>
      <w:lvlJc w:val="right"/>
      <w:pPr>
        <w:ind w:left="4320" w:hanging="180"/>
      </w:pPr>
    </w:lvl>
    <w:lvl w:ilvl="6" w:tplc="D5189EE2">
      <w:start w:val="1"/>
      <w:numFmt w:val="decimal"/>
      <w:lvlText w:val="%7."/>
      <w:lvlJc w:val="left"/>
      <w:pPr>
        <w:ind w:left="5040" w:hanging="360"/>
      </w:pPr>
    </w:lvl>
    <w:lvl w:ilvl="7" w:tplc="E61A0E22">
      <w:start w:val="1"/>
      <w:numFmt w:val="lowerLetter"/>
      <w:lvlText w:val="%8."/>
      <w:lvlJc w:val="left"/>
      <w:pPr>
        <w:ind w:left="5760" w:hanging="360"/>
      </w:pPr>
    </w:lvl>
    <w:lvl w:ilvl="8" w:tplc="94B0A3F6">
      <w:start w:val="1"/>
      <w:numFmt w:val="lowerRoman"/>
      <w:lvlText w:val="%9."/>
      <w:lvlJc w:val="right"/>
      <w:pPr>
        <w:ind w:left="6480" w:hanging="180"/>
      </w:pPr>
    </w:lvl>
  </w:abstractNum>
  <w:abstractNum w:abstractNumId="4" w15:restartNumberingAfterBreak="0">
    <w:nsid w:val="6C25C89B"/>
    <w:multiLevelType w:val="hybridMultilevel"/>
    <w:tmpl w:val="D94E03D0"/>
    <w:lvl w:ilvl="0" w:tplc="B3B2431A">
      <w:start w:val="1"/>
      <w:numFmt w:val="bullet"/>
      <w:lvlText w:val=""/>
      <w:lvlJc w:val="left"/>
      <w:pPr>
        <w:ind w:left="720" w:hanging="360"/>
      </w:pPr>
      <w:rPr>
        <w:rFonts w:ascii="Wingdings" w:hAnsi="Wingdings" w:hint="default"/>
      </w:rPr>
    </w:lvl>
    <w:lvl w:ilvl="1" w:tplc="BDEC8002">
      <w:start w:val="1"/>
      <w:numFmt w:val="lowerLetter"/>
      <w:lvlText w:val="%2."/>
      <w:lvlJc w:val="left"/>
      <w:pPr>
        <w:ind w:left="1440" w:hanging="360"/>
      </w:pPr>
    </w:lvl>
    <w:lvl w:ilvl="2" w:tplc="55368714">
      <w:start w:val="1"/>
      <w:numFmt w:val="lowerRoman"/>
      <w:lvlText w:val="%3."/>
      <w:lvlJc w:val="right"/>
      <w:pPr>
        <w:ind w:left="2160" w:hanging="180"/>
      </w:pPr>
    </w:lvl>
    <w:lvl w:ilvl="3" w:tplc="9704F018">
      <w:start w:val="1"/>
      <w:numFmt w:val="decimal"/>
      <w:lvlText w:val="%4."/>
      <w:lvlJc w:val="left"/>
      <w:pPr>
        <w:ind w:left="2880" w:hanging="360"/>
      </w:pPr>
    </w:lvl>
    <w:lvl w:ilvl="4" w:tplc="914CA554">
      <w:start w:val="1"/>
      <w:numFmt w:val="lowerLetter"/>
      <w:lvlText w:val="%5."/>
      <w:lvlJc w:val="left"/>
      <w:pPr>
        <w:ind w:left="3600" w:hanging="360"/>
      </w:pPr>
    </w:lvl>
    <w:lvl w:ilvl="5" w:tplc="2AD6E044">
      <w:start w:val="1"/>
      <w:numFmt w:val="lowerRoman"/>
      <w:lvlText w:val="%6."/>
      <w:lvlJc w:val="right"/>
      <w:pPr>
        <w:ind w:left="4320" w:hanging="180"/>
      </w:pPr>
    </w:lvl>
    <w:lvl w:ilvl="6" w:tplc="309C2EDC">
      <w:start w:val="1"/>
      <w:numFmt w:val="decimal"/>
      <w:lvlText w:val="%7."/>
      <w:lvlJc w:val="left"/>
      <w:pPr>
        <w:ind w:left="5040" w:hanging="360"/>
      </w:pPr>
    </w:lvl>
    <w:lvl w:ilvl="7" w:tplc="05200F0A">
      <w:start w:val="1"/>
      <w:numFmt w:val="lowerLetter"/>
      <w:lvlText w:val="%8."/>
      <w:lvlJc w:val="left"/>
      <w:pPr>
        <w:ind w:left="5760" w:hanging="360"/>
      </w:pPr>
    </w:lvl>
    <w:lvl w:ilvl="8" w:tplc="6916058E">
      <w:start w:val="1"/>
      <w:numFmt w:val="lowerRoman"/>
      <w:lvlText w:val="%9."/>
      <w:lvlJc w:val="right"/>
      <w:pPr>
        <w:ind w:left="6480" w:hanging="180"/>
      </w:pPr>
    </w:lvl>
  </w:abstractNum>
  <w:num w:numId="1" w16cid:durableId="1639064600">
    <w:abstractNumId w:val="4"/>
  </w:num>
  <w:num w:numId="2" w16cid:durableId="1809082348">
    <w:abstractNumId w:val="3"/>
  </w:num>
  <w:num w:numId="3" w16cid:durableId="577592241">
    <w:abstractNumId w:val="1"/>
  </w:num>
  <w:num w:numId="4" w16cid:durableId="275866220">
    <w:abstractNumId w:val="0"/>
  </w:num>
  <w:num w:numId="5" w16cid:durableId="1592159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768493"/>
    <w:rsid w:val="0002A3E4"/>
    <w:rsid w:val="001335C3"/>
    <w:rsid w:val="004CCCEF"/>
    <w:rsid w:val="005C4FE5"/>
    <w:rsid w:val="00712481"/>
    <w:rsid w:val="009854CB"/>
    <w:rsid w:val="00C3312F"/>
    <w:rsid w:val="00CF3BB7"/>
    <w:rsid w:val="00E72A7B"/>
    <w:rsid w:val="016899FF"/>
    <w:rsid w:val="01839CFA"/>
    <w:rsid w:val="021F8243"/>
    <w:rsid w:val="0226952E"/>
    <w:rsid w:val="0279C504"/>
    <w:rsid w:val="0292743B"/>
    <w:rsid w:val="03C30EB6"/>
    <w:rsid w:val="03EEE14A"/>
    <w:rsid w:val="0405CE80"/>
    <w:rsid w:val="044E6C27"/>
    <w:rsid w:val="04ADA9B5"/>
    <w:rsid w:val="0554AC37"/>
    <w:rsid w:val="05731BE3"/>
    <w:rsid w:val="060F775D"/>
    <w:rsid w:val="063811AC"/>
    <w:rsid w:val="06420D8A"/>
    <w:rsid w:val="066F2F65"/>
    <w:rsid w:val="06A2A0CE"/>
    <w:rsid w:val="06F73A62"/>
    <w:rsid w:val="071D4FAD"/>
    <w:rsid w:val="07505759"/>
    <w:rsid w:val="07C23AC9"/>
    <w:rsid w:val="08041850"/>
    <w:rsid w:val="082BD908"/>
    <w:rsid w:val="082CBA21"/>
    <w:rsid w:val="0832621B"/>
    <w:rsid w:val="086F0AA6"/>
    <w:rsid w:val="08F1426C"/>
    <w:rsid w:val="093F0A65"/>
    <w:rsid w:val="094134AB"/>
    <w:rsid w:val="097B20D1"/>
    <w:rsid w:val="0993BFF0"/>
    <w:rsid w:val="09DF612F"/>
    <w:rsid w:val="0A28CCA6"/>
    <w:rsid w:val="0A80242C"/>
    <w:rsid w:val="0AF284B4"/>
    <w:rsid w:val="0B7D0DB3"/>
    <w:rsid w:val="0B80FD44"/>
    <w:rsid w:val="0BB7E3AD"/>
    <w:rsid w:val="0C1F8565"/>
    <w:rsid w:val="0C320FA4"/>
    <w:rsid w:val="0C50D16C"/>
    <w:rsid w:val="0C6ECFDC"/>
    <w:rsid w:val="0C8575DD"/>
    <w:rsid w:val="0D015B06"/>
    <w:rsid w:val="0D19FD2A"/>
    <w:rsid w:val="0D4CDABF"/>
    <w:rsid w:val="0DE2FE69"/>
    <w:rsid w:val="0E117522"/>
    <w:rsid w:val="0E64D98F"/>
    <w:rsid w:val="0EB660FB"/>
    <w:rsid w:val="0EE8CA14"/>
    <w:rsid w:val="0EF35B59"/>
    <w:rsid w:val="0F2D99CD"/>
    <w:rsid w:val="0F314DE5"/>
    <w:rsid w:val="0F7200C9"/>
    <w:rsid w:val="0F96CCFD"/>
    <w:rsid w:val="0FDE5BB3"/>
    <w:rsid w:val="10178222"/>
    <w:rsid w:val="1051666C"/>
    <w:rsid w:val="10800561"/>
    <w:rsid w:val="108FB918"/>
    <w:rsid w:val="1092B9FE"/>
    <w:rsid w:val="10E7874A"/>
    <w:rsid w:val="11032760"/>
    <w:rsid w:val="113FA4CD"/>
    <w:rsid w:val="1176E237"/>
    <w:rsid w:val="118C69B2"/>
    <w:rsid w:val="11DE2D33"/>
    <w:rsid w:val="11F3BF97"/>
    <w:rsid w:val="122667BA"/>
    <w:rsid w:val="123A5875"/>
    <w:rsid w:val="124DAE47"/>
    <w:rsid w:val="127B4312"/>
    <w:rsid w:val="133C6974"/>
    <w:rsid w:val="1391781F"/>
    <w:rsid w:val="1399DD11"/>
    <w:rsid w:val="13E6668B"/>
    <w:rsid w:val="13F7F2F4"/>
    <w:rsid w:val="14123140"/>
    <w:rsid w:val="141DD964"/>
    <w:rsid w:val="14FB05DF"/>
    <w:rsid w:val="158370B7"/>
    <w:rsid w:val="15ACE569"/>
    <w:rsid w:val="15AEF761"/>
    <w:rsid w:val="16035BFA"/>
    <w:rsid w:val="162CBAFA"/>
    <w:rsid w:val="16691CCE"/>
    <w:rsid w:val="16770E5D"/>
    <w:rsid w:val="16A617F7"/>
    <w:rsid w:val="16B99E50"/>
    <w:rsid w:val="16C4DEE4"/>
    <w:rsid w:val="16EDCCF4"/>
    <w:rsid w:val="17134267"/>
    <w:rsid w:val="17165F25"/>
    <w:rsid w:val="17B8B0C3"/>
    <w:rsid w:val="180D902B"/>
    <w:rsid w:val="182C7151"/>
    <w:rsid w:val="18A72C5B"/>
    <w:rsid w:val="18DC6E7B"/>
    <w:rsid w:val="18EF92FF"/>
    <w:rsid w:val="19366E7E"/>
    <w:rsid w:val="199DFEB3"/>
    <w:rsid w:val="19B12600"/>
    <w:rsid w:val="19B44C84"/>
    <w:rsid w:val="1A04EAD0"/>
    <w:rsid w:val="1A5BE7C4"/>
    <w:rsid w:val="1A5EE92F"/>
    <w:rsid w:val="1A906ED5"/>
    <w:rsid w:val="1A9F318A"/>
    <w:rsid w:val="1AF18ADB"/>
    <w:rsid w:val="1B1164D0"/>
    <w:rsid w:val="1B14AA44"/>
    <w:rsid w:val="1B1815EC"/>
    <w:rsid w:val="1B48EE3B"/>
    <w:rsid w:val="1B56317F"/>
    <w:rsid w:val="1B5A5371"/>
    <w:rsid w:val="1BBA1529"/>
    <w:rsid w:val="1BF4A62B"/>
    <w:rsid w:val="1BF92A15"/>
    <w:rsid w:val="1C109CAD"/>
    <w:rsid w:val="1C4B6343"/>
    <w:rsid w:val="1CD43E4F"/>
    <w:rsid w:val="1CD60F5A"/>
    <w:rsid w:val="1CD97ABA"/>
    <w:rsid w:val="1CE4A1C1"/>
    <w:rsid w:val="1CE5991B"/>
    <w:rsid w:val="1D0BFC76"/>
    <w:rsid w:val="1D46A2BD"/>
    <w:rsid w:val="1D4CED82"/>
    <w:rsid w:val="1D6BFA17"/>
    <w:rsid w:val="1D9C062D"/>
    <w:rsid w:val="1DE1FFCE"/>
    <w:rsid w:val="1E817603"/>
    <w:rsid w:val="1E83A40F"/>
    <w:rsid w:val="1E9DC672"/>
    <w:rsid w:val="1EA2E915"/>
    <w:rsid w:val="1EAF7BEE"/>
    <w:rsid w:val="1F080EA3"/>
    <w:rsid w:val="1F82D44C"/>
    <w:rsid w:val="1FAC798E"/>
    <w:rsid w:val="1FEBE47E"/>
    <w:rsid w:val="204C440F"/>
    <w:rsid w:val="205DAA3D"/>
    <w:rsid w:val="208E9444"/>
    <w:rsid w:val="20A14F48"/>
    <w:rsid w:val="20A28951"/>
    <w:rsid w:val="20BE2BE7"/>
    <w:rsid w:val="20C6A5F1"/>
    <w:rsid w:val="20CFBC32"/>
    <w:rsid w:val="20FCC19A"/>
    <w:rsid w:val="2115FA09"/>
    <w:rsid w:val="2119CF0F"/>
    <w:rsid w:val="21492165"/>
    <w:rsid w:val="21677A9A"/>
    <w:rsid w:val="219500A5"/>
    <w:rsid w:val="219A8433"/>
    <w:rsid w:val="21F855F9"/>
    <w:rsid w:val="221888D2"/>
    <w:rsid w:val="225ED5C7"/>
    <w:rsid w:val="22838948"/>
    <w:rsid w:val="228830CA"/>
    <w:rsid w:val="228D1F96"/>
    <w:rsid w:val="22BEC13C"/>
    <w:rsid w:val="22D3BF53"/>
    <w:rsid w:val="23060AAA"/>
    <w:rsid w:val="231A9A15"/>
    <w:rsid w:val="231B4320"/>
    <w:rsid w:val="2324F3D6"/>
    <w:rsid w:val="23836268"/>
    <w:rsid w:val="2389E844"/>
    <w:rsid w:val="247B9AD9"/>
    <w:rsid w:val="247F606F"/>
    <w:rsid w:val="2485A8A6"/>
    <w:rsid w:val="2489E0AB"/>
    <w:rsid w:val="24C1ED45"/>
    <w:rsid w:val="24D376EE"/>
    <w:rsid w:val="24D71281"/>
    <w:rsid w:val="24EF6784"/>
    <w:rsid w:val="2516EE1C"/>
    <w:rsid w:val="25313315"/>
    <w:rsid w:val="255C2BC6"/>
    <w:rsid w:val="2592E80B"/>
    <w:rsid w:val="26021CB6"/>
    <w:rsid w:val="260F1CCB"/>
    <w:rsid w:val="261A1F62"/>
    <w:rsid w:val="2682677E"/>
    <w:rsid w:val="26AE4D69"/>
    <w:rsid w:val="26D41C8E"/>
    <w:rsid w:val="275D531F"/>
    <w:rsid w:val="2769E8FE"/>
    <w:rsid w:val="2802D7F6"/>
    <w:rsid w:val="281B1B26"/>
    <w:rsid w:val="2822C047"/>
    <w:rsid w:val="284A6E08"/>
    <w:rsid w:val="285B5332"/>
    <w:rsid w:val="286C4F0D"/>
    <w:rsid w:val="288295D8"/>
    <w:rsid w:val="28AA634E"/>
    <w:rsid w:val="28ACF33C"/>
    <w:rsid w:val="28F1CA52"/>
    <w:rsid w:val="28FE9A63"/>
    <w:rsid w:val="291ABCA7"/>
    <w:rsid w:val="291CC555"/>
    <w:rsid w:val="291E6A94"/>
    <w:rsid w:val="292DF594"/>
    <w:rsid w:val="293F97EC"/>
    <w:rsid w:val="2984D532"/>
    <w:rsid w:val="29AE5089"/>
    <w:rsid w:val="29DCBDE6"/>
    <w:rsid w:val="29F6E89A"/>
    <w:rsid w:val="2A26D3A8"/>
    <w:rsid w:val="2A67365A"/>
    <w:rsid w:val="2A99869D"/>
    <w:rsid w:val="2ABCC8C3"/>
    <w:rsid w:val="2AF5DB42"/>
    <w:rsid w:val="2B068318"/>
    <w:rsid w:val="2B07E235"/>
    <w:rsid w:val="2B18A6C7"/>
    <w:rsid w:val="2B2F38E9"/>
    <w:rsid w:val="2B844FB0"/>
    <w:rsid w:val="2BCA632D"/>
    <w:rsid w:val="2BF5C879"/>
    <w:rsid w:val="2C1CDCC6"/>
    <w:rsid w:val="2C50249D"/>
    <w:rsid w:val="2C72155E"/>
    <w:rsid w:val="2C915BD1"/>
    <w:rsid w:val="2C9CA8C9"/>
    <w:rsid w:val="2CA12464"/>
    <w:rsid w:val="2CCCDE82"/>
    <w:rsid w:val="2CE2A7B3"/>
    <w:rsid w:val="2CFA705A"/>
    <w:rsid w:val="2D415A9D"/>
    <w:rsid w:val="2D6E3076"/>
    <w:rsid w:val="2DC54FDF"/>
    <w:rsid w:val="2DDC5780"/>
    <w:rsid w:val="2DE50C64"/>
    <w:rsid w:val="2E1376F8"/>
    <w:rsid w:val="2E139298"/>
    <w:rsid w:val="2E8D9CB8"/>
    <w:rsid w:val="2EBD13D5"/>
    <w:rsid w:val="2F4FD338"/>
    <w:rsid w:val="2FD14344"/>
    <w:rsid w:val="2FD68CF0"/>
    <w:rsid w:val="2FD6A62B"/>
    <w:rsid w:val="2FE2584B"/>
    <w:rsid w:val="302EBBF0"/>
    <w:rsid w:val="3038F0D5"/>
    <w:rsid w:val="304041E5"/>
    <w:rsid w:val="30E7036E"/>
    <w:rsid w:val="311B2C9B"/>
    <w:rsid w:val="31712402"/>
    <w:rsid w:val="3180BC12"/>
    <w:rsid w:val="31A22C6A"/>
    <w:rsid w:val="31E0F01A"/>
    <w:rsid w:val="31FB29BB"/>
    <w:rsid w:val="328935B7"/>
    <w:rsid w:val="332480B3"/>
    <w:rsid w:val="33294302"/>
    <w:rsid w:val="33914022"/>
    <w:rsid w:val="33B0F60A"/>
    <w:rsid w:val="33D7DB6D"/>
    <w:rsid w:val="340C7B19"/>
    <w:rsid w:val="341D6875"/>
    <w:rsid w:val="3442520F"/>
    <w:rsid w:val="3445DC7E"/>
    <w:rsid w:val="345521DB"/>
    <w:rsid w:val="34588B24"/>
    <w:rsid w:val="345CC1D7"/>
    <w:rsid w:val="346D7B11"/>
    <w:rsid w:val="347383E8"/>
    <w:rsid w:val="34790DE8"/>
    <w:rsid w:val="349D1160"/>
    <w:rsid w:val="34EEBD0D"/>
    <w:rsid w:val="34EF7BDB"/>
    <w:rsid w:val="350FB775"/>
    <w:rsid w:val="354A4371"/>
    <w:rsid w:val="354AD623"/>
    <w:rsid w:val="35636B0D"/>
    <w:rsid w:val="35885DE7"/>
    <w:rsid w:val="35DFED65"/>
    <w:rsid w:val="3631F65D"/>
    <w:rsid w:val="3669C259"/>
    <w:rsid w:val="368B5272"/>
    <w:rsid w:val="37B86C15"/>
    <w:rsid w:val="37BB7595"/>
    <w:rsid w:val="38481880"/>
    <w:rsid w:val="3886E294"/>
    <w:rsid w:val="38C71E44"/>
    <w:rsid w:val="393400C5"/>
    <w:rsid w:val="398F91E9"/>
    <w:rsid w:val="39EFE04C"/>
    <w:rsid w:val="3A2056A1"/>
    <w:rsid w:val="3A2637B1"/>
    <w:rsid w:val="3A58A8D0"/>
    <w:rsid w:val="3A7B3400"/>
    <w:rsid w:val="3ABE7CC9"/>
    <w:rsid w:val="3AC7D6FE"/>
    <w:rsid w:val="3ACB5462"/>
    <w:rsid w:val="3AE5245B"/>
    <w:rsid w:val="3AFC4D7A"/>
    <w:rsid w:val="3B6EC1ED"/>
    <w:rsid w:val="3B80AE51"/>
    <w:rsid w:val="3B8C0AF2"/>
    <w:rsid w:val="3B952913"/>
    <w:rsid w:val="3C03B0F1"/>
    <w:rsid w:val="3C5F21F7"/>
    <w:rsid w:val="3C671D31"/>
    <w:rsid w:val="3C85FBFB"/>
    <w:rsid w:val="3CA47C53"/>
    <w:rsid w:val="3CC53965"/>
    <w:rsid w:val="3CE586E2"/>
    <w:rsid w:val="3D17BA0D"/>
    <w:rsid w:val="3D216D63"/>
    <w:rsid w:val="3DBCB765"/>
    <w:rsid w:val="3DCA895A"/>
    <w:rsid w:val="3DE198E6"/>
    <w:rsid w:val="3E2D032B"/>
    <w:rsid w:val="3F1E0C85"/>
    <w:rsid w:val="3F3BCE14"/>
    <w:rsid w:val="3F5590A1"/>
    <w:rsid w:val="3F861074"/>
    <w:rsid w:val="401C46F9"/>
    <w:rsid w:val="40363C42"/>
    <w:rsid w:val="405096DE"/>
    <w:rsid w:val="406952E6"/>
    <w:rsid w:val="40696FFC"/>
    <w:rsid w:val="40CD3DFB"/>
    <w:rsid w:val="40DCF0F3"/>
    <w:rsid w:val="415EC9A4"/>
    <w:rsid w:val="418CBEE7"/>
    <w:rsid w:val="4196F051"/>
    <w:rsid w:val="41B2152A"/>
    <w:rsid w:val="41B32FC2"/>
    <w:rsid w:val="421848E5"/>
    <w:rsid w:val="42345407"/>
    <w:rsid w:val="4290D6D3"/>
    <w:rsid w:val="42B49F52"/>
    <w:rsid w:val="42CF03B7"/>
    <w:rsid w:val="43205BE3"/>
    <w:rsid w:val="434427A8"/>
    <w:rsid w:val="4374CB18"/>
    <w:rsid w:val="4384759F"/>
    <w:rsid w:val="43B943D1"/>
    <w:rsid w:val="43F776D2"/>
    <w:rsid w:val="447F6429"/>
    <w:rsid w:val="44EC8923"/>
    <w:rsid w:val="45470144"/>
    <w:rsid w:val="45952B7C"/>
    <w:rsid w:val="4597A034"/>
    <w:rsid w:val="45C006CE"/>
    <w:rsid w:val="4604C37F"/>
    <w:rsid w:val="461C79F7"/>
    <w:rsid w:val="462D23B0"/>
    <w:rsid w:val="46C036A6"/>
    <w:rsid w:val="478BFD17"/>
    <w:rsid w:val="47D5D5FE"/>
    <w:rsid w:val="48138FD3"/>
    <w:rsid w:val="48556636"/>
    <w:rsid w:val="48E002A1"/>
    <w:rsid w:val="48E7CB69"/>
    <w:rsid w:val="49409032"/>
    <w:rsid w:val="49768493"/>
    <w:rsid w:val="498F4B19"/>
    <w:rsid w:val="49A9DE23"/>
    <w:rsid w:val="49C6603E"/>
    <w:rsid w:val="49DD451E"/>
    <w:rsid w:val="4A0104E6"/>
    <w:rsid w:val="4A07C38B"/>
    <w:rsid w:val="4A114B32"/>
    <w:rsid w:val="4A314763"/>
    <w:rsid w:val="4A3BF747"/>
    <w:rsid w:val="4A4F648B"/>
    <w:rsid w:val="4A91E0EC"/>
    <w:rsid w:val="4AB639F4"/>
    <w:rsid w:val="4AE6466E"/>
    <w:rsid w:val="4AF384D6"/>
    <w:rsid w:val="4B47D082"/>
    <w:rsid w:val="4B877699"/>
    <w:rsid w:val="4BA4DE07"/>
    <w:rsid w:val="4BBA79FD"/>
    <w:rsid w:val="4BBFFD84"/>
    <w:rsid w:val="4BC84ABD"/>
    <w:rsid w:val="4C09FD3C"/>
    <w:rsid w:val="4C4C4F66"/>
    <w:rsid w:val="4C7935C3"/>
    <w:rsid w:val="4CCD7D45"/>
    <w:rsid w:val="4D1BEA46"/>
    <w:rsid w:val="4D1D4023"/>
    <w:rsid w:val="4D5B3B32"/>
    <w:rsid w:val="4D5CA1FF"/>
    <w:rsid w:val="4D843906"/>
    <w:rsid w:val="4D9CCF1B"/>
    <w:rsid w:val="4DA6A036"/>
    <w:rsid w:val="4DB3685B"/>
    <w:rsid w:val="4E1A93B1"/>
    <w:rsid w:val="4E48F1C4"/>
    <w:rsid w:val="4EDC7581"/>
    <w:rsid w:val="4F12C7C8"/>
    <w:rsid w:val="4F1EDFED"/>
    <w:rsid w:val="4FB146BE"/>
    <w:rsid w:val="4FC6E8F4"/>
    <w:rsid w:val="4FDC6DD4"/>
    <w:rsid w:val="500E6FD1"/>
    <w:rsid w:val="50365704"/>
    <w:rsid w:val="50482001"/>
    <w:rsid w:val="5060DE2A"/>
    <w:rsid w:val="5071528F"/>
    <w:rsid w:val="50F45944"/>
    <w:rsid w:val="51529A08"/>
    <w:rsid w:val="517206B6"/>
    <w:rsid w:val="5195032E"/>
    <w:rsid w:val="51C35EC6"/>
    <w:rsid w:val="51E05858"/>
    <w:rsid w:val="51F67C41"/>
    <w:rsid w:val="5214627E"/>
    <w:rsid w:val="526CF80F"/>
    <w:rsid w:val="5347E84F"/>
    <w:rsid w:val="537958F8"/>
    <w:rsid w:val="53B51152"/>
    <w:rsid w:val="53CEFEE3"/>
    <w:rsid w:val="53F1C126"/>
    <w:rsid w:val="54098A2E"/>
    <w:rsid w:val="5431D389"/>
    <w:rsid w:val="5442C440"/>
    <w:rsid w:val="54A1BBD6"/>
    <w:rsid w:val="55440A3B"/>
    <w:rsid w:val="5559157B"/>
    <w:rsid w:val="555C31CB"/>
    <w:rsid w:val="557CB451"/>
    <w:rsid w:val="558C93B9"/>
    <w:rsid w:val="55FD31F9"/>
    <w:rsid w:val="5636C0D4"/>
    <w:rsid w:val="566CE40C"/>
    <w:rsid w:val="567A08D9"/>
    <w:rsid w:val="567AEDDF"/>
    <w:rsid w:val="56908106"/>
    <w:rsid w:val="56A47841"/>
    <w:rsid w:val="56C97891"/>
    <w:rsid w:val="572BE71B"/>
    <w:rsid w:val="5776839C"/>
    <w:rsid w:val="57B97104"/>
    <w:rsid w:val="57BFDEE8"/>
    <w:rsid w:val="58253592"/>
    <w:rsid w:val="582A9C5A"/>
    <w:rsid w:val="58602410"/>
    <w:rsid w:val="58A37EDA"/>
    <w:rsid w:val="58B1820E"/>
    <w:rsid w:val="58C92657"/>
    <w:rsid w:val="59661866"/>
    <w:rsid w:val="5984AFD2"/>
    <w:rsid w:val="59A10F05"/>
    <w:rsid w:val="59C62631"/>
    <w:rsid w:val="5AA20980"/>
    <w:rsid w:val="5ADACD28"/>
    <w:rsid w:val="5ADE04BA"/>
    <w:rsid w:val="5B12BE15"/>
    <w:rsid w:val="5B1DF6A8"/>
    <w:rsid w:val="5B74DA02"/>
    <w:rsid w:val="5B8066B2"/>
    <w:rsid w:val="5BD1E884"/>
    <w:rsid w:val="5C682948"/>
    <w:rsid w:val="5C6EA8AC"/>
    <w:rsid w:val="5CAEDB6B"/>
    <w:rsid w:val="5CE15E35"/>
    <w:rsid w:val="5CEB778E"/>
    <w:rsid w:val="5CFB42D0"/>
    <w:rsid w:val="5D082414"/>
    <w:rsid w:val="5D243918"/>
    <w:rsid w:val="5D5694B6"/>
    <w:rsid w:val="5D8AF017"/>
    <w:rsid w:val="5DF54EF1"/>
    <w:rsid w:val="5E166052"/>
    <w:rsid w:val="5E3591BA"/>
    <w:rsid w:val="5E5A4204"/>
    <w:rsid w:val="5E85BF04"/>
    <w:rsid w:val="5EBBC473"/>
    <w:rsid w:val="5F40DC5C"/>
    <w:rsid w:val="5F8E51D0"/>
    <w:rsid w:val="5F931D0C"/>
    <w:rsid w:val="5FB6C441"/>
    <w:rsid w:val="600B6091"/>
    <w:rsid w:val="601124DB"/>
    <w:rsid w:val="606407EB"/>
    <w:rsid w:val="6065AA04"/>
    <w:rsid w:val="6065C799"/>
    <w:rsid w:val="60703496"/>
    <w:rsid w:val="60A67A9F"/>
    <w:rsid w:val="60DBE820"/>
    <w:rsid w:val="6121D906"/>
    <w:rsid w:val="613D5876"/>
    <w:rsid w:val="615DBEBB"/>
    <w:rsid w:val="6181F2AC"/>
    <w:rsid w:val="619C39BF"/>
    <w:rsid w:val="61C20F30"/>
    <w:rsid w:val="620A445F"/>
    <w:rsid w:val="6214901A"/>
    <w:rsid w:val="62249921"/>
    <w:rsid w:val="6235E6B2"/>
    <w:rsid w:val="6258FFC6"/>
    <w:rsid w:val="627BAB53"/>
    <w:rsid w:val="62CAD99B"/>
    <w:rsid w:val="62F01338"/>
    <w:rsid w:val="62FB7D3A"/>
    <w:rsid w:val="635FD4D3"/>
    <w:rsid w:val="6360CE05"/>
    <w:rsid w:val="636A1CB6"/>
    <w:rsid w:val="6385C023"/>
    <w:rsid w:val="63C98519"/>
    <w:rsid w:val="63F50957"/>
    <w:rsid w:val="642B5507"/>
    <w:rsid w:val="64651E03"/>
    <w:rsid w:val="64DA1242"/>
    <w:rsid w:val="6503D6FF"/>
    <w:rsid w:val="6522B89F"/>
    <w:rsid w:val="6527625F"/>
    <w:rsid w:val="65582287"/>
    <w:rsid w:val="65BB122A"/>
    <w:rsid w:val="65CC3B11"/>
    <w:rsid w:val="66044C1B"/>
    <w:rsid w:val="6617B781"/>
    <w:rsid w:val="66DF287B"/>
    <w:rsid w:val="6723F8B4"/>
    <w:rsid w:val="6796573B"/>
    <w:rsid w:val="67B17B05"/>
    <w:rsid w:val="68641B2C"/>
    <w:rsid w:val="6950E373"/>
    <w:rsid w:val="699416C5"/>
    <w:rsid w:val="69CD03BE"/>
    <w:rsid w:val="69F2091F"/>
    <w:rsid w:val="6A0ED409"/>
    <w:rsid w:val="6A0FEB89"/>
    <w:rsid w:val="6A8451E8"/>
    <w:rsid w:val="6B1E13DE"/>
    <w:rsid w:val="6B3581FE"/>
    <w:rsid w:val="6B42310C"/>
    <w:rsid w:val="6BA7797D"/>
    <w:rsid w:val="6BD093F9"/>
    <w:rsid w:val="6C349C0A"/>
    <w:rsid w:val="6C6FE8D0"/>
    <w:rsid w:val="6C73C0E1"/>
    <w:rsid w:val="6C8A5D4E"/>
    <w:rsid w:val="6D04E4DF"/>
    <w:rsid w:val="6D3A779C"/>
    <w:rsid w:val="6D528CD5"/>
    <w:rsid w:val="6D6D8E41"/>
    <w:rsid w:val="6DB42E15"/>
    <w:rsid w:val="6DD1C925"/>
    <w:rsid w:val="6E47FB50"/>
    <w:rsid w:val="6E83F8DB"/>
    <w:rsid w:val="6EA0E634"/>
    <w:rsid w:val="6EA7CF48"/>
    <w:rsid w:val="6EB0A817"/>
    <w:rsid w:val="6EC28C27"/>
    <w:rsid w:val="6EC95664"/>
    <w:rsid w:val="6F376D6A"/>
    <w:rsid w:val="6F709B29"/>
    <w:rsid w:val="7035A85D"/>
    <w:rsid w:val="70389FC5"/>
    <w:rsid w:val="707C9AFB"/>
    <w:rsid w:val="70861438"/>
    <w:rsid w:val="70A485C3"/>
    <w:rsid w:val="70D5FE86"/>
    <w:rsid w:val="712B07FA"/>
    <w:rsid w:val="71A5F144"/>
    <w:rsid w:val="71E36EA9"/>
    <w:rsid w:val="71FF7B09"/>
    <w:rsid w:val="7237C746"/>
    <w:rsid w:val="7240E595"/>
    <w:rsid w:val="72A2C1D1"/>
    <w:rsid w:val="72C1AB02"/>
    <w:rsid w:val="72C5F363"/>
    <w:rsid w:val="72E69783"/>
    <w:rsid w:val="7300554E"/>
    <w:rsid w:val="73977C87"/>
    <w:rsid w:val="74505912"/>
    <w:rsid w:val="745A4860"/>
    <w:rsid w:val="74B81F7E"/>
    <w:rsid w:val="74DB9E8F"/>
    <w:rsid w:val="751D59CF"/>
    <w:rsid w:val="75857773"/>
    <w:rsid w:val="75AB54C4"/>
    <w:rsid w:val="7648E676"/>
    <w:rsid w:val="7654BD8B"/>
    <w:rsid w:val="76C121D4"/>
    <w:rsid w:val="76ED66DC"/>
    <w:rsid w:val="7738974C"/>
    <w:rsid w:val="7757131F"/>
    <w:rsid w:val="77611348"/>
    <w:rsid w:val="778CEAB2"/>
    <w:rsid w:val="77CBF97E"/>
    <w:rsid w:val="77D48B2B"/>
    <w:rsid w:val="77D6C414"/>
    <w:rsid w:val="7800C68B"/>
    <w:rsid w:val="780E1EF8"/>
    <w:rsid w:val="786254BE"/>
    <w:rsid w:val="78784BFB"/>
    <w:rsid w:val="787CD414"/>
    <w:rsid w:val="789899EF"/>
    <w:rsid w:val="78D455EE"/>
    <w:rsid w:val="7949213C"/>
    <w:rsid w:val="79B30198"/>
    <w:rsid w:val="79BF2E2E"/>
    <w:rsid w:val="7A2E378E"/>
    <w:rsid w:val="7A2F92D4"/>
    <w:rsid w:val="7A98B5E1"/>
    <w:rsid w:val="7B679303"/>
    <w:rsid w:val="7B7FA2CA"/>
    <w:rsid w:val="7B857014"/>
    <w:rsid w:val="7BC99572"/>
    <w:rsid w:val="7BDD52FF"/>
    <w:rsid w:val="7C6CE50D"/>
    <w:rsid w:val="7C84FA9A"/>
    <w:rsid w:val="7CEDEB52"/>
    <w:rsid w:val="7D18ABAE"/>
    <w:rsid w:val="7D911CEA"/>
    <w:rsid w:val="7DF327A1"/>
    <w:rsid w:val="7EA2D06D"/>
    <w:rsid w:val="7F011C60"/>
    <w:rsid w:val="7F064E9A"/>
    <w:rsid w:val="7F71185E"/>
    <w:rsid w:val="7F90D6C8"/>
    <w:rsid w:val="7FBD3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3D74B"/>
  <w15:chartTrackingRefBased/>
  <w15:docId w15:val="{F1FFE02B-5F82-466E-8373-6468E0437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9F6E8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C6CE5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C6CE50D"/>
    <w:rPr>
      <w:color w:val="467886"/>
      <w:u w:val="single"/>
    </w:rPr>
  </w:style>
  <w:style w:type="paragraph" w:styleId="ListParagraph">
    <w:name w:val="List Paragraph"/>
    <w:basedOn w:val="Normal"/>
    <w:uiPriority w:val="34"/>
    <w:qFormat/>
    <w:rsid w:val="7C6CE50D"/>
    <w:pPr>
      <w:ind w:left="720"/>
      <w:contextualSpacing/>
    </w:pPr>
  </w:style>
  <w:style w:type="paragraph" w:styleId="TOC1">
    <w:name w:val="toc 1"/>
    <w:basedOn w:val="Normal"/>
    <w:next w:val="Normal"/>
    <w:uiPriority w:val="39"/>
    <w:unhideWhenUsed/>
    <w:rsid w:val="5347E84F"/>
    <w:pPr>
      <w:spacing w:after="100"/>
    </w:pPr>
  </w:style>
  <w:style w:type="paragraph" w:styleId="Header">
    <w:name w:val="header"/>
    <w:basedOn w:val="Normal"/>
    <w:uiPriority w:val="99"/>
    <w:unhideWhenUsed/>
    <w:rsid w:val="5347E84F"/>
    <w:pPr>
      <w:tabs>
        <w:tab w:val="center" w:pos="4680"/>
        <w:tab w:val="right" w:pos="9360"/>
      </w:tabs>
      <w:spacing w:after="0" w:line="240" w:lineRule="auto"/>
    </w:pPr>
  </w:style>
  <w:style w:type="paragraph" w:styleId="Footer">
    <w:name w:val="footer"/>
    <w:basedOn w:val="Normal"/>
    <w:uiPriority w:val="99"/>
    <w:unhideWhenUsed/>
    <w:rsid w:val="5347E84F"/>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arehome.co.uk/advice/what-is-a-residential-care-home" TargetMode="External"/><Relationship Id="rId26" Type="http://schemas.openxmlformats.org/officeDocument/2006/relationships/hyperlink" Target="https://www.driveforwardfoundation.org" TargetMode="External"/><Relationship Id="rId39" Type="http://schemas.openxmlformats.org/officeDocument/2006/relationships/hyperlink" Target="https://www.paperclip.co.uk/care-homes/" TargetMode="External"/><Relationship Id="rId21" Type="http://schemas.openxmlformats.org/officeDocument/2006/relationships/hyperlink" Target="https://webarchive.nationalarchives.gov.uk/ukgwa/+/www.dh.gov.uk/en/Publicationsandstatistics/Publications/PublicationsPolicyAndGuidance/DH_073312" TargetMode="External"/><Relationship Id="rId34" Type="http://schemas.openxmlformats.org/officeDocument/2006/relationships/hyperlink" Target="https://www.bing.com/search?q=%22https%3A%2F%2Fdoi.org%2F10.1093%2Fshm%2F10.1.37%22" TargetMode="External"/><Relationship Id="rId42" Type="http://schemas.openxmlformats.org/officeDocument/2006/relationships/hyperlink" Target="https://www.publicsector.co.uk/chart-carehomes" TargetMode="External"/><Relationship Id="rId47" Type="http://schemas.openxmlformats.org/officeDocument/2006/relationships/hyperlink" Target="https://www.bing.com/search?q=%22https%3A%2F%2Fwww.rcm.org.uk%2Fmedia-releases%2F2023%2Fnovember%2Fstate-of-maternity-services-report-2023%2F%22" TargetMode="External"/><Relationship Id="rId50" Type="http://schemas.openxmlformats.org/officeDocument/2006/relationships/hyperlink" Target="https://www.who.int/publications/i/item/9789241549912" TargetMode="External"/><Relationship Id="rId55" Type="http://schemas.microsoft.com/office/2020/10/relationships/intelligence" Target="intelligence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bing.com/search?q=%22https%3A%2F%2Fdoi.org%2F10.1016%2Fj.midw.2013.10.006%22" TargetMode="External"/><Relationship Id="rId29" Type="http://schemas.openxmlformats.org/officeDocument/2006/relationships/hyperlink" Target="https://doi.org/10.1186/s12884-018-1931-1" TargetMode="External"/><Relationship Id="rId11" Type="http://schemas.openxmlformats.org/officeDocument/2006/relationships/image" Target="media/image5.png"/><Relationship Id="rId24" Type="http://schemas.openxmlformats.org/officeDocument/2006/relationships/hyperlink" Target="https://www.bing.com/search?q=%22https%3A%2F%2Fwww.routledge.com%2FAn-Introduction-to-the-Social-History-of-Nursing%2FDingwall-Rafferty-Webster%2Fp%2Fbook%2F9780415007295%22" TargetMode="External"/><Relationship Id="rId32" Type="http://schemas.openxmlformats.org/officeDocument/2006/relationships/hyperlink" Target="https://www.bing.com/search?q=%22https%3A%2F%2Fwww.npeu.ox.ac.uk%2Fmbrrace-uk%2Freports%22" TargetMode="External"/><Relationship Id="rId37" Type="http://schemas.openxmlformats.org/officeDocument/2006/relationships/hyperlink" Target="https://www.elsevier.com/books/antenatal-education/nolan/978-0-7020-3575-0" TargetMode="External"/><Relationship Id="rId40" Type="http://schemas.openxmlformats.org/officeDocument/2006/relationships/hyperlink" Target="https://www.health.org.uk/publications/reports/the-marmot-review-10-years-on" TargetMode="External"/><Relationship Id="rId45" Type="http://schemas.openxmlformats.org/officeDocument/2006/relationships/hyperlink" Target="https://rowanparkcare.co.uk/news-events/what-is-a-residential-care-home"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www.carersuk.org/help-and-advice/practical-support/arranging-care-and-support-for-someone/residential-care" TargetMode="External"/><Relationship Id="rId31" Type="http://schemas.openxmlformats.org/officeDocument/2006/relationships/hyperlink" Target="https://www.npeu.ox.ac.uk/mbrrace-uk/reports" TargetMode="External"/><Relationship Id="rId44" Type="http://schemas.openxmlformats.org/officeDocument/2006/relationships/hyperlink" Target="https://www.bing.com/search?q=%22https%3A%2F%2Fdoi.org%2F10.1016%2FS0140-6736%2814%2960789-3%22" TargetMode="External"/><Relationship Id="rId52"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ing.com/search?q=%22https%3A%2F%2Fwebarchive.nationalarchives.gov.uk%2Fukgwa%2F%2B%2Fwww.dh.gov.uk%2Fen%2FPublicationsandstatistics%2FPublications%2FPublicationsPolicyAndGuidance%2FDH_073312%22" TargetMode="External"/><Relationship Id="rId27" Type="http://schemas.openxmlformats.org/officeDocument/2006/relationships/hyperlink" Target="https://ecerttraining.co.uk/resources/funding-and-financial-challenges-in-care-homes/" TargetMode="External"/><Relationship Id="rId30" Type="http://schemas.openxmlformats.org/officeDocument/2006/relationships/hyperlink" Target="https://www.bing.com/search?q=%22https%3A%2F%2Fdoi.org%2F10.1186%2Fs12884-018-1931-1%22" TargetMode="External"/><Relationship Id="rId35" Type="http://schemas.openxmlformats.org/officeDocument/2006/relationships/hyperlink" Target="https://www.carehome.co.uk" TargetMode="External"/><Relationship Id="rId43" Type="http://schemas.openxmlformats.org/officeDocument/2006/relationships/hyperlink" Target="https://doi.org/10.1016/S0140-6736(14)60789-3" TargetMode="External"/><Relationship Id="rId48" Type="http://schemas.openxmlformats.org/officeDocument/2006/relationships/hyperlink" Target="https://doi.org/10.1002/14651858.CD004667.pub5" TargetMode="External"/><Relationship Id="rId8" Type="http://schemas.openxmlformats.org/officeDocument/2006/relationships/image" Target="media/image2.png"/><Relationship Id="rId51" Type="http://schemas.openxmlformats.org/officeDocument/2006/relationships/hyperlink" Target="https://www.bing.com/search?q=%22https%3A%2F%2Fwww.who.int%2Fpublications%2Fi%2Fitem%2F9789241549912%22"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arehome.co.uk" TargetMode="External"/><Relationship Id="rId25" Type="http://schemas.openxmlformats.org/officeDocument/2006/relationships/hyperlink" Target="https://www.worldcat.org/title/17650832" TargetMode="External"/><Relationship Id="rId33" Type="http://schemas.openxmlformats.org/officeDocument/2006/relationships/hyperlink" Target="https://doi.org/10.1093/shm/10.1.37" TargetMode="External"/><Relationship Id="rId38" Type="http://schemas.openxmlformats.org/officeDocument/2006/relationships/hyperlink" Target="https://www.bing.com/search?q=%22https%3A%2F%2Fwww.elsevier.com%2Fbooks%2Fantenatal-education%2Fnolan%2F978-0-7020-3575-0%22" TargetMode="External"/><Relationship Id="rId46" Type="http://schemas.openxmlformats.org/officeDocument/2006/relationships/hyperlink" Target="https://www.rcm.org.uk/media-releases/2023/november/state-of-maternity-services-report-2023/" TargetMode="External"/><Relationship Id="rId20" Type="http://schemas.openxmlformats.org/officeDocument/2006/relationships/hyperlink" Target="https://www.carersuk.org" TargetMode="External"/><Relationship Id="rId41" Type="http://schemas.openxmlformats.org/officeDocument/2006/relationships/hyperlink" Target="https://www.bing.com/search?q=%22https%3A%2F%2Fwww.health.org.uk%2Fpublications%2Freports%2Fthe-marmot-review-10-years-on%22"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16/j.midw.2013.10.006" TargetMode="External"/><Relationship Id="rId23" Type="http://schemas.openxmlformats.org/officeDocument/2006/relationships/hyperlink" Target="https://www.routledge.com/An-Introduction-to-the-Social-History-of-Nursing/Dingwall-Rafferty-Webster/p/book/9780415007295" TargetMode="External"/><Relationship Id="rId28" Type="http://schemas.openxmlformats.org/officeDocument/2006/relationships/hyperlink" Target="https://www.gloveman.co.uk" TargetMode="External"/><Relationship Id="rId36" Type="http://schemas.openxmlformats.org/officeDocument/2006/relationships/hyperlink" Target="https://www.nice.org.uk/guidance/ng201" TargetMode="External"/><Relationship Id="rId49" Type="http://schemas.openxmlformats.org/officeDocument/2006/relationships/hyperlink" Target="https://www.bing.com/search?q=%22https%3A%2F%2Fdoi.org%2F10.1002%2F14651858.CD004667.pub5%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2965</Words>
  <Characters>16905</Characters>
  <Application>Microsoft Office Word</Application>
  <DocSecurity>0</DocSecurity>
  <Lines>140</Lines>
  <Paragraphs>39</Paragraphs>
  <ScaleCrop>false</ScaleCrop>
  <Company/>
  <LinksUpToDate>false</LinksUpToDate>
  <CharactersWithSpaces>19831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Sansha Nastasia Gordon (2508270)</dc:creator>
  <cp:keywords/>
  <dc:description/>
  <cp:lastModifiedBy>sansha Gordon</cp:lastModifiedBy>
  <cp:revision>2</cp:revision>
  <dcterms:created xsi:type="dcterms:W3CDTF">2026-02-19T21:29:00Z</dcterms:created>
  <dcterms:modified xsi:type="dcterms:W3CDTF">2026-02-19T21:29:00Z</dcterms:modified>
</cp:coreProperties>
</file>