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0272007"/>
        <w:docPartObj>
          <w:docPartGallery w:val="Cover Pages"/>
          <w:docPartUnique/>
        </w:docPartObj>
      </w:sdtPr>
      <w:sdtEndPr>
        <w:rPr>
          <w:rFonts w:ascii="Arial" w:eastAsia="Times New Roman" w:hAnsi="Arial" w:cs="Arial"/>
          <w:b/>
          <w:bCs/>
          <w:sz w:val="24"/>
          <w:szCs w:val="24"/>
          <w:lang w:eastAsia="en-GB"/>
        </w:rPr>
      </w:sdtEndPr>
      <w:sdtContent>
        <w:p w14:paraId="285CB5A7" w14:textId="4396E6EB" w:rsidR="00FA0AC2" w:rsidRDefault="00FA0AC2">
          <w:r>
            <w:rPr>
              <w:noProof/>
            </w:rPr>
            <mc:AlternateContent>
              <mc:Choice Requires="wpg">
                <w:drawing>
                  <wp:anchor distT="0" distB="0" distL="114300" distR="114300" simplePos="0" relativeHeight="251662336" behindDoc="0" locked="0" layoutInCell="1" allowOverlap="1" wp14:anchorId="07B198AB" wp14:editId="433A99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267EA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3713249" wp14:editId="3768ED1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D4F79F" w14:textId="416F3B22" w:rsidR="00FA0AC2" w:rsidRDefault="00FA0AC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3713249"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BD4F79F" w14:textId="416F3B22" w:rsidR="00FA0AC2" w:rsidRDefault="00FA0AC2">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61BBAA" wp14:editId="34691F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04405" cy="387477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04405" cy="3874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F28D6E" w14:textId="6150028C" w:rsidR="00FA0AC2" w:rsidRPr="00FA0AC2" w:rsidRDefault="00FA0AC2" w:rsidP="00FA0AC2">
                                <w:pPr>
                                  <w:spacing w:line="360" w:lineRule="auto"/>
                                  <w:jc w:val="right"/>
                                  <w:rPr>
                                    <w:rFonts w:ascii="Arial" w:hAnsi="Arial" w:cs="Arial"/>
                                    <w:color w:val="4472C4" w:themeColor="accent1"/>
                                    <w:sz w:val="56"/>
                                    <w:szCs w:val="56"/>
                                  </w:rPr>
                                </w:pPr>
                                <w:sdt>
                                  <w:sdtPr>
                                    <w:rPr>
                                      <w:rFonts w:ascii="Arial" w:hAnsi="Arial" w:cs="Arial"/>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A0AC2">
                                      <w:rPr>
                                        <w:rFonts w:ascii="Arial" w:hAnsi="Arial" w:cs="Arial"/>
                                        <w:sz w:val="56"/>
                                        <w:szCs w:val="56"/>
                                      </w:rPr>
                                      <w:t>Examining the physiological and emotional effects of trauma on young people</w:t>
                                    </w:r>
                                  </w:sdtContent>
                                </w:sdt>
                              </w:p>
                              <w:p w14:paraId="4B289EAF" w14:textId="50A34225" w:rsidR="00FA0AC2" w:rsidRDefault="00FA0AC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61BBAA" id="Text Box 154" o:spid="_x0000_s1027" type="#_x0000_t202" style="position:absolute;margin-left:0;margin-top:0;width:575.15pt;height:305.1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" filled="f" stroked="f" strokeweight=".5pt">
                    <v:textbox inset="126pt,0,54pt,0">
                      <w:txbxContent>
                        <w:p w14:paraId="43F28D6E" w14:textId="6150028C" w:rsidR="00FA0AC2" w:rsidRPr="00FA0AC2" w:rsidRDefault="00FA0AC2" w:rsidP="00FA0AC2">
                          <w:pPr>
                            <w:spacing w:line="360" w:lineRule="auto"/>
                            <w:jc w:val="right"/>
                            <w:rPr>
                              <w:rFonts w:ascii="Arial" w:hAnsi="Arial" w:cs="Arial"/>
                              <w:color w:val="4472C4" w:themeColor="accent1"/>
                              <w:sz w:val="56"/>
                              <w:szCs w:val="56"/>
                            </w:rPr>
                          </w:pPr>
                          <w:sdt>
                            <w:sdtPr>
                              <w:rPr>
                                <w:rFonts w:ascii="Arial" w:hAnsi="Arial" w:cs="Arial"/>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A0AC2">
                                <w:rPr>
                                  <w:rFonts w:ascii="Arial" w:hAnsi="Arial" w:cs="Arial"/>
                                  <w:sz w:val="56"/>
                                  <w:szCs w:val="56"/>
                                </w:rPr>
                                <w:t>Examining the physiological and emotional effects of trauma on young people</w:t>
                              </w:r>
                            </w:sdtContent>
                          </w:sdt>
                        </w:p>
                        <w:p w14:paraId="4B289EAF" w14:textId="50A34225" w:rsidR="00FA0AC2" w:rsidRDefault="00FA0AC2">
                          <w:pPr>
                            <w:jc w:val="right"/>
                            <w:rPr>
                              <w:smallCaps/>
                              <w:color w:val="404040" w:themeColor="text1" w:themeTint="BF"/>
                              <w:sz w:val="36"/>
                              <w:szCs w:val="36"/>
                            </w:rPr>
                          </w:pPr>
                        </w:p>
                      </w:txbxContent>
                    </v:textbox>
                    <w10:wrap type="square" anchorx="page" anchory="page"/>
                  </v:shape>
                </w:pict>
              </mc:Fallback>
            </mc:AlternateContent>
          </w:r>
        </w:p>
        <w:p w14:paraId="6E54A859" w14:textId="0F25A74E" w:rsidR="00FA0AC2" w:rsidRDefault="00FA0AC2">
          <w:pPr>
            <w:rPr>
              <w:rFonts w:ascii="Arial" w:eastAsia="Times New Roman" w:hAnsi="Arial" w:cs="Arial"/>
              <w:b/>
              <w:bCs/>
              <w:sz w:val="24"/>
              <w:szCs w:val="24"/>
              <w:lang w:eastAsia="en-GB"/>
            </w:rPr>
          </w:pPr>
          <w:r>
            <w:rPr>
              <w:noProof/>
            </w:rPr>
            <mc:AlternateContent>
              <mc:Choice Requires="wps">
                <w:drawing>
                  <wp:anchor distT="0" distB="0" distL="114300" distR="114300" simplePos="0" relativeHeight="251660288" behindDoc="0" locked="0" layoutInCell="1" allowOverlap="1" wp14:anchorId="3A1286D9" wp14:editId="5E53770D">
                    <wp:simplePos x="0" y="0"/>
                    <wp:positionH relativeFrom="page">
                      <wp:posOffset>1832610</wp:posOffset>
                    </wp:positionH>
                    <wp:positionV relativeFrom="page">
                      <wp:posOffset>8679180</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16"/>
                                    <w:szCs w:val="1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710113" w14:textId="35C33A76" w:rsidR="00FA0AC2" w:rsidRPr="00FA0AC2" w:rsidRDefault="00FA0AC2" w:rsidP="00FA0AC2">
                                    <w:pPr>
                                      <w:pStyle w:val="NoSpacing"/>
                                      <w:jc w:val="both"/>
                                      <w:rPr>
                                        <w:rFonts w:ascii="Arial" w:hAnsi="Arial" w:cs="Arial"/>
                                        <w:color w:val="595959" w:themeColor="text1" w:themeTint="A6"/>
                                        <w:sz w:val="16"/>
                                        <w:szCs w:val="16"/>
                                      </w:rPr>
                                    </w:pPr>
                                    <w:r w:rsidRPr="00FA0AC2">
                                      <w:rPr>
                                        <w:rFonts w:ascii="Arial" w:hAnsi="Arial" w:cs="Arial"/>
                                        <w:color w:val="595959" w:themeColor="text1" w:themeTint="A6"/>
                                        <w:sz w:val="16"/>
                                        <w:szCs w:val="16"/>
                                      </w:rPr>
                                      <w:t>Anca-Madalina Sulugiuc (1710291)</w:t>
                                    </w:r>
                                  </w:p>
                                </w:sdtContent>
                              </w:sdt>
                              <w:p w14:paraId="6E430ED7" w14:textId="710EBF55" w:rsidR="00FA0AC2" w:rsidRPr="00FA0AC2" w:rsidRDefault="00FA0AC2" w:rsidP="00FA0AC2">
                                <w:pPr>
                                  <w:pStyle w:val="NoSpacing"/>
                                  <w:jc w:val="both"/>
                                  <w:rPr>
                                    <w:rFonts w:ascii="Arial" w:hAnsi="Arial" w:cs="Arial"/>
                                    <w:color w:val="595959" w:themeColor="text1" w:themeTint="A6"/>
                                    <w:sz w:val="16"/>
                                    <w:szCs w:val="16"/>
                                  </w:rPr>
                                </w:pPr>
                                <w:sdt>
                                  <w:sdtPr>
                                    <w:rPr>
                                      <w:rFonts w:ascii="Arial" w:hAnsi="Arial" w:cs="Arial"/>
                                      <w:color w:val="595959" w:themeColor="text1" w:themeTint="A6"/>
                                      <w:sz w:val="16"/>
                                      <w:szCs w:val="16"/>
                                    </w:rPr>
                                    <w:alias w:val="Email"/>
                                    <w:tag w:val="Email"/>
                                    <w:id w:val="942260680"/>
                                    <w:dataBinding w:prefixMappings="xmlns:ns0='http://schemas.microsoft.com/office/2006/coverPageProps' " w:xpath="/ns0:CoverPageProperties[1]/ns0:CompanyEmail[1]" w:storeItemID="{55AF091B-3C7A-41E3-B477-F2FDAA23CFDA}"/>
                                    <w:text/>
                                  </w:sdtPr>
                                  <w:sdtContent>
                                    <w:r w:rsidRPr="00FA0AC2">
                                      <w:rPr>
                                        <w:rFonts w:ascii="Arial" w:hAnsi="Arial" w:cs="Arial"/>
                                        <w:color w:val="595959" w:themeColor="text1" w:themeTint="A6"/>
                                        <w:sz w:val="16"/>
                                        <w:szCs w:val="16"/>
                                      </w:rPr>
                                      <w:t>1710291@student.uwtsd.ac.uk</w:t>
                                    </w:r>
                                  </w:sdtContent>
                                </w:sdt>
                              </w:p>
                              <w:p w14:paraId="5AA3F6F3" w14:textId="77777777" w:rsidR="00FA0AC2" w:rsidRPr="00FA0AC2" w:rsidRDefault="00FA0AC2" w:rsidP="00FA0AC2">
                                <w:pPr>
                                  <w:pStyle w:val="NoSpacing"/>
                                  <w:jc w:val="both"/>
                                  <w:rPr>
                                    <w:rFonts w:ascii="Arial" w:hAnsi="Arial" w:cs="Arial"/>
                                    <w:color w:val="595959" w:themeColor="text1" w:themeTint="A6"/>
                                    <w:sz w:val="16"/>
                                    <w:szCs w:val="16"/>
                                  </w:rPr>
                                </w:pPr>
                                <w:r w:rsidRPr="00FA0AC2">
                                  <w:rPr>
                                    <w:rFonts w:ascii="Arial" w:hAnsi="Arial" w:cs="Arial"/>
                                    <w:color w:val="595959" w:themeColor="text1" w:themeTint="A6"/>
                                    <w:sz w:val="16"/>
                                    <w:szCs w:val="16"/>
                                  </w:rPr>
                                  <w:t xml:space="preserve">Module: </w:t>
                                </w:r>
                                <w:r w:rsidRPr="00FA0AC2">
                                  <w:rPr>
                                    <w:rFonts w:ascii="Arial" w:hAnsi="Arial" w:cs="Arial"/>
                                    <w:color w:val="595959" w:themeColor="text1" w:themeTint="A6"/>
                                    <w:sz w:val="16"/>
                                    <w:szCs w:val="16"/>
                                  </w:rPr>
                                  <w:t>Contemporary Impacts in Supporting Young People (BMHP6025)</w:t>
                                </w:r>
                              </w:p>
                              <w:p w14:paraId="5DCF03D5" w14:textId="0930A81E" w:rsidR="00FA0AC2" w:rsidRPr="00FA0AC2" w:rsidRDefault="00FA0AC2" w:rsidP="00FA0AC2">
                                <w:pPr>
                                  <w:pStyle w:val="NoSpacing"/>
                                  <w:jc w:val="both"/>
                                  <w:rPr>
                                    <w:rFonts w:ascii="Arial" w:hAnsi="Arial" w:cs="Arial"/>
                                    <w:color w:val="595959" w:themeColor="text1" w:themeTint="A6"/>
                                    <w:sz w:val="16"/>
                                    <w:szCs w:val="16"/>
                                  </w:rPr>
                                </w:pPr>
                                <w:r w:rsidRPr="00FA0AC2">
                                  <w:rPr>
                                    <w:rFonts w:ascii="Arial" w:hAnsi="Arial" w:cs="Arial"/>
                                    <w:color w:val="595959" w:themeColor="text1" w:themeTint="A6"/>
                                    <w:sz w:val="16"/>
                                    <w:szCs w:val="16"/>
                                  </w:rPr>
                                  <w:t>Lecture: Jonathan Wyatt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A1286D9" id="Text Box 152" o:spid="_x0000_s1028" type="#_x0000_t202" style="position:absolute;margin-left:144.3pt;margin-top:683.4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" filled="f" stroked="f" strokeweight=".5pt">
                    <v:textbox inset="126pt,0,54pt,0">
                      <w:txbxContent>
                        <w:sdt>
                          <w:sdtPr>
                            <w:rPr>
                              <w:rFonts w:ascii="Arial" w:hAnsi="Arial" w:cs="Arial"/>
                              <w:color w:val="595959" w:themeColor="text1" w:themeTint="A6"/>
                              <w:sz w:val="16"/>
                              <w:szCs w:val="1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710113" w14:textId="35C33A76" w:rsidR="00FA0AC2" w:rsidRPr="00FA0AC2" w:rsidRDefault="00FA0AC2" w:rsidP="00FA0AC2">
                              <w:pPr>
                                <w:pStyle w:val="NoSpacing"/>
                                <w:jc w:val="both"/>
                                <w:rPr>
                                  <w:rFonts w:ascii="Arial" w:hAnsi="Arial" w:cs="Arial"/>
                                  <w:color w:val="595959" w:themeColor="text1" w:themeTint="A6"/>
                                  <w:sz w:val="16"/>
                                  <w:szCs w:val="16"/>
                                </w:rPr>
                              </w:pPr>
                              <w:r w:rsidRPr="00FA0AC2">
                                <w:rPr>
                                  <w:rFonts w:ascii="Arial" w:hAnsi="Arial" w:cs="Arial"/>
                                  <w:color w:val="595959" w:themeColor="text1" w:themeTint="A6"/>
                                  <w:sz w:val="16"/>
                                  <w:szCs w:val="16"/>
                                </w:rPr>
                                <w:t>Anca-Madalina Sulugiuc (1710291)</w:t>
                              </w:r>
                            </w:p>
                          </w:sdtContent>
                        </w:sdt>
                        <w:p w14:paraId="6E430ED7" w14:textId="710EBF55" w:rsidR="00FA0AC2" w:rsidRPr="00FA0AC2" w:rsidRDefault="00FA0AC2" w:rsidP="00FA0AC2">
                          <w:pPr>
                            <w:pStyle w:val="NoSpacing"/>
                            <w:jc w:val="both"/>
                            <w:rPr>
                              <w:rFonts w:ascii="Arial" w:hAnsi="Arial" w:cs="Arial"/>
                              <w:color w:val="595959" w:themeColor="text1" w:themeTint="A6"/>
                              <w:sz w:val="16"/>
                              <w:szCs w:val="16"/>
                            </w:rPr>
                          </w:pPr>
                          <w:sdt>
                            <w:sdtPr>
                              <w:rPr>
                                <w:rFonts w:ascii="Arial" w:hAnsi="Arial" w:cs="Arial"/>
                                <w:color w:val="595959" w:themeColor="text1" w:themeTint="A6"/>
                                <w:sz w:val="16"/>
                                <w:szCs w:val="16"/>
                              </w:rPr>
                              <w:alias w:val="Email"/>
                              <w:tag w:val="Email"/>
                              <w:id w:val="942260680"/>
                              <w:dataBinding w:prefixMappings="xmlns:ns0='http://schemas.microsoft.com/office/2006/coverPageProps' " w:xpath="/ns0:CoverPageProperties[1]/ns0:CompanyEmail[1]" w:storeItemID="{55AF091B-3C7A-41E3-B477-F2FDAA23CFDA}"/>
                              <w:text/>
                            </w:sdtPr>
                            <w:sdtContent>
                              <w:r w:rsidRPr="00FA0AC2">
                                <w:rPr>
                                  <w:rFonts w:ascii="Arial" w:hAnsi="Arial" w:cs="Arial"/>
                                  <w:color w:val="595959" w:themeColor="text1" w:themeTint="A6"/>
                                  <w:sz w:val="16"/>
                                  <w:szCs w:val="16"/>
                                </w:rPr>
                                <w:t>1710291@student.uwtsd.ac.uk</w:t>
                              </w:r>
                            </w:sdtContent>
                          </w:sdt>
                        </w:p>
                        <w:p w14:paraId="5AA3F6F3" w14:textId="77777777" w:rsidR="00FA0AC2" w:rsidRPr="00FA0AC2" w:rsidRDefault="00FA0AC2" w:rsidP="00FA0AC2">
                          <w:pPr>
                            <w:pStyle w:val="NoSpacing"/>
                            <w:jc w:val="both"/>
                            <w:rPr>
                              <w:rFonts w:ascii="Arial" w:hAnsi="Arial" w:cs="Arial"/>
                              <w:color w:val="595959" w:themeColor="text1" w:themeTint="A6"/>
                              <w:sz w:val="16"/>
                              <w:szCs w:val="16"/>
                            </w:rPr>
                          </w:pPr>
                          <w:r w:rsidRPr="00FA0AC2">
                            <w:rPr>
                              <w:rFonts w:ascii="Arial" w:hAnsi="Arial" w:cs="Arial"/>
                              <w:color w:val="595959" w:themeColor="text1" w:themeTint="A6"/>
                              <w:sz w:val="16"/>
                              <w:szCs w:val="16"/>
                            </w:rPr>
                            <w:t xml:space="preserve">Module: </w:t>
                          </w:r>
                          <w:r w:rsidRPr="00FA0AC2">
                            <w:rPr>
                              <w:rFonts w:ascii="Arial" w:hAnsi="Arial" w:cs="Arial"/>
                              <w:color w:val="595959" w:themeColor="text1" w:themeTint="A6"/>
                              <w:sz w:val="16"/>
                              <w:szCs w:val="16"/>
                            </w:rPr>
                            <w:t>Contemporary Impacts in Supporting Young People (BMHP6025)</w:t>
                          </w:r>
                        </w:p>
                        <w:p w14:paraId="5DCF03D5" w14:textId="0930A81E" w:rsidR="00FA0AC2" w:rsidRPr="00FA0AC2" w:rsidRDefault="00FA0AC2" w:rsidP="00FA0AC2">
                          <w:pPr>
                            <w:pStyle w:val="NoSpacing"/>
                            <w:jc w:val="both"/>
                            <w:rPr>
                              <w:rFonts w:ascii="Arial" w:hAnsi="Arial" w:cs="Arial"/>
                              <w:color w:val="595959" w:themeColor="text1" w:themeTint="A6"/>
                              <w:sz w:val="16"/>
                              <w:szCs w:val="16"/>
                            </w:rPr>
                          </w:pPr>
                          <w:r w:rsidRPr="00FA0AC2">
                            <w:rPr>
                              <w:rFonts w:ascii="Arial" w:hAnsi="Arial" w:cs="Arial"/>
                              <w:color w:val="595959" w:themeColor="text1" w:themeTint="A6"/>
                              <w:sz w:val="16"/>
                              <w:szCs w:val="16"/>
                            </w:rPr>
                            <w:t>Lecture: Jonathan Wyatt</w:t>
                          </w:r>
                        </w:p>
                      </w:txbxContent>
                    </v:textbox>
                    <w10:wrap type="square" anchorx="page" anchory="page"/>
                  </v:shape>
                </w:pict>
              </mc:Fallback>
            </mc:AlternateContent>
          </w:r>
          <w:r>
            <w:rPr>
              <w:rFonts w:ascii="Arial" w:eastAsia="Times New Roman" w:hAnsi="Arial" w:cs="Arial"/>
              <w:b/>
              <w:bCs/>
              <w:sz w:val="24"/>
              <w:szCs w:val="24"/>
              <w:lang w:eastAsia="en-GB"/>
            </w:rPr>
            <w:br w:type="page"/>
          </w:r>
        </w:p>
      </w:sdtContent>
    </w:sdt>
    <w:sdt>
      <w:sdtPr>
        <w:rPr>
          <w:rFonts w:ascii="Arial" w:hAnsi="Arial" w:cs="Arial"/>
          <w:sz w:val="24"/>
          <w:szCs w:val="24"/>
        </w:rPr>
        <w:id w:val="649947433"/>
        <w:docPartObj>
          <w:docPartGallery w:val="Table of Contents"/>
          <w:docPartUnique/>
        </w:docPartObj>
      </w:sdtPr>
      <w:sdtEndPr>
        <w:rPr>
          <w:rFonts w:eastAsiaTheme="minorHAnsi"/>
          <w:b/>
          <w:bCs/>
          <w:color w:val="auto"/>
          <w:lang w:eastAsia="en-US"/>
        </w:rPr>
      </w:sdtEndPr>
      <w:sdtContent>
        <w:p w14:paraId="251E97A8" w14:textId="6EFDA2E2" w:rsidR="00FA0AC2" w:rsidRPr="00FA0AC2" w:rsidRDefault="00FA0AC2" w:rsidP="00FA0AC2">
          <w:pPr>
            <w:pStyle w:val="TOCHeading"/>
            <w:spacing w:line="360" w:lineRule="auto"/>
            <w:rPr>
              <w:rFonts w:ascii="Arial" w:hAnsi="Arial" w:cs="Arial"/>
              <w:sz w:val="24"/>
              <w:szCs w:val="24"/>
            </w:rPr>
          </w:pPr>
          <w:r w:rsidRPr="00FA0AC2">
            <w:rPr>
              <w:rFonts w:ascii="Arial" w:hAnsi="Arial" w:cs="Arial"/>
              <w:sz w:val="24"/>
              <w:szCs w:val="24"/>
            </w:rPr>
            <w:t>Contents</w:t>
          </w:r>
        </w:p>
        <w:p w14:paraId="46CD45C3" w14:textId="0CCC24DF" w:rsidR="00FA0AC2" w:rsidRPr="00FA0AC2" w:rsidRDefault="00FA0AC2" w:rsidP="00FA0AC2">
          <w:pPr>
            <w:pStyle w:val="TOC2"/>
            <w:tabs>
              <w:tab w:val="right" w:leader="dot" w:pos="9890"/>
            </w:tabs>
            <w:spacing w:line="360" w:lineRule="auto"/>
            <w:ind w:left="0"/>
            <w:rPr>
              <w:rFonts w:ascii="Arial" w:eastAsiaTheme="minorEastAsia" w:hAnsi="Arial" w:cs="Arial"/>
              <w:noProof/>
              <w:sz w:val="24"/>
              <w:szCs w:val="24"/>
              <w:lang w:eastAsia="en-GB"/>
            </w:rPr>
          </w:pPr>
          <w:r w:rsidRPr="00FA0AC2">
            <w:rPr>
              <w:rFonts w:ascii="Arial" w:hAnsi="Arial" w:cs="Arial"/>
              <w:sz w:val="24"/>
              <w:szCs w:val="24"/>
            </w:rPr>
            <w:fldChar w:fldCharType="begin"/>
          </w:r>
          <w:r w:rsidRPr="00FA0AC2">
            <w:rPr>
              <w:rFonts w:ascii="Arial" w:hAnsi="Arial" w:cs="Arial"/>
              <w:sz w:val="24"/>
              <w:szCs w:val="24"/>
            </w:rPr>
            <w:instrText xml:space="preserve"> TOC \o "1-3" \h \z \u </w:instrText>
          </w:r>
          <w:r w:rsidRPr="00FA0AC2">
            <w:rPr>
              <w:rFonts w:ascii="Arial" w:hAnsi="Arial" w:cs="Arial"/>
              <w:sz w:val="24"/>
              <w:szCs w:val="24"/>
            </w:rPr>
            <w:fldChar w:fldCharType="separate"/>
          </w:r>
          <w:hyperlink w:anchor="_Toc216399404" w:history="1">
            <w:r w:rsidRPr="00FA0AC2">
              <w:rPr>
                <w:rStyle w:val="Hyperlink"/>
                <w:rFonts w:ascii="Arial" w:eastAsia="Times New Roman" w:hAnsi="Arial" w:cs="Arial"/>
                <w:noProof/>
                <w:sz w:val="24"/>
                <w:szCs w:val="24"/>
                <w:lang w:eastAsia="en-GB"/>
              </w:rPr>
              <w:t>Introduction</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_Toc216399404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2</w:t>
            </w:r>
            <w:r w:rsidRPr="00FA0AC2">
              <w:rPr>
                <w:rFonts w:ascii="Arial" w:hAnsi="Arial" w:cs="Arial"/>
                <w:noProof/>
                <w:webHidden/>
                <w:sz w:val="24"/>
                <w:szCs w:val="24"/>
              </w:rPr>
              <w:fldChar w:fldCharType="end"/>
            </w:r>
          </w:hyperlink>
        </w:p>
        <w:p w14:paraId="4BFA1644" w14:textId="64036772" w:rsidR="00FA0AC2" w:rsidRPr="00FA0AC2" w:rsidRDefault="00FA0AC2" w:rsidP="00FA0AC2">
          <w:pPr>
            <w:pStyle w:val="TOC1"/>
            <w:tabs>
              <w:tab w:val="right" w:leader="dot" w:pos="9890"/>
            </w:tabs>
            <w:spacing w:line="360" w:lineRule="auto"/>
            <w:rPr>
              <w:rFonts w:ascii="Arial" w:eastAsiaTheme="minorEastAsia" w:hAnsi="Arial" w:cs="Arial"/>
              <w:noProof/>
              <w:sz w:val="24"/>
              <w:szCs w:val="24"/>
              <w:lang w:eastAsia="en-GB"/>
            </w:rPr>
          </w:pPr>
          <w:hyperlink w:anchor="_Toc216399405" w:history="1">
            <w:r w:rsidRPr="00FA0AC2">
              <w:rPr>
                <w:rStyle w:val="Hyperlink"/>
                <w:rFonts w:ascii="Arial" w:eastAsia="Times New Roman" w:hAnsi="Arial" w:cs="Arial"/>
                <w:noProof/>
                <w:kern w:val="36"/>
                <w:sz w:val="24"/>
                <w:szCs w:val="24"/>
                <w:lang w:eastAsia="en-GB"/>
              </w:rPr>
              <w:t>Main body</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_Toc216399405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3</w:t>
            </w:r>
            <w:r w:rsidRPr="00FA0AC2">
              <w:rPr>
                <w:rFonts w:ascii="Arial" w:hAnsi="Arial" w:cs="Arial"/>
                <w:noProof/>
                <w:webHidden/>
                <w:sz w:val="24"/>
                <w:szCs w:val="24"/>
              </w:rPr>
              <w:fldChar w:fldCharType="end"/>
            </w:r>
          </w:hyperlink>
        </w:p>
        <w:p w14:paraId="54351308" w14:textId="2C92AEF5" w:rsidR="00FA0AC2" w:rsidRPr="00FA0AC2" w:rsidRDefault="00FA0AC2" w:rsidP="00FA0AC2">
          <w:pPr>
            <w:pStyle w:val="TOC2"/>
            <w:tabs>
              <w:tab w:val="right" w:leader="dot" w:pos="9890"/>
            </w:tabs>
            <w:spacing w:line="360" w:lineRule="auto"/>
            <w:rPr>
              <w:rFonts w:ascii="Arial" w:eastAsiaTheme="minorEastAsia" w:hAnsi="Arial" w:cs="Arial"/>
              <w:noProof/>
              <w:sz w:val="24"/>
              <w:szCs w:val="24"/>
              <w:lang w:eastAsia="en-GB"/>
            </w:rPr>
          </w:pPr>
          <w:hyperlink w:anchor="_Toc216399406" w:history="1">
            <w:r w:rsidRPr="00FA0AC2">
              <w:rPr>
                <w:rStyle w:val="Hyperlink"/>
                <w:rFonts w:ascii="Arial" w:eastAsia="Times New Roman" w:hAnsi="Arial" w:cs="Arial"/>
                <w:noProof/>
                <w:sz w:val="24"/>
                <w:szCs w:val="24"/>
                <w:lang w:eastAsia="en-GB"/>
              </w:rPr>
              <w:t>Physiological effects of trauma on development</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_Toc216399406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3</w:t>
            </w:r>
            <w:r w:rsidRPr="00FA0AC2">
              <w:rPr>
                <w:rFonts w:ascii="Arial" w:hAnsi="Arial" w:cs="Arial"/>
                <w:noProof/>
                <w:webHidden/>
                <w:sz w:val="24"/>
                <w:szCs w:val="24"/>
              </w:rPr>
              <w:fldChar w:fldCharType="end"/>
            </w:r>
          </w:hyperlink>
        </w:p>
        <w:p w14:paraId="1327FC11" w14:textId="4E8E4F92" w:rsidR="00FA0AC2" w:rsidRPr="00FA0AC2" w:rsidRDefault="00FA0AC2" w:rsidP="00FA0AC2">
          <w:pPr>
            <w:pStyle w:val="TOC2"/>
            <w:tabs>
              <w:tab w:val="right" w:leader="dot" w:pos="9890"/>
            </w:tabs>
            <w:spacing w:line="360" w:lineRule="auto"/>
            <w:rPr>
              <w:rFonts w:ascii="Arial" w:eastAsiaTheme="minorEastAsia" w:hAnsi="Arial" w:cs="Arial"/>
              <w:noProof/>
              <w:sz w:val="24"/>
              <w:szCs w:val="24"/>
              <w:lang w:eastAsia="en-GB"/>
            </w:rPr>
          </w:pPr>
          <w:hyperlink w:anchor="_Toc216399407" w:history="1">
            <w:r w:rsidRPr="00FA0AC2">
              <w:rPr>
                <w:rStyle w:val="Hyperlink"/>
                <w:rFonts w:ascii="Arial" w:eastAsia="Times New Roman" w:hAnsi="Arial" w:cs="Arial"/>
                <w:noProof/>
                <w:sz w:val="24"/>
                <w:szCs w:val="24"/>
                <w:lang w:eastAsia="en-GB"/>
              </w:rPr>
              <w:t>Emotional regulation and behavioural responses</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_Toc216399407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3</w:t>
            </w:r>
            <w:r w:rsidRPr="00FA0AC2">
              <w:rPr>
                <w:rFonts w:ascii="Arial" w:hAnsi="Arial" w:cs="Arial"/>
                <w:noProof/>
                <w:webHidden/>
                <w:sz w:val="24"/>
                <w:szCs w:val="24"/>
              </w:rPr>
              <w:fldChar w:fldCharType="end"/>
            </w:r>
          </w:hyperlink>
        </w:p>
        <w:p w14:paraId="7FFDC9B3" w14:textId="14083A09" w:rsidR="00FA0AC2" w:rsidRPr="00FA0AC2" w:rsidRDefault="00FA0AC2" w:rsidP="00FA0AC2">
          <w:pPr>
            <w:pStyle w:val="TOC2"/>
            <w:tabs>
              <w:tab w:val="right" w:leader="dot" w:pos="9890"/>
            </w:tabs>
            <w:spacing w:line="360" w:lineRule="auto"/>
            <w:rPr>
              <w:rFonts w:ascii="Arial" w:eastAsiaTheme="minorEastAsia" w:hAnsi="Arial" w:cs="Arial"/>
              <w:noProof/>
              <w:sz w:val="24"/>
              <w:szCs w:val="24"/>
              <w:lang w:eastAsia="en-GB"/>
            </w:rPr>
          </w:pPr>
          <w:hyperlink w:anchor="_Toc216399408" w:history="1">
            <w:r w:rsidRPr="00FA0AC2">
              <w:rPr>
                <w:rStyle w:val="Hyperlink"/>
                <w:rFonts w:ascii="Arial" w:eastAsia="Times New Roman" w:hAnsi="Arial" w:cs="Arial"/>
                <w:noProof/>
                <w:sz w:val="24"/>
                <w:szCs w:val="24"/>
                <w:lang w:eastAsia="en-GB"/>
              </w:rPr>
              <w:t>Risk-taking and coping mechanisms</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_Toc216399408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4</w:t>
            </w:r>
            <w:r w:rsidRPr="00FA0AC2">
              <w:rPr>
                <w:rFonts w:ascii="Arial" w:hAnsi="Arial" w:cs="Arial"/>
                <w:noProof/>
                <w:webHidden/>
                <w:sz w:val="24"/>
                <w:szCs w:val="24"/>
              </w:rPr>
              <w:fldChar w:fldCharType="end"/>
            </w:r>
          </w:hyperlink>
        </w:p>
        <w:p w14:paraId="462FDAB4" w14:textId="546AD349" w:rsidR="00FA0AC2" w:rsidRPr="00FA0AC2" w:rsidRDefault="00FA0AC2" w:rsidP="00FA0AC2">
          <w:pPr>
            <w:pStyle w:val="TOC2"/>
            <w:tabs>
              <w:tab w:val="right" w:leader="dot" w:pos="9890"/>
            </w:tabs>
            <w:spacing w:line="360" w:lineRule="auto"/>
            <w:rPr>
              <w:rFonts w:ascii="Arial" w:eastAsiaTheme="minorEastAsia" w:hAnsi="Arial" w:cs="Arial"/>
              <w:noProof/>
              <w:sz w:val="24"/>
              <w:szCs w:val="24"/>
              <w:lang w:eastAsia="en-GB"/>
            </w:rPr>
          </w:pPr>
          <w:hyperlink w:anchor="_Toc216399409" w:history="1">
            <w:r w:rsidRPr="00FA0AC2">
              <w:rPr>
                <w:rStyle w:val="Hyperlink"/>
                <w:rFonts w:ascii="Arial" w:eastAsia="Times New Roman" w:hAnsi="Arial" w:cs="Arial"/>
                <w:noProof/>
                <w:sz w:val="24"/>
                <w:szCs w:val="24"/>
                <w:lang w:eastAsia="en-GB"/>
              </w:rPr>
              <w:t>Relationships, attachment, and relational approaches such as PACE</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_Toc216399409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5</w:t>
            </w:r>
            <w:r w:rsidRPr="00FA0AC2">
              <w:rPr>
                <w:rFonts w:ascii="Arial" w:hAnsi="Arial" w:cs="Arial"/>
                <w:noProof/>
                <w:webHidden/>
                <w:sz w:val="24"/>
                <w:szCs w:val="24"/>
              </w:rPr>
              <w:fldChar w:fldCharType="end"/>
            </w:r>
          </w:hyperlink>
        </w:p>
        <w:p w14:paraId="34E5FCD7" w14:textId="60578A56" w:rsidR="00FA0AC2" w:rsidRPr="00FA0AC2" w:rsidRDefault="00FA0AC2" w:rsidP="00FA0AC2">
          <w:pPr>
            <w:pStyle w:val="TOC2"/>
            <w:tabs>
              <w:tab w:val="right" w:leader="dot" w:pos="9890"/>
            </w:tabs>
            <w:spacing w:line="360" w:lineRule="auto"/>
            <w:rPr>
              <w:rFonts w:ascii="Arial" w:eastAsiaTheme="minorEastAsia" w:hAnsi="Arial" w:cs="Arial"/>
              <w:noProof/>
              <w:sz w:val="24"/>
              <w:szCs w:val="24"/>
              <w:lang w:eastAsia="en-GB"/>
            </w:rPr>
          </w:pPr>
          <w:hyperlink w:anchor="_Toc216399410" w:history="1">
            <w:r w:rsidRPr="00FA0AC2">
              <w:rPr>
                <w:rStyle w:val="Hyperlink"/>
                <w:rFonts w:ascii="Arial" w:eastAsia="Times New Roman" w:hAnsi="Arial" w:cs="Arial"/>
                <w:noProof/>
                <w:sz w:val="24"/>
                <w:szCs w:val="24"/>
                <w:lang w:eastAsia="en-GB"/>
              </w:rPr>
              <w:t>Challenges for practitioners in UK settings</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_Toc216399410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6</w:t>
            </w:r>
            <w:r w:rsidRPr="00FA0AC2">
              <w:rPr>
                <w:rFonts w:ascii="Arial" w:hAnsi="Arial" w:cs="Arial"/>
                <w:noProof/>
                <w:webHidden/>
                <w:sz w:val="24"/>
                <w:szCs w:val="24"/>
              </w:rPr>
              <w:fldChar w:fldCharType="end"/>
            </w:r>
          </w:hyperlink>
        </w:p>
        <w:p w14:paraId="76218896" w14:textId="4FDAD969" w:rsidR="00FA0AC2" w:rsidRPr="00FA0AC2" w:rsidRDefault="00FA0AC2" w:rsidP="00FA0AC2">
          <w:pPr>
            <w:pStyle w:val="TOC1"/>
            <w:tabs>
              <w:tab w:val="right" w:leader="dot" w:pos="9890"/>
            </w:tabs>
            <w:spacing w:line="360" w:lineRule="auto"/>
            <w:rPr>
              <w:rFonts w:ascii="Arial" w:eastAsiaTheme="minorEastAsia" w:hAnsi="Arial" w:cs="Arial"/>
              <w:noProof/>
              <w:sz w:val="24"/>
              <w:szCs w:val="24"/>
              <w:lang w:eastAsia="en-GB"/>
            </w:rPr>
          </w:pPr>
          <w:hyperlink w:anchor="_Toc216399411" w:history="1">
            <w:r w:rsidRPr="00FA0AC2">
              <w:rPr>
                <w:rStyle w:val="Hyperlink"/>
                <w:rFonts w:ascii="Arial" w:eastAsia="Times New Roman" w:hAnsi="Arial" w:cs="Arial"/>
                <w:noProof/>
                <w:kern w:val="36"/>
                <w:sz w:val="24"/>
                <w:szCs w:val="24"/>
                <w:lang w:eastAsia="en-GB"/>
              </w:rPr>
              <w:t>Conclusion</w:t>
            </w:r>
            <w:r w:rsidRPr="00FA0AC2">
              <w:rPr>
                <w:rFonts w:ascii="Arial" w:hAnsi="Arial" w:cs="Arial"/>
                <w:noProof/>
                <w:webHidden/>
                <w:sz w:val="24"/>
                <w:szCs w:val="24"/>
              </w:rPr>
              <w:tab/>
            </w:r>
            <w:r w:rsidRPr="00FA0AC2">
              <w:rPr>
                <w:rFonts w:ascii="Arial" w:hAnsi="Arial" w:cs="Arial"/>
                <w:noProof/>
                <w:webHidden/>
                <w:sz w:val="24"/>
                <w:szCs w:val="24"/>
              </w:rPr>
              <w:fldChar w:fldCharType="begin"/>
            </w:r>
            <w:r w:rsidRPr="00FA0AC2">
              <w:rPr>
                <w:rFonts w:ascii="Arial" w:hAnsi="Arial" w:cs="Arial"/>
                <w:noProof/>
                <w:webHidden/>
                <w:sz w:val="24"/>
                <w:szCs w:val="24"/>
              </w:rPr>
              <w:instrText xml:space="preserve"> PAGEREF _Toc216399411 \h </w:instrText>
            </w:r>
            <w:r w:rsidRPr="00FA0AC2">
              <w:rPr>
                <w:rFonts w:ascii="Arial" w:hAnsi="Arial" w:cs="Arial"/>
                <w:noProof/>
                <w:webHidden/>
                <w:sz w:val="24"/>
                <w:szCs w:val="24"/>
              </w:rPr>
            </w:r>
            <w:r w:rsidRPr="00FA0AC2">
              <w:rPr>
                <w:rFonts w:ascii="Arial" w:hAnsi="Arial" w:cs="Arial"/>
                <w:noProof/>
                <w:webHidden/>
                <w:sz w:val="24"/>
                <w:szCs w:val="24"/>
              </w:rPr>
              <w:fldChar w:fldCharType="separate"/>
            </w:r>
            <w:r w:rsidRPr="00FA0AC2">
              <w:rPr>
                <w:rFonts w:ascii="Arial" w:hAnsi="Arial" w:cs="Arial"/>
                <w:noProof/>
                <w:webHidden/>
                <w:sz w:val="24"/>
                <w:szCs w:val="24"/>
              </w:rPr>
              <w:t>7</w:t>
            </w:r>
            <w:r w:rsidRPr="00FA0AC2">
              <w:rPr>
                <w:rFonts w:ascii="Arial" w:hAnsi="Arial" w:cs="Arial"/>
                <w:noProof/>
                <w:webHidden/>
                <w:sz w:val="24"/>
                <w:szCs w:val="24"/>
              </w:rPr>
              <w:fldChar w:fldCharType="end"/>
            </w:r>
          </w:hyperlink>
        </w:p>
        <w:p w14:paraId="21ACCAB8" w14:textId="7F81E371" w:rsidR="00FA0AC2" w:rsidRPr="00FA0AC2" w:rsidRDefault="00FA0AC2" w:rsidP="00FA0AC2">
          <w:pPr>
            <w:spacing w:line="360" w:lineRule="auto"/>
            <w:rPr>
              <w:rFonts w:ascii="Arial" w:hAnsi="Arial" w:cs="Arial"/>
              <w:sz w:val="24"/>
              <w:szCs w:val="24"/>
            </w:rPr>
          </w:pPr>
          <w:r w:rsidRPr="00FA0AC2">
            <w:rPr>
              <w:rFonts w:ascii="Arial" w:hAnsi="Arial" w:cs="Arial"/>
              <w:b/>
              <w:bCs/>
              <w:sz w:val="24"/>
              <w:szCs w:val="24"/>
            </w:rPr>
            <w:fldChar w:fldCharType="end"/>
          </w:r>
        </w:p>
      </w:sdtContent>
    </w:sdt>
    <w:p w14:paraId="04DBF528"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15D97CCE"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30347A39"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3BD40CBB"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0365D8E4"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749E5334"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64A1BF24"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17989CEC"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33129DAC"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2B318BD0"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33B3C83B"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3467EB9A"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00BE7E36"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4217DA3D" w14:textId="77777777" w:rsidR="00FA0AC2" w:rsidRDefault="00FA0AC2" w:rsidP="00836811">
      <w:pPr>
        <w:spacing w:before="100" w:beforeAutospacing="1" w:after="100" w:afterAutospacing="1" w:line="360" w:lineRule="auto"/>
        <w:jc w:val="both"/>
        <w:outlineLvl w:val="1"/>
        <w:rPr>
          <w:rFonts w:ascii="Arial" w:eastAsia="Times New Roman" w:hAnsi="Arial" w:cs="Arial"/>
          <w:b/>
          <w:bCs/>
          <w:sz w:val="24"/>
          <w:szCs w:val="24"/>
          <w:lang w:eastAsia="en-GB"/>
        </w:rPr>
      </w:pPr>
    </w:p>
    <w:p w14:paraId="5014EF18" w14:textId="26FC8F72" w:rsidR="00836811" w:rsidRPr="00836811" w:rsidRDefault="00836811" w:rsidP="00836811">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0" w:name="_Toc216399404"/>
      <w:r w:rsidRPr="00836811">
        <w:rPr>
          <w:rFonts w:ascii="Arial" w:eastAsia="Times New Roman" w:hAnsi="Arial" w:cs="Arial"/>
          <w:b/>
          <w:bCs/>
          <w:sz w:val="24"/>
          <w:szCs w:val="24"/>
          <w:lang w:eastAsia="en-GB"/>
        </w:rPr>
        <w:t>Introduction</w:t>
      </w:r>
      <w:bookmarkEnd w:id="0"/>
    </w:p>
    <w:p w14:paraId="4E255957"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Trauma experienced during childhood and adolescence can influence development in ways that extend across physiological, emotional, behavioural, and relational domains. Because key brain structures and stress-response systems are still maturing, exposure to adversity can shape how young people perceive threat, regulate emotion, learn, and build relationships. In the UK, the adoption of trauma-informed practice has grown across education, social care, and health services, reflecting an increased recognition of the links between early adversity and long-term outcomes. National policy guidance, including the UK Government’s definition of trauma-informed practice (2022), emphasises the need for environments that prioritise emotional safety, predictability, and sensitive relationships. Despite these developments, trauma does not affect all young people in the same way. Some experience significant disruption, while others show resilience when protective relationships and stable environments are present. This variation highlights the importance of examining both the biological and emotional mechanisms influenced by trauma and the wider contexts that shape recovery. Drawing on verified UK-based evidence, this essay explores the physiological and emotional effects of trauma on young people and critically analyses trauma-informed approaches, including relational models such as PACE. It argues that while trauma can significantly influence development, outcomes are shaped by a combination of individual, relational, and systemic factors.</w:t>
      </w:r>
    </w:p>
    <w:p w14:paraId="09E12E7C" w14:textId="364B1283" w:rsidR="00836811" w:rsidRPr="00836811" w:rsidRDefault="00836811" w:rsidP="00836811">
      <w:pPr>
        <w:spacing w:after="0" w:line="360" w:lineRule="auto"/>
        <w:jc w:val="both"/>
        <w:rPr>
          <w:rFonts w:ascii="Arial" w:eastAsia="Times New Roman" w:hAnsi="Arial" w:cs="Arial"/>
          <w:sz w:val="24"/>
          <w:szCs w:val="24"/>
          <w:lang w:eastAsia="en-GB"/>
        </w:rPr>
      </w:pPr>
    </w:p>
    <w:p w14:paraId="5A6928CB"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5EA7745A"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5AB729E3"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7E2C6AB5"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5BCE24CA"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0180069E"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07B7EEA6"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1EC0F04A" w14:textId="278A825D" w:rsidR="00836811" w:rsidRPr="00836811" w:rsidRDefault="00836811"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1" w:name="_Toc216399405"/>
      <w:r w:rsidRPr="00836811">
        <w:rPr>
          <w:rFonts w:ascii="Arial" w:eastAsia="Times New Roman" w:hAnsi="Arial" w:cs="Arial"/>
          <w:b/>
          <w:bCs/>
          <w:kern w:val="36"/>
          <w:sz w:val="24"/>
          <w:szCs w:val="24"/>
          <w:lang w:eastAsia="en-GB"/>
        </w:rPr>
        <w:t>Main body</w:t>
      </w:r>
      <w:bookmarkEnd w:id="1"/>
    </w:p>
    <w:p w14:paraId="6ACF04EC" w14:textId="77777777" w:rsidR="00836811" w:rsidRPr="00836811" w:rsidRDefault="00836811" w:rsidP="00836811">
      <w:pPr>
        <w:spacing w:before="100" w:beforeAutospacing="1" w:after="100" w:afterAutospacing="1" w:line="360" w:lineRule="auto"/>
        <w:jc w:val="both"/>
        <w:outlineLvl w:val="1"/>
        <w:rPr>
          <w:rFonts w:ascii="Arial" w:eastAsia="Times New Roman" w:hAnsi="Arial" w:cs="Arial"/>
          <w:b/>
          <w:bCs/>
          <w:sz w:val="24"/>
          <w:szCs w:val="24"/>
          <w:u w:val="single"/>
          <w:lang w:eastAsia="en-GB"/>
        </w:rPr>
      </w:pPr>
      <w:bookmarkStart w:id="2" w:name="_Toc216399406"/>
      <w:r w:rsidRPr="00836811">
        <w:rPr>
          <w:rFonts w:ascii="Arial" w:eastAsia="Times New Roman" w:hAnsi="Arial" w:cs="Arial"/>
          <w:b/>
          <w:bCs/>
          <w:sz w:val="24"/>
          <w:szCs w:val="24"/>
          <w:u w:val="single"/>
          <w:lang w:eastAsia="en-GB"/>
        </w:rPr>
        <w:t>Physiological effects of trauma on development</w:t>
      </w:r>
      <w:bookmarkEnd w:id="2"/>
    </w:p>
    <w:p w14:paraId="22FCBADC"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Research demonstrates that trauma can alter neural development during key stages of growth. Early childhood and adolescence are periods of heightened plasticity during which neural circuits adapt in response to experience. According to the UK Trauma Council (2020), repeated exposure to threat can heighten the activity of the amygdala while weakening communication with the prefrontal cortex. This combination increases vigilance and reduces the capacity for calm, considered decision-making. Although such adaptations may have been protective in unsafe environments, they may lead to patterns of overreaction or withdrawal in later developmental contexts, such as school or peer relationships.</w:t>
      </w:r>
    </w:p>
    <w:p w14:paraId="54995DC4" w14:textId="17A4EE9D"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 xml:space="preserve">Trauma also affects the functioning of the hypothalamic–pituitary–adrenal (HPA) axis, which regulates stress hormones such as cortisol. Danese and </w:t>
      </w:r>
      <w:r w:rsidR="00717490">
        <w:rPr>
          <w:rFonts w:ascii="Arial" w:eastAsia="Times New Roman" w:hAnsi="Arial" w:cs="Arial"/>
          <w:sz w:val="24"/>
          <w:szCs w:val="24"/>
          <w:lang w:eastAsia="en-GB"/>
        </w:rPr>
        <w:t>Baldwin</w:t>
      </w:r>
      <w:r w:rsidRPr="00836811">
        <w:rPr>
          <w:rFonts w:ascii="Arial" w:eastAsia="Times New Roman" w:hAnsi="Arial" w:cs="Arial"/>
          <w:sz w:val="24"/>
          <w:szCs w:val="24"/>
          <w:lang w:eastAsia="en-GB"/>
        </w:rPr>
        <w:t xml:space="preserve"> (2017) found that childhood adversity is associated with dysregulated cortisol rhythms and increased systemic inflammation—physiological changes that can influence emotional wellbeing, immune function, and vulnerability to later mental health difficulties. These findings demonstrate that trauma has tangible biological effects, which supports UK policy emphasis on prevention and early intervention.</w:t>
      </w:r>
    </w:p>
    <w:p w14:paraId="1AAF0BDC"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However, the link between trauma and biological disruption is complex. Not every child who encounters adversity experiences long-term physiological changes. Masten (2014) highlights that resilience reflects the presence of “ordinary” protective systems such as stable caregiving, secure school environments, and access to supportive adults. In the UK, inequalities in service availability, access to mental-health support, and family stability mean that some young people benefit from these protective systems while others do not. This suggests that biological disruptions associated with trauma are shaped not only by the event itself but also by post-trauma environments, making trauma-informed system design critically important.</w:t>
      </w:r>
    </w:p>
    <w:p w14:paraId="4866C0BA" w14:textId="355C9C37" w:rsidR="00836811" w:rsidRPr="00836811" w:rsidRDefault="00836811" w:rsidP="00836811">
      <w:pPr>
        <w:spacing w:after="0" w:line="360" w:lineRule="auto"/>
        <w:jc w:val="both"/>
        <w:rPr>
          <w:rFonts w:ascii="Arial" w:eastAsia="Times New Roman" w:hAnsi="Arial" w:cs="Arial"/>
          <w:sz w:val="24"/>
          <w:szCs w:val="24"/>
          <w:lang w:eastAsia="en-GB"/>
        </w:rPr>
      </w:pPr>
    </w:p>
    <w:p w14:paraId="28FC7630" w14:textId="77777777" w:rsidR="00836811" w:rsidRPr="00836811" w:rsidRDefault="00836811" w:rsidP="00836811">
      <w:pPr>
        <w:spacing w:before="100" w:beforeAutospacing="1" w:after="100" w:afterAutospacing="1" w:line="360" w:lineRule="auto"/>
        <w:jc w:val="both"/>
        <w:outlineLvl w:val="1"/>
        <w:rPr>
          <w:rFonts w:ascii="Arial" w:eastAsia="Times New Roman" w:hAnsi="Arial" w:cs="Arial"/>
          <w:b/>
          <w:bCs/>
          <w:sz w:val="24"/>
          <w:szCs w:val="24"/>
          <w:u w:val="single"/>
          <w:lang w:eastAsia="en-GB"/>
        </w:rPr>
      </w:pPr>
      <w:bookmarkStart w:id="3" w:name="_Toc216399407"/>
      <w:r w:rsidRPr="00836811">
        <w:rPr>
          <w:rFonts w:ascii="Arial" w:eastAsia="Times New Roman" w:hAnsi="Arial" w:cs="Arial"/>
          <w:b/>
          <w:bCs/>
          <w:sz w:val="24"/>
          <w:szCs w:val="24"/>
          <w:u w:val="single"/>
          <w:lang w:eastAsia="en-GB"/>
        </w:rPr>
        <w:t>Emotional regulation and behavioural responses</w:t>
      </w:r>
      <w:bookmarkEnd w:id="3"/>
    </w:p>
    <w:p w14:paraId="784EE860"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lastRenderedPageBreak/>
        <w:t>Trauma can have a significant impact on emotional regulation. Young people who have experienced adversity may find it more difficult to identify and express feelings, recover from distress, or interpret social cues accurately. UK Trauma Council (2021) notes that behaviours often labelled as “challenging”—such as emotional outbursts, withdrawal, or sudden defensiveness—are frequently protective responses that developed in earlier unsafe environments.</w:t>
      </w:r>
    </w:p>
    <w:p w14:paraId="06359C05"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Adolescence adds further complexity. Emotional and reward-focused brain regions mature earlier than the prefrontal cortex, which supports regulation and long-term planning. According to the Royal Society (2023), this developmental imbalance increases emotional sensitivity and impulsivity. For young people with trauma histories, these changes can increase vulnerability. Ford et al. (2018) found that adolescents exposed to trauma show heightened neural responses to perceived threat and reduced engagement of regulatory systems. These patterns may contribute to difficulties in school, strained peer relationships, and disengagement from learning.</w:t>
      </w:r>
    </w:p>
    <w:p w14:paraId="51AF2A15"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Critical evaluation is important here. Although trauma-informed understanding helps contextualise behaviour, there is a risk of over-</w:t>
      </w:r>
      <w:proofErr w:type="spellStart"/>
      <w:r w:rsidRPr="00836811">
        <w:rPr>
          <w:rFonts w:ascii="Arial" w:eastAsia="Times New Roman" w:hAnsi="Arial" w:cs="Arial"/>
          <w:sz w:val="24"/>
          <w:szCs w:val="24"/>
          <w:lang w:eastAsia="en-GB"/>
        </w:rPr>
        <w:t>pathologising</w:t>
      </w:r>
      <w:proofErr w:type="spellEnd"/>
      <w:r w:rsidRPr="00836811">
        <w:rPr>
          <w:rFonts w:ascii="Arial" w:eastAsia="Times New Roman" w:hAnsi="Arial" w:cs="Arial"/>
          <w:sz w:val="24"/>
          <w:szCs w:val="24"/>
          <w:lang w:eastAsia="en-GB"/>
        </w:rPr>
        <w:t xml:space="preserve"> expressions of frustration, identity exploration, or emotional volatility that are characteristic of adolescence more broadly. Interpreting every difficulty through a trauma lens could overlook the normative struggles of growing up and create a deficit-focused narrative. Effective practice requires an approach that is sensitive to trauma without assuming it is always the primary influence.</w:t>
      </w:r>
    </w:p>
    <w:p w14:paraId="47EE3F4B" w14:textId="403B1335" w:rsidR="00836811" w:rsidRPr="00836811" w:rsidRDefault="00836811" w:rsidP="00836811">
      <w:pPr>
        <w:spacing w:after="0" w:line="360" w:lineRule="auto"/>
        <w:jc w:val="both"/>
        <w:rPr>
          <w:rFonts w:ascii="Arial" w:eastAsia="Times New Roman" w:hAnsi="Arial" w:cs="Arial"/>
          <w:sz w:val="24"/>
          <w:szCs w:val="24"/>
          <w:lang w:eastAsia="en-GB"/>
        </w:rPr>
      </w:pPr>
    </w:p>
    <w:p w14:paraId="19FF0E05" w14:textId="77777777" w:rsidR="00836811" w:rsidRPr="00836811" w:rsidRDefault="00836811" w:rsidP="00836811">
      <w:pPr>
        <w:spacing w:before="100" w:beforeAutospacing="1" w:after="100" w:afterAutospacing="1" w:line="360" w:lineRule="auto"/>
        <w:jc w:val="both"/>
        <w:outlineLvl w:val="1"/>
        <w:rPr>
          <w:rFonts w:ascii="Arial" w:eastAsia="Times New Roman" w:hAnsi="Arial" w:cs="Arial"/>
          <w:b/>
          <w:bCs/>
          <w:sz w:val="24"/>
          <w:szCs w:val="24"/>
          <w:u w:val="single"/>
          <w:lang w:eastAsia="en-GB"/>
        </w:rPr>
      </w:pPr>
      <w:bookmarkStart w:id="4" w:name="_Toc216399408"/>
      <w:r w:rsidRPr="00836811">
        <w:rPr>
          <w:rFonts w:ascii="Arial" w:eastAsia="Times New Roman" w:hAnsi="Arial" w:cs="Arial"/>
          <w:b/>
          <w:bCs/>
          <w:sz w:val="24"/>
          <w:szCs w:val="24"/>
          <w:u w:val="single"/>
          <w:lang w:eastAsia="en-GB"/>
        </w:rPr>
        <w:t>Risk-taking and coping mechanisms</w:t>
      </w:r>
      <w:bookmarkEnd w:id="4"/>
    </w:p>
    <w:p w14:paraId="68C98D43"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Some young people adopt risk-taking behaviours as ways of managing emotional distress. The NHS Long Term Plan (2019) identifies self-harm, substance use, and unsafe sexual behaviour as common coping strategies among adolescents experiencing intense emotional discomfort. These behaviours may provide short-term relief or distraction from intrusive memories, anxiety, or emotional numbness.</w:t>
      </w:r>
    </w:p>
    <w:p w14:paraId="173D2D11"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 xml:space="preserve">Population-level UK evidence reinforces these associations. Bellis et al. (2023) found that individuals with multiple adverse childhood experiences were significantly more likely to </w:t>
      </w:r>
      <w:r w:rsidRPr="00836811">
        <w:rPr>
          <w:rFonts w:ascii="Arial" w:eastAsia="Times New Roman" w:hAnsi="Arial" w:cs="Arial"/>
          <w:sz w:val="24"/>
          <w:szCs w:val="24"/>
          <w:lang w:eastAsia="en-GB"/>
        </w:rPr>
        <w:lastRenderedPageBreak/>
        <w:t xml:space="preserve">develop harmful coping behaviours, reduced wellbeing, and mental-health difficulties. However, reliance on ACE scoring alone has been widely criticised. Emsley, </w:t>
      </w:r>
      <w:proofErr w:type="gramStart"/>
      <w:r w:rsidRPr="00836811">
        <w:rPr>
          <w:rFonts w:ascii="Arial" w:eastAsia="Times New Roman" w:hAnsi="Arial" w:cs="Arial"/>
          <w:sz w:val="24"/>
          <w:szCs w:val="24"/>
          <w:lang w:eastAsia="en-GB"/>
        </w:rPr>
        <w:t>Williamson</w:t>
      </w:r>
      <w:proofErr w:type="gramEnd"/>
      <w:r w:rsidRPr="00836811">
        <w:rPr>
          <w:rFonts w:ascii="Arial" w:eastAsia="Times New Roman" w:hAnsi="Arial" w:cs="Arial"/>
          <w:sz w:val="24"/>
          <w:szCs w:val="24"/>
          <w:lang w:eastAsia="en-GB"/>
        </w:rPr>
        <w:t xml:space="preserve"> and Creswell (2022) argue that ACE frameworks provide broad insights at a population level but fail to capture individual complexity and should not be used as diagnostic tools. McLennan, MacMillan and Afifi (2020) add that ACE scores do not account for protective factors, variations in severity, or the role of supportive relationships.</w:t>
      </w:r>
    </w:p>
    <w:p w14:paraId="20F6A3F8"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This critique is particularly relevant in UK services. Some schools and agencies have adopted ACE-awareness models without sufficient training or consideration of the limitations, leading to concerns that ACE scores may be misused as labels or predictors of behaviour. A more nuanced approach is required—one that recognises risk-taking as a communication of distress but avoids deterministic interpretations.</w:t>
      </w:r>
    </w:p>
    <w:p w14:paraId="30FD1CD0" w14:textId="7911F042" w:rsidR="00836811" w:rsidRPr="00836811" w:rsidRDefault="00836811" w:rsidP="00836811">
      <w:pPr>
        <w:spacing w:after="0" w:line="360" w:lineRule="auto"/>
        <w:jc w:val="both"/>
        <w:rPr>
          <w:rFonts w:ascii="Arial" w:eastAsia="Times New Roman" w:hAnsi="Arial" w:cs="Arial"/>
          <w:sz w:val="24"/>
          <w:szCs w:val="24"/>
          <w:lang w:eastAsia="en-GB"/>
        </w:rPr>
      </w:pPr>
    </w:p>
    <w:p w14:paraId="7947287B" w14:textId="77777777" w:rsidR="00836811" w:rsidRPr="00836811" w:rsidRDefault="00836811" w:rsidP="00836811">
      <w:pPr>
        <w:spacing w:before="100" w:beforeAutospacing="1" w:after="100" w:afterAutospacing="1" w:line="360" w:lineRule="auto"/>
        <w:jc w:val="both"/>
        <w:outlineLvl w:val="1"/>
        <w:rPr>
          <w:rFonts w:ascii="Arial" w:eastAsia="Times New Roman" w:hAnsi="Arial" w:cs="Arial"/>
          <w:b/>
          <w:bCs/>
          <w:sz w:val="24"/>
          <w:szCs w:val="24"/>
          <w:u w:val="single"/>
          <w:lang w:eastAsia="en-GB"/>
        </w:rPr>
      </w:pPr>
      <w:bookmarkStart w:id="5" w:name="_Toc216399409"/>
      <w:r w:rsidRPr="00836811">
        <w:rPr>
          <w:rFonts w:ascii="Arial" w:eastAsia="Times New Roman" w:hAnsi="Arial" w:cs="Arial"/>
          <w:b/>
          <w:bCs/>
          <w:sz w:val="24"/>
          <w:szCs w:val="24"/>
          <w:u w:val="single"/>
          <w:lang w:eastAsia="en-GB"/>
        </w:rPr>
        <w:t>Relationships, attachment, and relational approaches such as PACE</w:t>
      </w:r>
      <w:bookmarkEnd w:id="5"/>
    </w:p>
    <w:p w14:paraId="39E8FD7B"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 xml:space="preserve">Trauma can significantly affect how young people form and maintain relationships. When early caregiving is inconsistent or frightening, young people may struggle with trust, emotional expression, or help-seeking. Relational models such as PACE—playfulness, acceptance, curiosity, and empathy—developed by Hughes (2011), aim to strengthen </w:t>
      </w:r>
      <w:proofErr w:type="gramStart"/>
      <w:r w:rsidRPr="00836811">
        <w:rPr>
          <w:rFonts w:ascii="Arial" w:eastAsia="Times New Roman" w:hAnsi="Arial" w:cs="Arial"/>
          <w:sz w:val="24"/>
          <w:szCs w:val="24"/>
          <w:lang w:eastAsia="en-GB"/>
        </w:rPr>
        <w:t>connection</w:t>
      </w:r>
      <w:proofErr w:type="gramEnd"/>
      <w:r w:rsidRPr="00836811">
        <w:rPr>
          <w:rFonts w:ascii="Arial" w:eastAsia="Times New Roman" w:hAnsi="Arial" w:cs="Arial"/>
          <w:sz w:val="24"/>
          <w:szCs w:val="24"/>
          <w:lang w:eastAsia="en-GB"/>
        </w:rPr>
        <w:t xml:space="preserve"> and support emotional regulation. In UK practice, PACE is widely used in schools, foster care, and therapeutic environments because it offers a practical approach to building emotional safety.</w:t>
      </w:r>
    </w:p>
    <w:p w14:paraId="3A5128D5"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However, PACE functions best when embedded within wider trauma-informed frameworks. The UK Government (2022) emphasises that trauma-informed practice depends on organisational commitment, predictable structures, and emotionally safe environments. Without these foundations, relational approaches may be inconsistently applied or unrealistic within busy classrooms or overstretched services. Additionally, effective use of PACE requires practitioners to receive high-quality training and reflective supervision, which are not consistently available across all UK local authorities or educational settings.</w:t>
      </w:r>
    </w:p>
    <w:p w14:paraId="5698425A"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 xml:space="preserve">A further challenge is ensuring that relational practice does not inadvertently excuse harmful behaviour or reduce accountability. Trauma-informed approaches must balance empathy with clear boundaries, helping young people understand expectations while still feeling supported. </w:t>
      </w:r>
      <w:r w:rsidRPr="00836811">
        <w:rPr>
          <w:rFonts w:ascii="Arial" w:eastAsia="Times New Roman" w:hAnsi="Arial" w:cs="Arial"/>
          <w:sz w:val="24"/>
          <w:szCs w:val="24"/>
          <w:lang w:eastAsia="en-GB"/>
        </w:rPr>
        <w:lastRenderedPageBreak/>
        <w:t>This balance requires skill and organisational backing, highlighting the importance of system-wide implementation.</w:t>
      </w:r>
    </w:p>
    <w:p w14:paraId="2A3661C5" w14:textId="77777777" w:rsidR="00836811" w:rsidRPr="00836811" w:rsidRDefault="00836811" w:rsidP="00836811">
      <w:pPr>
        <w:spacing w:after="0"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pict w14:anchorId="0F9A94FE">
          <v:rect id="_x0000_i1406" style="width:0;height:1.5pt" o:hralign="center" o:hrstd="t" o:hr="t" fillcolor="#a0a0a0" stroked="f"/>
        </w:pict>
      </w:r>
    </w:p>
    <w:p w14:paraId="03518BB3" w14:textId="77777777" w:rsidR="00836811" w:rsidRPr="00836811" w:rsidRDefault="00836811" w:rsidP="00836811">
      <w:pPr>
        <w:spacing w:before="100" w:beforeAutospacing="1" w:after="100" w:afterAutospacing="1" w:line="360" w:lineRule="auto"/>
        <w:jc w:val="both"/>
        <w:outlineLvl w:val="1"/>
        <w:rPr>
          <w:rFonts w:ascii="Arial" w:eastAsia="Times New Roman" w:hAnsi="Arial" w:cs="Arial"/>
          <w:b/>
          <w:bCs/>
          <w:sz w:val="24"/>
          <w:szCs w:val="24"/>
          <w:u w:val="single"/>
          <w:lang w:eastAsia="en-GB"/>
        </w:rPr>
      </w:pPr>
      <w:bookmarkStart w:id="6" w:name="_Toc216399410"/>
      <w:r w:rsidRPr="00836811">
        <w:rPr>
          <w:rFonts w:ascii="Arial" w:eastAsia="Times New Roman" w:hAnsi="Arial" w:cs="Arial"/>
          <w:b/>
          <w:bCs/>
          <w:sz w:val="24"/>
          <w:szCs w:val="24"/>
          <w:u w:val="single"/>
          <w:lang w:eastAsia="en-GB"/>
        </w:rPr>
        <w:t>Challenges for practitioners in UK settings</w:t>
      </w:r>
      <w:bookmarkEnd w:id="6"/>
    </w:p>
    <w:p w14:paraId="6A69104A"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Supporting traumatised young people presents emotional, practical, and systemic challenges. Education Support (2022) reports high levels of stress among UK educators, particularly those working with pupils who exhibit complex emotional or behavioural needs. Trauma-informed practice requires time for relationship building, planning, and reflection—resources that may be limited in high-pressure environments.</w:t>
      </w:r>
    </w:p>
    <w:p w14:paraId="5BA2E4EA"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The Department for Levelling Up, Housing &amp; Communities (2023) found that trauma-informed practice is most effective when supported through multi-agency collaboration. Fragmented communication between services can lead to repeated assessments, delays in accessing specialist support, or inconsistent interventions. NHS England (2025) similarly warns that trauma-informed care cannot be achieved without organisational alignment, workforce stability, and adequate supervision.</w:t>
      </w:r>
    </w:p>
    <w:p w14:paraId="1334C36C"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These challenges indicate that trauma-informed practice is not simply a set of techniques but a cultural shift. Without structural support—such as reduced caseloads, access to training, and protected time for reflective practice—professionals may struggle to deliver trauma-informed care consistently. This highlights the need for systemic investment rather than relying solely on individual practitioner effort.</w:t>
      </w:r>
    </w:p>
    <w:p w14:paraId="6A39B49D" w14:textId="3CE1BA27" w:rsidR="00836811" w:rsidRPr="00836811" w:rsidRDefault="00836811" w:rsidP="00836811">
      <w:pPr>
        <w:spacing w:after="0" w:line="360" w:lineRule="auto"/>
        <w:jc w:val="both"/>
        <w:rPr>
          <w:rFonts w:ascii="Arial" w:eastAsia="Times New Roman" w:hAnsi="Arial" w:cs="Arial"/>
          <w:sz w:val="24"/>
          <w:szCs w:val="24"/>
          <w:lang w:eastAsia="en-GB"/>
        </w:rPr>
      </w:pPr>
    </w:p>
    <w:p w14:paraId="72DBFADC"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66A2249E"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09E83D98"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7A6536E2"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0E00BBB9"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06047FD0" w14:textId="77777777" w:rsidR="00FA0AC2" w:rsidRDefault="00FA0AC2"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42D2D595" w14:textId="4D2E5876" w:rsidR="00836811" w:rsidRPr="00836811" w:rsidRDefault="00836811" w:rsidP="00836811">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7" w:name="_Toc216399411"/>
      <w:r w:rsidRPr="00836811">
        <w:rPr>
          <w:rFonts w:ascii="Arial" w:eastAsia="Times New Roman" w:hAnsi="Arial" w:cs="Arial"/>
          <w:b/>
          <w:bCs/>
          <w:kern w:val="36"/>
          <w:sz w:val="24"/>
          <w:szCs w:val="24"/>
          <w:lang w:eastAsia="en-GB"/>
        </w:rPr>
        <w:t>Conclusion</w:t>
      </w:r>
      <w:bookmarkEnd w:id="7"/>
    </w:p>
    <w:p w14:paraId="2D589A35" w14:textId="77777777" w:rsidR="00836811" w:rsidRPr="00836811" w:rsidRDefault="00836811" w:rsidP="00836811">
      <w:pPr>
        <w:spacing w:before="100" w:beforeAutospacing="1" w:after="100" w:afterAutospacing="1" w:line="360" w:lineRule="auto"/>
        <w:jc w:val="both"/>
        <w:rPr>
          <w:rFonts w:ascii="Arial" w:eastAsia="Times New Roman" w:hAnsi="Arial" w:cs="Arial"/>
          <w:sz w:val="24"/>
          <w:szCs w:val="24"/>
          <w:lang w:eastAsia="en-GB"/>
        </w:rPr>
      </w:pPr>
      <w:r w:rsidRPr="00836811">
        <w:rPr>
          <w:rFonts w:ascii="Arial" w:eastAsia="Times New Roman" w:hAnsi="Arial" w:cs="Arial"/>
          <w:sz w:val="24"/>
          <w:szCs w:val="24"/>
          <w:lang w:eastAsia="en-GB"/>
        </w:rPr>
        <w:t>Trauma can significantly influence young people’s physiological and emotional development, affecting brain functioning, stress responses, emotional regulation, relationships, and coping behaviours. UK research highlights associations between adversity and reduced wellbeing, emotional difficulties, and harmful coping strategies. However, trauma does not predetermine outcomes. Protective relationships, predictable environments, and coordinated support systems play essential roles in promoting recovery. Relational practices such as PACE offer valuable tools, but they must be embedded within broader trauma-informed frameworks supported by organisational commitment, adequate training, and multi-agency collaboration. Understanding trauma requires an approach that considers biological, emotional, and contextual influences. When these elements align, young people affected by trauma are more likely to feel safe, supported, and able to build resilience.</w:t>
      </w:r>
    </w:p>
    <w:p w14:paraId="5C95CC64" w14:textId="421079BD" w:rsidR="00BB4E90" w:rsidRDefault="00BB4E90" w:rsidP="00836811"/>
    <w:p w14:paraId="0D1B264C" w14:textId="6598F4E5" w:rsidR="00836811" w:rsidRDefault="00836811" w:rsidP="00836811"/>
    <w:p w14:paraId="37F7D361" w14:textId="3974F014" w:rsidR="00836811" w:rsidRDefault="00836811" w:rsidP="00836811"/>
    <w:p w14:paraId="562AFFD0" w14:textId="4AA4B284" w:rsidR="00836811" w:rsidRDefault="00836811" w:rsidP="00836811"/>
    <w:p w14:paraId="2B6157A2" w14:textId="506BA7FC" w:rsidR="00836811" w:rsidRDefault="00836811" w:rsidP="00836811"/>
    <w:p w14:paraId="4D1848FC" w14:textId="37B4CE9A" w:rsidR="00836811" w:rsidRDefault="00836811" w:rsidP="00836811"/>
    <w:p w14:paraId="2E66C8BB" w14:textId="382F7F28" w:rsidR="00836811" w:rsidRDefault="00836811" w:rsidP="00836811"/>
    <w:p w14:paraId="112DF77A" w14:textId="2B7BC3E9" w:rsidR="00836811" w:rsidRDefault="00836811" w:rsidP="00836811"/>
    <w:p w14:paraId="4721454D" w14:textId="77777777" w:rsidR="00FA0AC2" w:rsidRDefault="00FA0AC2" w:rsidP="00836811">
      <w:pPr>
        <w:spacing w:line="360" w:lineRule="auto"/>
        <w:rPr>
          <w:rFonts w:ascii="Arial" w:hAnsi="Arial" w:cs="Arial"/>
          <w:b/>
          <w:bCs/>
          <w:sz w:val="24"/>
          <w:szCs w:val="24"/>
        </w:rPr>
      </w:pPr>
    </w:p>
    <w:p w14:paraId="7362FCE8" w14:textId="77777777" w:rsidR="00FA0AC2" w:rsidRDefault="00FA0AC2" w:rsidP="00836811">
      <w:pPr>
        <w:spacing w:line="360" w:lineRule="auto"/>
        <w:rPr>
          <w:rFonts w:ascii="Arial" w:hAnsi="Arial" w:cs="Arial"/>
          <w:b/>
          <w:bCs/>
          <w:sz w:val="24"/>
          <w:szCs w:val="24"/>
        </w:rPr>
      </w:pPr>
    </w:p>
    <w:p w14:paraId="4332F858" w14:textId="77777777" w:rsidR="00FA0AC2" w:rsidRDefault="00FA0AC2" w:rsidP="00836811">
      <w:pPr>
        <w:spacing w:line="360" w:lineRule="auto"/>
        <w:rPr>
          <w:rFonts w:ascii="Arial" w:hAnsi="Arial" w:cs="Arial"/>
          <w:b/>
          <w:bCs/>
          <w:sz w:val="24"/>
          <w:szCs w:val="24"/>
        </w:rPr>
      </w:pPr>
    </w:p>
    <w:p w14:paraId="3FB7557B" w14:textId="77777777" w:rsidR="00FA0AC2" w:rsidRDefault="00FA0AC2" w:rsidP="00836811">
      <w:pPr>
        <w:spacing w:line="360" w:lineRule="auto"/>
        <w:rPr>
          <w:rFonts w:ascii="Arial" w:hAnsi="Arial" w:cs="Arial"/>
          <w:b/>
          <w:bCs/>
          <w:sz w:val="24"/>
          <w:szCs w:val="24"/>
        </w:rPr>
      </w:pPr>
    </w:p>
    <w:p w14:paraId="64683C4B" w14:textId="77777777" w:rsidR="00FA0AC2" w:rsidRDefault="00FA0AC2" w:rsidP="00836811">
      <w:pPr>
        <w:spacing w:line="360" w:lineRule="auto"/>
        <w:rPr>
          <w:rFonts w:ascii="Arial" w:hAnsi="Arial" w:cs="Arial"/>
          <w:b/>
          <w:bCs/>
          <w:sz w:val="24"/>
          <w:szCs w:val="24"/>
        </w:rPr>
      </w:pPr>
    </w:p>
    <w:p w14:paraId="14B99087" w14:textId="77777777" w:rsidR="00FA0AC2" w:rsidRDefault="00FA0AC2" w:rsidP="00836811">
      <w:pPr>
        <w:spacing w:line="360" w:lineRule="auto"/>
        <w:rPr>
          <w:rFonts w:ascii="Arial" w:hAnsi="Arial" w:cs="Arial"/>
          <w:b/>
          <w:bCs/>
          <w:sz w:val="24"/>
          <w:szCs w:val="24"/>
        </w:rPr>
      </w:pPr>
    </w:p>
    <w:p w14:paraId="1197E186" w14:textId="77777777" w:rsidR="00FA0AC2" w:rsidRDefault="00FA0AC2" w:rsidP="00836811">
      <w:pPr>
        <w:spacing w:line="360" w:lineRule="auto"/>
        <w:rPr>
          <w:rFonts w:ascii="Arial" w:hAnsi="Arial" w:cs="Arial"/>
          <w:b/>
          <w:bCs/>
          <w:sz w:val="24"/>
          <w:szCs w:val="24"/>
        </w:rPr>
      </w:pPr>
    </w:p>
    <w:p w14:paraId="2247B561" w14:textId="77777777" w:rsidR="00FA0AC2" w:rsidRDefault="00FA0AC2" w:rsidP="00836811">
      <w:pPr>
        <w:spacing w:line="360" w:lineRule="auto"/>
        <w:rPr>
          <w:rFonts w:ascii="Arial" w:hAnsi="Arial" w:cs="Arial"/>
          <w:b/>
          <w:bCs/>
          <w:sz w:val="24"/>
          <w:szCs w:val="24"/>
        </w:rPr>
      </w:pPr>
    </w:p>
    <w:p w14:paraId="46178B26" w14:textId="0AB37978" w:rsidR="00836811" w:rsidRDefault="00836811" w:rsidP="00836811">
      <w:pPr>
        <w:spacing w:line="360" w:lineRule="auto"/>
        <w:rPr>
          <w:rFonts w:ascii="Arial" w:hAnsi="Arial" w:cs="Arial"/>
          <w:b/>
          <w:bCs/>
          <w:sz w:val="24"/>
          <w:szCs w:val="24"/>
        </w:rPr>
      </w:pPr>
      <w:r w:rsidRPr="00836811">
        <w:rPr>
          <w:rFonts w:ascii="Arial" w:hAnsi="Arial" w:cs="Arial"/>
          <w:b/>
          <w:bCs/>
          <w:sz w:val="24"/>
          <w:szCs w:val="24"/>
        </w:rPr>
        <w:t>References</w:t>
      </w:r>
    </w:p>
    <w:p w14:paraId="2D7B2E63"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Danese, A. and Baldwin, J.R. (2017) ‘Hidden wounds? inflammatory links between childhood trauma and psychopathology’, Annual review of psychology, 68, pp. 517–544. Available at: https://pubmed.ncbi.nlm.nih.gov/27575032/ (Accessed: 12/12/2025).</w:t>
      </w:r>
    </w:p>
    <w:p w14:paraId="69AF4F9F"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Department for education (2021) Behaviour in schools: guidance for headteachers and school staff. Available at: https://www.gov.uk/government/publications/behaviour-in-schools (Accessed: 12/12/2025).</w:t>
      </w:r>
    </w:p>
    <w:p w14:paraId="058E87CB"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Department for levelling up, housing &amp; communities (2023) Trauma-informed approaches to supporting people experiencing multiple disadvantage: rapid evidence assessment (changing futures evaluation). Available at: https://assets.publishing.service.gov.uk/media/642af3a77de82b000c31350d/Changing_Futures_Evaluation_-_Trauma_informed_approaches_REA.pdf (Accessed: 12/12/2025).</w:t>
      </w:r>
    </w:p>
    <w:p w14:paraId="47FC21FB"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Education support (2022) Teacher wellbeing index 2022. Available at: https://www.educationsupport.org.uk/media/zoga2r13/teacher-wellbeing-index-2022.pdf (Accessed: 12/12/2025).</w:t>
      </w:r>
    </w:p>
    <w:p w14:paraId="2EB06C9B"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 xml:space="preserve">Emsley, R., Williamson, V. and Creswell, C. (2022) ‘trauma-informed care in </w:t>
      </w:r>
      <w:proofErr w:type="spellStart"/>
      <w:r w:rsidRPr="00417F2C">
        <w:rPr>
          <w:rFonts w:ascii="Arial" w:hAnsi="Arial" w:cs="Arial"/>
          <w:sz w:val="24"/>
          <w:szCs w:val="24"/>
        </w:rPr>
        <w:t>uk</w:t>
      </w:r>
      <w:proofErr w:type="spellEnd"/>
      <w:r w:rsidRPr="00417F2C">
        <w:rPr>
          <w:rFonts w:ascii="Arial" w:hAnsi="Arial" w:cs="Arial"/>
          <w:sz w:val="24"/>
          <w:szCs w:val="24"/>
        </w:rPr>
        <w:t xml:space="preserve"> health settings: a review’, BMC health services research, 22. Available at: https://pmc.ncbi.nlm.nih.gov/articles/PMC9473455/ (Accessed: 12/12/2025).</w:t>
      </w:r>
    </w:p>
    <w:p w14:paraId="414348A8"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 xml:space="preserve">Ford, J.D., Grasso, D.J., </w:t>
      </w:r>
      <w:proofErr w:type="spellStart"/>
      <w:r w:rsidRPr="00417F2C">
        <w:rPr>
          <w:rFonts w:ascii="Arial" w:hAnsi="Arial" w:cs="Arial"/>
          <w:sz w:val="24"/>
          <w:szCs w:val="24"/>
        </w:rPr>
        <w:t>Elhai</w:t>
      </w:r>
      <w:proofErr w:type="spellEnd"/>
      <w:r w:rsidRPr="00417F2C">
        <w:rPr>
          <w:rFonts w:ascii="Arial" w:hAnsi="Arial" w:cs="Arial"/>
          <w:sz w:val="24"/>
          <w:szCs w:val="24"/>
        </w:rPr>
        <w:t>, J.D. and Courtois, C.A. (2018) ‘complex trauma and adolescent development’, Journal of traumatic stress, 31(4), pp. 599–610. Available at: https://pubmed.ncbi.nlm.nih.gov/30028091/ (Accessed: 12/12/2025).</w:t>
      </w:r>
    </w:p>
    <w:p w14:paraId="4D472069"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Hughes, D. (2011) Attachment-focused parenting: effective strategies to care for children. New York: W.W. Norton. Available at: https://wwnorton.com/books/9780393707289 (Accessed: 12/12/2025).</w:t>
      </w:r>
    </w:p>
    <w:p w14:paraId="3CB32BA5"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 xml:space="preserve">Hughes, K. et al. (2017) ‘the effect of multiple adverse childhood experiences on health: a systematic review and meta-analysis’, The lancet public health, 2(8), pp. e356–e366. Available at: </w:t>
      </w:r>
      <w:r w:rsidRPr="00417F2C">
        <w:rPr>
          <w:rFonts w:ascii="Arial" w:hAnsi="Arial" w:cs="Arial"/>
          <w:sz w:val="24"/>
          <w:szCs w:val="24"/>
        </w:rPr>
        <w:lastRenderedPageBreak/>
        <w:t>https://research.bangor.ac.uk/files/20101475/Hughes_et_al_2017_ACE_systematic_review_and_meta_analysis.pdf (Accessed: 12/12/2025).</w:t>
      </w:r>
    </w:p>
    <w:p w14:paraId="409E2811"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McLennan, J.D., MacMillan, H.L. and Afifi, T.O. (2020) ‘questioning the use of adverse childhood experiences (aces) questionnaires’, Child abuse &amp; neglect, 101, 104331. Available at: https://pubmed.ncbi.nlm.nih.gov/31887655/ (Accessed: 12/12/2025).</w:t>
      </w:r>
    </w:p>
    <w:p w14:paraId="0E73E6D3"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Masten, A.S. (2014) Ordinary magic: resilience in development. New York: Guilford Press. Available at: https://www.guilford.com/books/Ordinary-Magic/Ann-Masten/9781462523712 (Accessed: 12/12/2025).</w:t>
      </w:r>
    </w:p>
    <w:p w14:paraId="0F6AED8B"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 xml:space="preserve">NHS </w:t>
      </w:r>
      <w:proofErr w:type="spellStart"/>
      <w:r w:rsidRPr="00417F2C">
        <w:rPr>
          <w:rFonts w:ascii="Arial" w:hAnsi="Arial" w:cs="Arial"/>
          <w:sz w:val="24"/>
          <w:szCs w:val="24"/>
        </w:rPr>
        <w:t>england</w:t>
      </w:r>
      <w:proofErr w:type="spellEnd"/>
      <w:r w:rsidRPr="00417F2C">
        <w:rPr>
          <w:rFonts w:ascii="Arial" w:hAnsi="Arial" w:cs="Arial"/>
          <w:sz w:val="24"/>
          <w:szCs w:val="24"/>
        </w:rPr>
        <w:t xml:space="preserve"> (2019) The NHS long term plan. Available at: https://www.longtermplan.nhs.uk/ (Accessed: 12/12/2025).</w:t>
      </w:r>
    </w:p>
    <w:p w14:paraId="1427AC84"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 xml:space="preserve">NHS </w:t>
      </w:r>
      <w:proofErr w:type="spellStart"/>
      <w:r w:rsidRPr="00417F2C">
        <w:rPr>
          <w:rFonts w:ascii="Arial" w:hAnsi="Arial" w:cs="Arial"/>
          <w:sz w:val="24"/>
          <w:szCs w:val="24"/>
        </w:rPr>
        <w:t>england</w:t>
      </w:r>
      <w:proofErr w:type="spellEnd"/>
      <w:r w:rsidRPr="00417F2C">
        <w:rPr>
          <w:rFonts w:ascii="Arial" w:hAnsi="Arial" w:cs="Arial"/>
          <w:sz w:val="24"/>
          <w:szCs w:val="24"/>
        </w:rPr>
        <w:t xml:space="preserve"> (2025) Trauma-informed and harm-aware inpatient care. Available at: https://www.england.nhs.uk/long-read/trauma-informed-harm-aware-inpatient-care/ (Accessed: 12/12/2025).</w:t>
      </w:r>
    </w:p>
    <w:p w14:paraId="5111EE36"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Royal society (2023) Brain waves: adolescent brain development. Available at: https://royalsociety.org/topics-policy/projects/brain-waves/ (Accessed: 12/12/2025).</w:t>
      </w:r>
    </w:p>
    <w:p w14:paraId="37EC788A"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UK government (2022) Working definition of trauma-informed practice. Available at: https://www.gov.uk/government/publications/working-definition-of-trauma-informed-practice/working-definition-of-trauma-informed-practice (Accessed: 12/12/2025).</w:t>
      </w:r>
    </w:p>
    <w:p w14:paraId="05D927B1"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UK trauma council (2020) Childhood trauma and the brain. Available at: https://uktraumacouncil.org/resources/childhood-trauma-and-the-brain (Accessed: 12/12/2025).</w:t>
      </w:r>
    </w:p>
    <w:p w14:paraId="76D477CE" w14:textId="77777777" w:rsidR="00FA0AC2" w:rsidRPr="00417F2C" w:rsidRDefault="00FA0AC2" w:rsidP="00FA0AC2">
      <w:pPr>
        <w:spacing w:line="360" w:lineRule="auto"/>
        <w:ind w:left="720" w:hanging="720"/>
        <w:jc w:val="both"/>
        <w:rPr>
          <w:rFonts w:ascii="Arial" w:hAnsi="Arial" w:cs="Arial"/>
          <w:sz w:val="24"/>
          <w:szCs w:val="24"/>
        </w:rPr>
      </w:pPr>
      <w:r w:rsidRPr="00417F2C">
        <w:rPr>
          <w:rFonts w:ascii="Arial" w:hAnsi="Arial" w:cs="Arial"/>
          <w:sz w:val="24"/>
          <w:szCs w:val="24"/>
        </w:rPr>
        <w:t>UK trauma council (2021) Childhood trauma: what happens when relationships go wrong. Available at: https://uktraumacouncil.org/resource/childhood-trauma-what-happens-when-relationships-go-wrong (Accessed: 12/12/2025).</w:t>
      </w:r>
    </w:p>
    <w:p w14:paraId="6F100CB0" w14:textId="65FCC76B" w:rsidR="00717490" w:rsidRPr="00836811" w:rsidRDefault="00717490" w:rsidP="00FA0AC2">
      <w:pPr>
        <w:spacing w:after="0" w:line="240" w:lineRule="auto"/>
        <w:rPr>
          <w:rFonts w:ascii="Arial" w:hAnsi="Arial" w:cs="Arial"/>
          <w:sz w:val="24"/>
          <w:szCs w:val="24"/>
        </w:rPr>
      </w:pPr>
    </w:p>
    <w:sectPr w:rsidR="00717490" w:rsidRPr="00836811" w:rsidSect="00FA0AC2">
      <w:pgSz w:w="11906" w:h="16838"/>
      <w:pgMar w:top="1440" w:right="566"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E90"/>
    <w:rsid w:val="00717490"/>
    <w:rsid w:val="00836811"/>
    <w:rsid w:val="00841839"/>
    <w:rsid w:val="00BB4E90"/>
    <w:rsid w:val="00FA0AC2"/>
    <w:rsid w:val="00FE0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29750"/>
  <w15:chartTrackingRefBased/>
  <w15:docId w15:val="{64D09AF0-8061-45EB-8A74-2B314B02D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B4E9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B4E9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E9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B4E90"/>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B4E90"/>
    <w:rPr>
      <w:b/>
      <w:bCs/>
    </w:rPr>
  </w:style>
  <w:style w:type="paragraph" w:styleId="NormalWeb">
    <w:name w:val="Normal (Web)"/>
    <w:basedOn w:val="Normal"/>
    <w:uiPriority w:val="99"/>
    <w:semiHidden/>
    <w:unhideWhenUsed/>
    <w:rsid w:val="00BB4E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36811"/>
    <w:rPr>
      <w:i/>
      <w:iCs/>
    </w:rPr>
  </w:style>
  <w:style w:type="character" w:styleId="Hyperlink">
    <w:name w:val="Hyperlink"/>
    <w:basedOn w:val="DefaultParagraphFont"/>
    <w:uiPriority w:val="99"/>
    <w:unhideWhenUsed/>
    <w:rsid w:val="00836811"/>
    <w:rPr>
      <w:color w:val="0000FF"/>
      <w:u w:val="single"/>
    </w:rPr>
  </w:style>
  <w:style w:type="character" w:styleId="UnresolvedMention">
    <w:name w:val="Unresolved Mention"/>
    <w:basedOn w:val="DefaultParagraphFont"/>
    <w:uiPriority w:val="99"/>
    <w:semiHidden/>
    <w:unhideWhenUsed/>
    <w:rsid w:val="00836811"/>
    <w:rPr>
      <w:color w:val="605E5C"/>
      <w:shd w:val="clear" w:color="auto" w:fill="E1DFDD"/>
    </w:rPr>
  </w:style>
  <w:style w:type="character" w:styleId="FollowedHyperlink">
    <w:name w:val="FollowedHyperlink"/>
    <w:basedOn w:val="DefaultParagraphFont"/>
    <w:uiPriority w:val="99"/>
    <w:semiHidden/>
    <w:unhideWhenUsed/>
    <w:rsid w:val="00836811"/>
    <w:rPr>
      <w:color w:val="954F72" w:themeColor="followedHyperlink"/>
      <w:u w:val="single"/>
    </w:rPr>
  </w:style>
  <w:style w:type="paragraph" w:styleId="NoSpacing">
    <w:name w:val="No Spacing"/>
    <w:link w:val="NoSpacingChar"/>
    <w:uiPriority w:val="1"/>
    <w:qFormat/>
    <w:rsid w:val="00FA0AC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FA0AC2"/>
    <w:rPr>
      <w:rFonts w:eastAsiaTheme="minorEastAsia"/>
      <w:lang w:eastAsia="en-GB"/>
    </w:rPr>
  </w:style>
  <w:style w:type="paragraph" w:styleId="TOCHeading">
    <w:name w:val="TOC Heading"/>
    <w:basedOn w:val="Heading1"/>
    <w:next w:val="Normal"/>
    <w:uiPriority w:val="39"/>
    <w:unhideWhenUsed/>
    <w:qFormat/>
    <w:rsid w:val="00FA0AC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FA0AC2"/>
    <w:pPr>
      <w:spacing w:after="100"/>
      <w:ind w:left="220"/>
    </w:pPr>
  </w:style>
  <w:style w:type="paragraph" w:styleId="TOC1">
    <w:name w:val="toc 1"/>
    <w:basedOn w:val="Normal"/>
    <w:next w:val="Normal"/>
    <w:autoRedefine/>
    <w:uiPriority w:val="39"/>
    <w:unhideWhenUsed/>
    <w:rsid w:val="00FA0A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53025">
      <w:bodyDiv w:val="1"/>
      <w:marLeft w:val="0"/>
      <w:marRight w:val="0"/>
      <w:marTop w:val="0"/>
      <w:marBottom w:val="0"/>
      <w:divBdr>
        <w:top w:val="none" w:sz="0" w:space="0" w:color="auto"/>
        <w:left w:val="none" w:sz="0" w:space="0" w:color="auto"/>
        <w:bottom w:val="none" w:sz="0" w:space="0" w:color="auto"/>
        <w:right w:val="none" w:sz="0" w:space="0" w:color="auto"/>
      </w:divBdr>
    </w:div>
    <w:div w:id="101804153">
      <w:bodyDiv w:val="1"/>
      <w:marLeft w:val="0"/>
      <w:marRight w:val="0"/>
      <w:marTop w:val="0"/>
      <w:marBottom w:val="0"/>
      <w:divBdr>
        <w:top w:val="none" w:sz="0" w:space="0" w:color="auto"/>
        <w:left w:val="none" w:sz="0" w:space="0" w:color="auto"/>
        <w:bottom w:val="none" w:sz="0" w:space="0" w:color="auto"/>
        <w:right w:val="none" w:sz="0" w:space="0" w:color="auto"/>
      </w:divBdr>
    </w:div>
    <w:div w:id="146560712">
      <w:bodyDiv w:val="1"/>
      <w:marLeft w:val="0"/>
      <w:marRight w:val="0"/>
      <w:marTop w:val="0"/>
      <w:marBottom w:val="0"/>
      <w:divBdr>
        <w:top w:val="none" w:sz="0" w:space="0" w:color="auto"/>
        <w:left w:val="none" w:sz="0" w:space="0" w:color="auto"/>
        <w:bottom w:val="none" w:sz="0" w:space="0" w:color="auto"/>
        <w:right w:val="none" w:sz="0" w:space="0" w:color="auto"/>
      </w:divBdr>
    </w:div>
    <w:div w:id="309141305">
      <w:bodyDiv w:val="1"/>
      <w:marLeft w:val="0"/>
      <w:marRight w:val="0"/>
      <w:marTop w:val="0"/>
      <w:marBottom w:val="0"/>
      <w:divBdr>
        <w:top w:val="none" w:sz="0" w:space="0" w:color="auto"/>
        <w:left w:val="none" w:sz="0" w:space="0" w:color="auto"/>
        <w:bottom w:val="none" w:sz="0" w:space="0" w:color="auto"/>
        <w:right w:val="none" w:sz="0" w:space="0" w:color="auto"/>
      </w:divBdr>
    </w:div>
    <w:div w:id="377825593">
      <w:bodyDiv w:val="1"/>
      <w:marLeft w:val="0"/>
      <w:marRight w:val="0"/>
      <w:marTop w:val="0"/>
      <w:marBottom w:val="0"/>
      <w:divBdr>
        <w:top w:val="none" w:sz="0" w:space="0" w:color="auto"/>
        <w:left w:val="none" w:sz="0" w:space="0" w:color="auto"/>
        <w:bottom w:val="none" w:sz="0" w:space="0" w:color="auto"/>
        <w:right w:val="none" w:sz="0" w:space="0" w:color="auto"/>
      </w:divBdr>
    </w:div>
    <w:div w:id="974718104">
      <w:bodyDiv w:val="1"/>
      <w:marLeft w:val="0"/>
      <w:marRight w:val="0"/>
      <w:marTop w:val="0"/>
      <w:marBottom w:val="0"/>
      <w:divBdr>
        <w:top w:val="none" w:sz="0" w:space="0" w:color="auto"/>
        <w:left w:val="none" w:sz="0" w:space="0" w:color="auto"/>
        <w:bottom w:val="none" w:sz="0" w:space="0" w:color="auto"/>
        <w:right w:val="none" w:sz="0" w:space="0" w:color="auto"/>
      </w:divBdr>
    </w:div>
    <w:div w:id="987977322">
      <w:bodyDiv w:val="1"/>
      <w:marLeft w:val="0"/>
      <w:marRight w:val="0"/>
      <w:marTop w:val="0"/>
      <w:marBottom w:val="0"/>
      <w:divBdr>
        <w:top w:val="none" w:sz="0" w:space="0" w:color="auto"/>
        <w:left w:val="none" w:sz="0" w:space="0" w:color="auto"/>
        <w:bottom w:val="none" w:sz="0" w:space="0" w:color="auto"/>
        <w:right w:val="none" w:sz="0" w:space="0" w:color="auto"/>
      </w:divBdr>
    </w:div>
    <w:div w:id="1109350985">
      <w:bodyDiv w:val="1"/>
      <w:marLeft w:val="0"/>
      <w:marRight w:val="0"/>
      <w:marTop w:val="0"/>
      <w:marBottom w:val="0"/>
      <w:divBdr>
        <w:top w:val="none" w:sz="0" w:space="0" w:color="auto"/>
        <w:left w:val="none" w:sz="0" w:space="0" w:color="auto"/>
        <w:bottom w:val="none" w:sz="0" w:space="0" w:color="auto"/>
        <w:right w:val="none" w:sz="0" w:space="0" w:color="auto"/>
      </w:divBdr>
    </w:div>
    <w:div w:id="1499268512">
      <w:bodyDiv w:val="1"/>
      <w:marLeft w:val="0"/>
      <w:marRight w:val="0"/>
      <w:marTop w:val="0"/>
      <w:marBottom w:val="0"/>
      <w:divBdr>
        <w:top w:val="none" w:sz="0" w:space="0" w:color="auto"/>
        <w:left w:val="none" w:sz="0" w:space="0" w:color="auto"/>
        <w:bottom w:val="none" w:sz="0" w:space="0" w:color="auto"/>
        <w:right w:val="none" w:sz="0" w:space="0" w:color="auto"/>
      </w:divBdr>
    </w:div>
    <w:div w:id="1636448604">
      <w:bodyDiv w:val="1"/>
      <w:marLeft w:val="0"/>
      <w:marRight w:val="0"/>
      <w:marTop w:val="0"/>
      <w:marBottom w:val="0"/>
      <w:divBdr>
        <w:top w:val="none" w:sz="0" w:space="0" w:color="auto"/>
        <w:left w:val="none" w:sz="0" w:space="0" w:color="auto"/>
        <w:bottom w:val="none" w:sz="0" w:space="0" w:color="auto"/>
        <w:right w:val="none" w:sz="0" w:space="0" w:color="auto"/>
      </w:divBdr>
    </w:div>
    <w:div w:id="187079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1710291@student.uwtsd.ac.uk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DDB501-1C4E-4180-9FF1-BE938020E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10</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Examining the physiological and emotional effects of trauma on young people</dc:title>
  <dc:subject/>
  <dc:creator>Anca-Madalina Sulugiuc (1710291)</dc:creator>
  <cp:keywords/>
  <dc:description/>
  <cp:lastModifiedBy>Anca-Madalina Sulugiuc (1710291)</cp:lastModifiedBy>
  <cp:revision>1</cp:revision>
  <dcterms:created xsi:type="dcterms:W3CDTF">2025-12-12T01:36:00Z</dcterms:created>
  <dcterms:modified xsi:type="dcterms:W3CDTF">2025-12-12T02:42:00Z</dcterms:modified>
</cp:coreProperties>
</file>