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00B18" w14:textId="77777777"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 xml:space="preserve">Nature versus nurture, genetics contrasted with environment, the biological in opposition to the social. This dichotomous debate is framed around the conception that one of these absolutes is the quintessential cause for deviant and criminal behaviour. Theorists such as Lombroso and Eysenck argue that the nature of the individual can be measured and used to determine the root cause of deviancy, both theorists contribute to the respective schools of biological and psychological positivism (Rafter, 2006, p. 42; Ellwood, 1912, p. 718). Both would be considered proponents to the claim of nature as the cause of crime. While theorists such as Sutherland and Bandura would ascribe to the nurture argument, that environmental, social, and cultural factors interconnect to influence the self, which causes one to do a criminal act (Beaver et al, 2014, p. 126). These schools of thought are associated with social learning (Akers, 1996, p. 231). However, to examine which of the two arguments are the most effective in establishing what the cause of crime is, we must delve further into what each side is asserting. This essay will begin by exploring the nature argument, examining some of the biological theories of crime, such as the ones already discussed. However, while this debate is often framed as dichotomous, there are those who argue that there is a different path to take. This is a relatively new school of thought in criminology, one that attempts to argue that the biologic and social perspectives of criminology should be merged into what is called the biosocial, which will be explored further. Then transitioning to discussion of the sociological aspects of criminology. </w:t>
      </w:r>
    </w:p>
    <w:p w14:paraId="60365216" w14:textId="72154C0A"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 xml:space="preserve">The nature argument is encapsulated by theories established by Lombroso, Eysenck, and Sheldon. Lombroso has famously been labelled the father of criminology and has often been credited with performing some of the first scientifically supported criminological studies with the production of his seminal work, </w:t>
      </w:r>
      <w:r w:rsidRPr="003419B4">
        <w:rPr>
          <w:rFonts w:ascii="Arial" w:hAnsi="Arial" w:cs="Arial"/>
          <w:color w:val="000000" w:themeColor="text1"/>
          <w:sz w:val="24"/>
          <w:szCs w:val="24"/>
        </w:rPr>
        <w:lastRenderedPageBreak/>
        <w:t>the criminal man (</w:t>
      </w:r>
      <w:proofErr w:type="spellStart"/>
      <w:r w:rsidRPr="003419B4">
        <w:rPr>
          <w:rFonts w:ascii="Arial" w:hAnsi="Arial" w:cs="Arial"/>
          <w:color w:val="000000" w:themeColor="text1"/>
          <w:sz w:val="24"/>
          <w:szCs w:val="24"/>
        </w:rPr>
        <w:t>Mazzerello</w:t>
      </w:r>
      <w:proofErr w:type="spellEnd"/>
      <w:r w:rsidRPr="003419B4">
        <w:rPr>
          <w:rFonts w:ascii="Arial" w:hAnsi="Arial" w:cs="Arial"/>
          <w:color w:val="000000" w:themeColor="text1"/>
          <w:sz w:val="24"/>
          <w:szCs w:val="24"/>
        </w:rPr>
        <w:t xml:space="preserve">, 2011, p. 100). The concepts that emerge from Lombroso’s work involves the assumption that one can be “born criminal” (Lombroso, 1895). He came to this conclusion via his analysis and examination of prisoners’ physical characteristics and asserting that criminals had distinct traits. The methods that Lombroso used to come to his conclusion can be systematically dismantled, and as such, so too can his arguments. For a major issue regarding Lombroso’s methodology is associated with the fact in that establishing his “born criminal” theory, he measured and characterised the physical attributes of only prisoners (Triplett, 2018, p.54, p. 61). By simply expanding his sample size to include the general population, he would have found that physical and evolutional attributes that he credited to criminals, who he deemed to be evolutionary throwbacks and descendants of pre-human savages, can be found in and throughout the Italian populace (Burgess,1972, p. 74). Thus, suggesting that you cannot distinguish between criminal and non-criminal via the physical attributes that Lombroso measured. So not only can Lombroso’s arguments be dismantled, but criminology as field must also distance itself from them, for Lombroso’s biological criminology was used as a justification for Nazi eugenics and “mass extermination” programmes (Rafter, 2008, p. 288). While we should distance and condemn these arguments, we must not forget the role that criminology had to play for “we must be on our guard. If understanding is impossible, knowing is imperative, because what happened could happen again” (Levi, 1987, p. 396) </w:t>
      </w:r>
    </w:p>
    <w:p w14:paraId="1EF802F1" w14:textId="77777777"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 xml:space="preserve">Similarly, Eysenck’s research led him to the conclusion that there exists a specific criminal personality that has the propensity for deviant behaviour. However, Eysenck believed that the cause of deviancy laid in the psychological which was driven by the biological, contrasting Lombroso’s biological only approach. Both approaches are </w:t>
      </w:r>
      <w:r w:rsidRPr="003419B4">
        <w:rPr>
          <w:rFonts w:ascii="Arial" w:hAnsi="Arial" w:cs="Arial"/>
          <w:color w:val="000000" w:themeColor="text1"/>
          <w:sz w:val="24"/>
          <w:szCs w:val="24"/>
        </w:rPr>
        <w:lastRenderedPageBreak/>
        <w:t>determinist in their analysis. Meaning that choice has no matter, that crime and deviancy is not attributable to specific acts, but is intrinsic to the self, to the fabric of one’s biological and psychological identity. Like Lombroso, Eysenck’s research has methodological critiques, for the scale at which he applied his hypothesis was lacking and can be described “low quality” and “inappropriate” (Burgess, 1972, p. 74; Passingham, 1972, p. 360). And just like Lombroso, when Eysenck’s sample size was expanded to include the general population and the theory was re-examined with this larger sample size, the results seemed to indicate that the measurements between prisoners and non-prisoners were “virtually identical” (Burgess,1972, p. 74).</w:t>
      </w:r>
    </w:p>
    <w:p w14:paraId="2B958F13" w14:textId="55527814"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 xml:space="preserve">Eysenck and Lombroso’s arguments have had some of the biggest influences in criminological debate and the nature as the cause of crime school of thought. But as discussed above, there arguments and their theoretical basis can be undone by having a more representative sample size and a more robust methodological approach.  Yet, there are more fundamental issues with the arguments that Eysenck, Lombroso and other ‘nature’ theorists are making, simply what is crime and deviancy.  There are various acts that are considered criminal and deviant in nature, for example cannabis use is considered a deviant behaviour by the ruling classes of society and as such it is labelled a criminal act, despite the majority of the United Kingdom supporting decriminalisation (YouGov, 2021; Hatton, 2022; Walker and Butler, 2021). But cannabis use as deviancy is not an absolute, for if we transition to countries like Portugal and the United States, cannabis use is legalised (Hughes, 2018, p. 604). But under Lombroso’s and Eysenck’s arguments if you have the criminal personality or are born criminal in relation to the use of cannabis in the United Kingdom, but then relocate to a place like the United States where cannabis is not only legalised but is not considered a deviant act, then that deviant label would </w:t>
      </w:r>
      <w:r w:rsidRPr="003419B4">
        <w:rPr>
          <w:rFonts w:ascii="Arial" w:hAnsi="Arial" w:cs="Arial"/>
          <w:color w:val="000000" w:themeColor="text1"/>
          <w:sz w:val="24"/>
          <w:szCs w:val="24"/>
        </w:rPr>
        <w:lastRenderedPageBreak/>
        <w:t xml:space="preserve">follow you. But how can you be born criminal if the reason you were labelled as such, is no longer considered deviancy? Deviancy is not an objective static phenomenon, it evolves, it </w:t>
      </w:r>
      <w:r w:rsidR="00D03C1D" w:rsidRPr="003419B4">
        <w:rPr>
          <w:rFonts w:ascii="Arial" w:hAnsi="Arial" w:cs="Arial"/>
          <w:color w:val="000000" w:themeColor="text1"/>
          <w:sz w:val="24"/>
          <w:szCs w:val="24"/>
        </w:rPr>
        <w:t>varies</w:t>
      </w:r>
      <w:r w:rsidR="00D03C1D">
        <w:rPr>
          <w:rFonts w:ascii="Arial" w:hAnsi="Arial" w:cs="Arial"/>
          <w:color w:val="000000" w:themeColor="text1"/>
          <w:sz w:val="24"/>
          <w:szCs w:val="24"/>
        </w:rPr>
        <w:t xml:space="preserve"> across cultures, cities, and neighbourhoods</w:t>
      </w:r>
      <w:r w:rsidRPr="003419B4">
        <w:rPr>
          <w:rFonts w:ascii="Arial" w:hAnsi="Arial" w:cs="Arial"/>
          <w:color w:val="000000" w:themeColor="text1"/>
          <w:sz w:val="24"/>
          <w:szCs w:val="24"/>
        </w:rPr>
        <w:t>, an act is subjectively labelled deviancy because “social groups or audiences” label it so, or as Becker legendarily phrased it, “The deviant is one to whom that label has successfully been applied; deviant behaviour is behaviour that people so label” (</w:t>
      </w:r>
      <w:proofErr w:type="spellStart"/>
      <w:r w:rsidRPr="003419B4">
        <w:rPr>
          <w:rFonts w:ascii="Arial" w:hAnsi="Arial" w:cs="Arial"/>
          <w:color w:val="000000" w:themeColor="text1"/>
          <w:sz w:val="24"/>
          <w:szCs w:val="24"/>
        </w:rPr>
        <w:t>Curra</w:t>
      </w:r>
      <w:proofErr w:type="spellEnd"/>
      <w:r w:rsidRPr="003419B4">
        <w:rPr>
          <w:rFonts w:ascii="Arial" w:hAnsi="Arial" w:cs="Arial"/>
          <w:color w:val="000000" w:themeColor="text1"/>
          <w:sz w:val="24"/>
          <w:szCs w:val="24"/>
        </w:rPr>
        <w:t xml:space="preserve">, 2015, p. 122; Becker, 1998, p. 122). </w:t>
      </w:r>
      <w:r w:rsidR="00D03C1D">
        <w:rPr>
          <w:rFonts w:ascii="Arial" w:hAnsi="Arial" w:cs="Arial"/>
          <w:color w:val="000000" w:themeColor="text1"/>
          <w:sz w:val="24"/>
          <w:szCs w:val="24"/>
        </w:rPr>
        <w:t xml:space="preserve"> </w:t>
      </w:r>
    </w:p>
    <w:p w14:paraId="239E963C" w14:textId="79FCB678"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 xml:space="preserve">However, it is right to say that there is no specific gene or attributes that make a person deviant, but Walsh (2009, p. 14) asserts, critiques of bio-criminology are based and continue to be based on the rightly dismissed early biological positivist theories of Lombroso, Sheldon, and Eysenck. Walsh (2009, p, 14). Continuing by stating that the science of biology has advanced rapidly since early biological theories, but the critiques of socio-criminologists have not, asserting that there are many biological studies being performed that show promise. It’s from these studies that Walsh believes that a “paradigm shift” is needed, a reintroduction of the biological arguments of crime, however, two of the studies he suggests seem to denounce the very argument he is making (Walsh, 2009, p, 14). Guo et al (2008, p. 563-564) research suggests that any delinquency effect that genes such as the MAOA or DRD2 gene become undone when accounting for sociological factors, and any deviancy in the study was also a matter of sociological factors, the measure being social control. Continuing, Huizinga et al (2006, p. 681-682) could not find a causal link between the MAOA gene and adolescent or adult delinquency.  Independent of the arguments Walsh is making for the reintroduction of the biological, his work is also littered with grammatical errors and frequent use of the term “blacks” (Walsh, 2009, p. xx- 13). Nevertheless, reintroduction of the biological </w:t>
      </w:r>
      <w:r w:rsidRPr="003419B4">
        <w:rPr>
          <w:rFonts w:ascii="Arial" w:hAnsi="Arial" w:cs="Arial"/>
          <w:color w:val="000000" w:themeColor="text1"/>
          <w:sz w:val="24"/>
          <w:szCs w:val="24"/>
        </w:rPr>
        <w:lastRenderedPageBreak/>
        <w:t xml:space="preserve">arguments to modern criminological debate in combination with the sociological, a merging of nature and nurture has been named the biosocial perspective. </w:t>
      </w:r>
    </w:p>
    <w:p w14:paraId="15F63678" w14:textId="636F9313"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Eysenck’s early arguments are psychological and biological in nature, when he published his work there was little reference to sociological and the ‘nurture’ side of the argument. Yet he has been rebranded and “rehabilitated” as one the founders of the biosocial (Rafter, 2006, p. 49). The biosocial refers to a melding of the sociological and the biological in search for the cause of crime. Biosocial causes of crime often analyse situations such as the nutritional and the diets of those who perform delinquent acts (Roque et al, 2012, p. 310). Relying on past research which indicates a link between cognitive development and anti-social behaviour, Roque et al (2012, p. 310) then connects this with the nutritional. This connection asserts that poor diet influences cognitive development, and cognitive development has a positive relationship with anti-social and delinquent behaviour, thus nutrition and diet affect delinquency and anti-social behaviour, the bio in biosocial. However, just as biosocial criminologists accuse socio-criminologists of being too committed to their ideology of sociology and constructivism, it has been suggested that biosocial criminologist are also too committed (</w:t>
      </w:r>
      <w:proofErr w:type="spellStart"/>
      <w:r w:rsidRPr="003419B4">
        <w:rPr>
          <w:rFonts w:ascii="Arial" w:hAnsi="Arial" w:cs="Arial"/>
          <w:color w:val="000000" w:themeColor="text1"/>
          <w:sz w:val="24"/>
          <w:szCs w:val="24"/>
        </w:rPr>
        <w:t>Walby</w:t>
      </w:r>
      <w:proofErr w:type="spellEnd"/>
      <w:r w:rsidR="003419B4" w:rsidRPr="003419B4">
        <w:rPr>
          <w:rFonts w:ascii="Arial" w:hAnsi="Arial" w:cs="Arial"/>
          <w:color w:val="000000" w:themeColor="text1"/>
          <w:sz w:val="24"/>
          <w:szCs w:val="24"/>
        </w:rPr>
        <w:t xml:space="preserve"> and Carrier</w:t>
      </w:r>
      <w:r w:rsidRPr="003419B4">
        <w:rPr>
          <w:rFonts w:ascii="Arial" w:hAnsi="Arial" w:cs="Arial"/>
          <w:color w:val="000000" w:themeColor="text1"/>
          <w:sz w:val="24"/>
          <w:szCs w:val="24"/>
        </w:rPr>
        <w:t>, 2015, p. 80</w:t>
      </w:r>
      <w:r w:rsidR="003419B4" w:rsidRPr="003419B4">
        <w:rPr>
          <w:rFonts w:ascii="Arial" w:hAnsi="Arial" w:cs="Arial"/>
          <w:color w:val="000000" w:themeColor="text1"/>
          <w:sz w:val="24"/>
          <w:szCs w:val="24"/>
        </w:rPr>
        <w:t>a</w:t>
      </w:r>
      <w:r w:rsidRPr="003419B4">
        <w:rPr>
          <w:rFonts w:ascii="Arial" w:hAnsi="Arial" w:cs="Arial"/>
          <w:color w:val="000000" w:themeColor="text1"/>
          <w:sz w:val="24"/>
          <w:szCs w:val="24"/>
        </w:rPr>
        <w:t xml:space="preserve">). In their research Ramsbotham and </w:t>
      </w:r>
      <w:proofErr w:type="spellStart"/>
      <w:r w:rsidRPr="003419B4">
        <w:rPr>
          <w:rFonts w:ascii="Arial" w:hAnsi="Arial" w:cs="Arial"/>
          <w:color w:val="000000" w:themeColor="text1"/>
          <w:sz w:val="24"/>
          <w:szCs w:val="24"/>
        </w:rPr>
        <w:t>Gesch</w:t>
      </w:r>
      <w:proofErr w:type="spellEnd"/>
      <w:r w:rsidRPr="003419B4">
        <w:rPr>
          <w:rFonts w:ascii="Arial" w:hAnsi="Arial" w:cs="Arial"/>
          <w:color w:val="000000" w:themeColor="text1"/>
          <w:sz w:val="24"/>
          <w:szCs w:val="24"/>
        </w:rPr>
        <w:t xml:space="preserve"> (2009, p. 9) determined that those who were taking food supplements and had better nutritional balance of vitamins and minerals in their diets, showed a significant decrease in the most serious of offences while in prison, suggesting that there may be a correlation between poor diets and criminal and delinquent behaviour. While this provides an interesting analysis and a no-lose situation, if implemented properly, and their assertion is right, then delinquency should decrease and if not, prisoners would simply have better balanced and nutritional diet. However, their analysis is very dismissive of the sociological aspect. </w:t>
      </w:r>
      <w:r w:rsidRPr="003419B4">
        <w:rPr>
          <w:rFonts w:ascii="Arial" w:hAnsi="Arial" w:cs="Arial"/>
          <w:color w:val="000000" w:themeColor="text1"/>
          <w:sz w:val="24"/>
          <w:szCs w:val="24"/>
        </w:rPr>
        <w:lastRenderedPageBreak/>
        <w:t xml:space="preserve">Biosocial criminologists often look down at traditional sociological criminologists, due to what they believe as a lack of scientific evidence and rigour or as </w:t>
      </w:r>
      <w:proofErr w:type="spellStart"/>
      <w:r w:rsidRPr="003419B4">
        <w:rPr>
          <w:rFonts w:ascii="Arial" w:hAnsi="Arial" w:cs="Arial"/>
          <w:color w:val="000000" w:themeColor="text1"/>
          <w:sz w:val="24"/>
          <w:szCs w:val="24"/>
        </w:rPr>
        <w:t>Walby</w:t>
      </w:r>
      <w:proofErr w:type="spellEnd"/>
      <w:r w:rsidRPr="003419B4">
        <w:rPr>
          <w:rFonts w:ascii="Arial" w:hAnsi="Arial" w:cs="Arial"/>
          <w:color w:val="000000" w:themeColor="text1"/>
          <w:sz w:val="24"/>
          <w:szCs w:val="24"/>
        </w:rPr>
        <w:t xml:space="preserve"> and Carrier (2015, p. 96</w:t>
      </w:r>
      <w:r w:rsidR="003419B4" w:rsidRPr="003419B4">
        <w:rPr>
          <w:rFonts w:ascii="Arial" w:hAnsi="Arial" w:cs="Arial"/>
          <w:color w:val="000000" w:themeColor="text1"/>
          <w:sz w:val="24"/>
          <w:szCs w:val="24"/>
        </w:rPr>
        <w:t>b</w:t>
      </w:r>
      <w:r w:rsidRPr="003419B4">
        <w:rPr>
          <w:rFonts w:ascii="Arial" w:hAnsi="Arial" w:cs="Arial"/>
          <w:color w:val="000000" w:themeColor="text1"/>
          <w:sz w:val="24"/>
          <w:szCs w:val="24"/>
        </w:rPr>
        <w:t xml:space="preserve">) state “We do real science, you are mere ideologues”. Ramsbotham and </w:t>
      </w:r>
      <w:proofErr w:type="spellStart"/>
      <w:r w:rsidRPr="003419B4">
        <w:rPr>
          <w:rFonts w:ascii="Arial" w:hAnsi="Arial" w:cs="Arial"/>
          <w:color w:val="000000" w:themeColor="text1"/>
          <w:sz w:val="24"/>
          <w:szCs w:val="24"/>
        </w:rPr>
        <w:t>Gesch</w:t>
      </w:r>
      <w:proofErr w:type="spellEnd"/>
      <w:r w:rsidRPr="003419B4">
        <w:rPr>
          <w:rFonts w:ascii="Arial" w:hAnsi="Arial" w:cs="Arial"/>
          <w:color w:val="000000" w:themeColor="text1"/>
          <w:sz w:val="24"/>
          <w:szCs w:val="24"/>
        </w:rPr>
        <w:t xml:space="preserve"> (2009, p. 6) are no different, they totally dismiss sociological influence, their evaluation does not assess how the construction of capitalism causes historical poverty which greatly affects the nutritional quality of foods. Perhaps they were right to dismiss sociological factors, perhaps not, but this dismissiveness of sociology without examination only undoes the scientific rigour that bio-criminologists call for, and so too does the dismissive nature of socio-criminologists towards biosocial theories. A more open and less dismissive biosocial criminology may lead to the shift that bio-criminologists call for.  </w:t>
      </w:r>
    </w:p>
    <w:p w14:paraId="219455B0" w14:textId="77777777"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 xml:space="preserve">Nevertheless, there are certain theories which blend the socio and the bio rather well, for example, Gottfredson and Hirschi’s (2000) self-control theory asserts that low self-control increases the chance of delinquent and criminal behaviour, but it is entirely sociological in nature. Parenting practises determine the level of self-control one has; however, it has been increasingly suggested that self-control is also genetically based (Roque and </w:t>
      </w:r>
      <w:proofErr w:type="spellStart"/>
      <w:r w:rsidRPr="003419B4">
        <w:rPr>
          <w:rFonts w:ascii="Arial" w:hAnsi="Arial" w:cs="Arial"/>
          <w:color w:val="000000" w:themeColor="text1"/>
          <w:sz w:val="24"/>
          <w:szCs w:val="24"/>
        </w:rPr>
        <w:t>Rosick</w:t>
      </w:r>
      <w:proofErr w:type="spellEnd"/>
      <w:r w:rsidRPr="003419B4">
        <w:rPr>
          <w:rFonts w:ascii="Arial" w:hAnsi="Arial" w:cs="Arial"/>
          <w:color w:val="000000" w:themeColor="text1"/>
          <w:sz w:val="24"/>
          <w:szCs w:val="24"/>
        </w:rPr>
        <w:t xml:space="preserve">, 2017, p. 291) indicating that exploration of self-control theory from a biosocial perspective may provide valuable data. And continuing with asserting that aggression variations can be measured by genetics and biology to upwards of 80% (Roque and </w:t>
      </w:r>
      <w:proofErr w:type="spellStart"/>
      <w:r w:rsidRPr="003419B4">
        <w:rPr>
          <w:rFonts w:ascii="Arial" w:hAnsi="Arial" w:cs="Arial"/>
          <w:color w:val="000000" w:themeColor="text1"/>
          <w:sz w:val="24"/>
          <w:szCs w:val="24"/>
        </w:rPr>
        <w:t>Rosick</w:t>
      </w:r>
      <w:proofErr w:type="spellEnd"/>
      <w:r w:rsidRPr="003419B4">
        <w:rPr>
          <w:rFonts w:ascii="Arial" w:hAnsi="Arial" w:cs="Arial"/>
          <w:color w:val="000000" w:themeColor="text1"/>
          <w:sz w:val="24"/>
          <w:szCs w:val="24"/>
        </w:rPr>
        <w:t xml:space="preserve">, 2017, p. 291). Or explanations of the crime gender gap, males commit far more crimes than women, while this has many legitimate sociological explanations, many ignore the biological differences between the two genders all together (Beaver et al, 2015, p. 9-13).  Thus far, this blending is not complete, many sociologists look at the biosocial with disdain and the </w:t>
      </w:r>
      <w:r w:rsidRPr="003419B4">
        <w:rPr>
          <w:rFonts w:ascii="Arial" w:hAnsi="Arial" w:cs="Arial"/>
          <w:color w:val="000000" w:themeColor="text1"/>
          <w:sz w:val="24"/>
          <w:szCs w:val="24"/>
        </w:rPr>
        <w:lastRenderedPageBreak/>
        <w:t xml:space="preserve">bio-socialists do the same with sociology, for now and has been for over a century, sociological criminology perspectives continue to dominate the criminological world. </w:t>
      </w:r>
    </w:p>
    <w:p w14:paraId="52A80E56" w14:textId="77777777"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Due to how dominating the sociological perspective has been for the past century, there is no shortage of sociological theoretical considerations. But most modern socio-criminology theories are simply updated and revised versions of classic ones (</w:t>
      </w:r>
      <w:proofErr w:type="spellStart"/>
      <w:r w:rsidRPr="003419B4">
        <w:rPr>
          <w:rFonts w:ascii="Arial" w:hAnsi="Arial" w:cs="Arial"/>
          <w:color w:val="000000" w:themeColor="text1"/>
          <w:sz w:val="24"/>
          <w:szCs w:val="24"/>
        </w:rPr>
        <w:t>Zembroksi</w:t>
      </w:r>
      <w:proofErr w:type="spellEnd"/>
      <w:r w:rsidRPr="003419B4">
        <w:rPr>
          <w:rFonts w:ascii="Arial" w:hAnsi="Arial" w:cs="Arial"/>
          <w:color w:val="000000" w:themeColor="text1"/>
          <w:sz w:val="24"/>
          <w:szCs w:val="24"/>
        </w:rPr>
        <w:t>, 2011, p. 240). In this section we will examine some of the most cited and referenced socio-criminological theories to establish what they are saying about the cause of crime and determine whether it is nature or nurture as the cause of criminal behaviour, one such example is the Chicago school.</w:t>
      </w:r>
    </w:p>
    <w:p w14:paraId="143AEB70" w14:textId="6854C98A"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The Chicago school was founded in the 1920s during a time of great social upheaval, that being the very early stages of the great depression of the United States and post the great war. While most of the theories at the time were biological in nature, the Chicago school took a sociological and geographical one. Rather than seeing crime as a matter of individual differences, a point of view that biosocial criminologists would take objection too, the Chicago school viewed crime as a social problem, driven to crime by the environment they lived in, this view would be supported by the legendary sociologist C Wright Mills</w:t>
      </w:r>
      <w:r w:rsidR="00D03C1D">
        <w:rPr>
          <w:rFonts w:ascii="Arial" w:hAnsi="Arial" w:cs="Arial"/>
          <w:color w:val="000000" w:themeColor="text1"/>
          <w:sz w:val="24"/>
          <w:szCs w:val="24"/>
        </w:rPr>
        <w:t xml:space="preserve"> </w:t>
      </w:r>
      <w:r w:rsidR="00D03C1D" w:rsidRPr="003419B4">
        <w:rPr>
          <w:rFonts w:ascii="Arial" w:hAnsi="Arial" w:cs="Arial"/>
          <w:color w:val="000000" w:themeColor="text1"/>
          <w:sz w:val="24"/>
          <w:szCs w:val="24"/>
        </w:rPr>
        <w:t>(</w:t>
      </w:r>
      <w:proofErr w:type="spellStart"/>
      <w:r w:rsidR="00D03C1D" w:rsidRPr="003419B4">
        <w:rPr>
          <w:rFonts w:ascii="Arial" w:hAnsi="Arial" w:cs="Arial"/>
          <w:color w:val="000000" w:themeColor="text1"/>
          <w:sz w:val="24"/>
          <w:szCs w:val="24"/>
        </w:rPr>
        <w:t>Zembrosksi</w:t>
      </w:r>
      <w:proofErr w:type="spellEnd"/>
      <w:r w:rsidR="00D03C1D" w:rsidRPr="003419B4">
        <w:rPr>
          <w:rFonts w:ascii="Arial" w:hAnsi="Arial" w:cs="Arial"/>
          <w:color w:val="000000" w:themeColor="text1"/>
          <w:sz w:val="24"/>
          <w:szCs w:val="24"/>
        </w:rPr>
        <w:t>, 2011, p. 24</w:t>
      </w:r>
      <w:r w:rsidR="00D03C1D">
        <w:rPr>
          <w:rFonts w:ascii="Arial" w:hAnsi="Arial" w:cs="Arial"/>
          <w:color w:val="000000" w:themeColor="text1"/>
          <w:sz w:val="24"/>
          <w:szCs w:val="24"/>
        </w:rPr>
        <w:t>1</w:t>
      </w:r>
      <w:r w:rsidR="00D03C1D" w:rsidRPr="003419B4">
        <w:rPr>
          <w:rFonts w:ascii="Arial" w:hAnsi="Arial" w:cs="Arial"/>
          <w:color w:val="000000" w:themeColor="text1"/>
          <w:sz w:val="24"/>
          <w:szCs w:val="24"/>
        </w:rPr>
        <w:t>)</w:t>
      </w:r>
      <w:r w:rsidRPr="003419B4">
        <w:rPr>
          <w:rFonts w:ascii="Arial" w:hAnsi="Arial" w:cs="Arial"/>
          <w:color w:val="000000" w:themeColor="text1"/>
          <w:sz w:val="24"/>
          <w:szCs w:val="24"/>
        </w:rPr>
        <w:t xml:space="preserve">. If crime was to be committed by a single man, then that would be his “personal trouble”, but the nature of this theory, that entire neighbourhoods fall into crime, then this would be viewed as a societal “issue, and we may not hope to find its solution within the range of opportunities open to any one individual “(Mills, 1959, p. 5). Continuing, the Chicago school asserts that conventional traditional values of life are replaced by criminal and delinquent ones, the term “social disorganisation” accurately represents this thought process (Thomas and </w:t>
      </w:r>
      <w:proofErr w:type="spellStart"/>
      <w:r w:rsidRPr="003419B4">
        <w:rPr>
          <w:rFonts w:ascii="Arial" w:hAnsi="Arial" w:cs="Arial"/>
          <w:color w:val="000000" w:themeColor="text1"/>
          <w:sz w:val="24"/>
          <w:szCs w:val="24"/>
        </w:rPr>
        <w:t>Znaniecki</w:t>
      </w:r>
      <w:proofErr w:type="spellEnd"/>
      <w:r w:rsidRPr="003419B4">
        <w:rPr>
          <w:rFonts w:ascii="Arial" w:hAnsi="Arial" w:cs="Arial"/>
          <w:color w:val="000000" w:themeColor="text1"/>
          <w:sz w:val="24"/>
          <w:szCs w:val="24"/>
        </w:rPr>
        <w:t xml:space="preserve">, 1958). A disorganisation of bonds, control, families, and neighbourhoods, and deviant and </w:t>
      </w:r>
      <w:r w:rsidRPr="003419B4">
        <w:rPr>
          <w:rFonts w:ascii="Arial" w:hAnsi="Arial" w:cs="Arial"/>
          <w:color w:val="000000" w:themeColor="text1"/>
          <w:sz w:val="24"/>
          <w:szCs w:val="24"/>
        </w:rPr>
        <w:lastRenderedPageBreak/>
        <w:t>delinquent values “transmitted from one generation to the next” (</w:t>
      </w:r>
      <w:proofErr w:type="spellStart"/>
      <w:r w:rsidRPr="003419B4">
        <w:rPr>
          <w:rFonts w:ascii="Arial" w:hAnsi="Arial" w:cs="Arial"/>
          <w:color w:val="000000" w:themeColor="text1"/>
          <w:sz w:val="24"/>
          <w:szCs w:val="24"/>
        </w:rPr>
        <w:t>Zembrosksi</w:t>
      </w:r>
      <w:proofErr w:type="spellEnd"/>
      <w:r w:rsidRPr="003419B4">
        <w:rPr>
          <w:rFonts w:ascii="Arial" w:hAnsi="Arial" w:cs="Arial"/>
          <w:color w:val="000000" w:themeColor="text1"/>
          <w:sz w:val="24"/>
          <w:szCs w:val="24"/>
        </w:rPr>
        <w:t>, 2011, p. 243), particularly in the “zone of transition”. This transition of cultural values also implies that there is a social learning aspect to this theory, which will be explored in more detail shortly. The three avenues of this thought are that low income, “ethnic heterogeneity residential mobility” all contribute to deviancy (Sampson, 1992, p. 65). Many of the critiques about sociological criminology theories being unfounded in empirical testing by biosocial criminologist would not be applicable here, on establishing this theory there was strong empirical support from over 1000 sample size (Sampson, 1992, p. 66). However, just as biological views struggle to come to terms with what is considered crime, this theory struggles with what is considered a neighbourhood. For it does not consider that “communities are not islands unto themselves; they are shaped and influenced” by factors that are not on that “island” (</w:t>
      </w:r>
      <w:proofErr w:type="spellStart"/>
      <w:r w:rsidRPr="003419B4">
        <w:rPr>
          <w:rFonts w:ascii="Arial" w:hAnsi="Arial" w:cs="Arial"/>
          <w:color w:val="000000" w:themeColor="text1"/>
          <w:sz w:val="24"/>
          <w:szCs w:val="24"/>
        </w:rPr>
        <w:t>Kubrin</w:t>
      </w:r>
      <w:proofErr w:type="spellEnd"/>
      <w:r w:rsidRPr="003419B4">
        <w:rPr>
          <w:rFonts w:ascii="Arial" w:hAnsi="Arial" w:cs="Arial"/>
          <w:color w:val="000000" w:themeColor="text1"/>
          <w:sz w:val="24"/>
          <w:szCs w:val="24"/>
        </w:rPr>
        <w:t xml:space="preserve">, 2010, p. 833). Continuing, re-evaluating this theory with these extra considerations in mind may provide valuable further data. </w:t>
      </w:r>
    </w:p>
    <w:p w14:paraId="3366D445" w14:textId="3C8D9DCA"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 xml:space="preserve">Social learning theory asserts that the interactions one has with peer groups all compound into a context where social learning happens, this learning however is not always positive. If someone has found themselves among a peer group that has negative opinions of the laws or frequently performs deviant acts, then these too can be learned via acclimation (Akers and Jennings, 2016, p. 232). The more those learned actions are rewarded the more they are repeated in a continuous search for those and evermore rewards (Akers and Jennings, 2016, p. 233). Social learning is one of the most well-known and thoroughly researched sociological perspective in the field, with it being applied across cultures and countries, across age ranges and sexes with results that support the theory (Akers and Jennings, 2016, p. 238). </w:t>
      </w:r>
    </w:p>
    <w:p w14:paraId="0AEA37D5" w14:textId="1FEB253A"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lastRenderedPageBreak/>
        <w:t xml:space="preserve">A common critique of social learning stems from Travis Hirschi and his work on self-control theory, he would argue that association with delinquent peers and performance of deviant acts can come from those who have not had the opportunity to learn those behaviours. Asserting that it is instead, low-self-control which results in the non-delinquent actor, searching for delinquent peers and the opportunity for delinquent acts, not any predisposed learnt behaviours or concepts (Hirschi, 1996, p. 252; </w:t>
      </w:r>
      <w:bookmarkStart w:id="0" w:name="_Hlk97899834"/>
      <w:r w:rsidRPr="003419B4">
        <w:rPr>
          <w:rFonts w:ascii="Arial" w:hAnsi="Arial" w:cs="Arial"/>
          <w:color w:val="000000" w:themeColor="text1"/>
          <w:sz w:val="24"/>
          <w:szCs w:val="24"/>
        </w:rPr>
        <w:t>Ministry of Children, Community and Social Services, 2016</w:t>
      </w:r>
      <w:bookmarkEnd w:id="0"/>
      <w:r w:rsidRPr="003419B4">
        <w:rPr>
          <w:rFonts w:ascii="Arial" w:hAnsi="Arial" w:cs="Arial"/>
          <w:color w:val="000000" w:themeColor="text1"/>
          <w:sz w:val="24"/>
          <w:szCs w:val="24"/>
        </w:rPr>
        <w:t xml:space="preserve">). While biosocial criminology would critique its focus on the sociological, learning is often based on capacity and the biological, yet social learning does not bear this in mind. However, there is support, to suggest that social learning, one of the most cited, referenced, and research sociological criminology theories ever, has some biological underpinnings. For in their study </w:t>
      </w:r>
      <w:bookmarkStart w:id="1" w:name="_Hlk97820405"/>
      <w:r w:rsidRPr="003419B4">
        <w:rPr>
          <w:rFonts w:ascii="Arial" w:hAnsi="Arial" w:cs="Arial"/>
          <w:color w:val="000000" w:themeColor="text1"/>
          <w:sz w:val="24"/>
          <w:szCs w:val="24"/>
        </w:rPr>
        <w:t>Watts and McNulty (2015, p. 202)</w:t>
      </w:r>
      <w:bookmarkEnd w:id="1"/>
      <w:r w:rsidRPr="003419B4">
        <w:rPr>
          <w:rFonts w:ascii="Arial" w:hAnsi="Arial" w:cs="Arial"/>
          <w:color w:val="000000" w:themeColor="text1"/>
          <w:sz w:val="24"/>
          <w:szCs w:val="24"/>
        </w:rPr>
        <w:t xml:space="preserve"> assert that the is a positive correlation between those who are carriers of the 10R allele and being even further influenced by delinquent acts and delinquent peers. Further stating that susceptibility to specific environments can be based upon “genetic makeup” (Watts and McNulty, 2015, p. 202). </w:t>
      </w:r>
    </w:p>
    <w:p w14:paraId="566C94E9" w14:textId="77777777"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t>More could still be said about certain biological and sociological dispositions which cause one’s capability to perform criminal or deviant acts. Mental capacity for example deserves far more research and its own analysis, for it is not uncommon for those with mental and intellectual disabilities to behave in a deviant way, but not be labelled as deviant (</w:t>
      </w:r>
      <w:proofErr w:type="spellStart"/>
      <w:r w:rsidRPr="003419B4">
        <w:rPr>
          <w:rFonts w:ascii="Arial" w:hAnsi="Arial" w:cs="Arial"/>
          <w:color w:val="000000" w:themeColor="text1"/>
          <w:sz w:val="24"/>
          <w:szCs w:val="24"/>
        </w:rPr>
        <w:t>Langstrom</w:t>
      </w:r>
      <w:proofErr w:type="spellEnd"/>
      <w:r w:rsidRPr="003419B4">
        <w:rPr>
          <w:rFonts w:ascii="Arial" w:hAnsi="Arial" w:cs="Arial"/>
          <w:color w:val="000000" w:themeColor="text1"/>
          <w:sz w:val="24"/>
          <w:szCs w:val="24"/>
        </w:rPr>
        <w:t xml:space="preserve"> et al, 2009, p. 1359). It is well established that certain mental health issues are common among those who perform criminal or deviant acts, suggesting that perhaps there is a correlation between the two (</w:t>
      </w:r>
      <w:proofErr w:type="spellStart"/>
      <w:r w:rsidRPr="003419B4">
        <w:rPr>
          <w:rFonts w:ascii="Arial" w:hAnsi="Arial" w:cs="Arial"/>
          <w:color w:val="000000" w:themeColor="text1"/>
          <w:sz w:val="24"/>
          <w:szCs w:val="24"/>
        </w:rPr>
        <w:t>Langstrom</w:t>
      </w:r>
      <w:proofErr w:type="spellEnd"/>
      <w:r w:rsidRPr="003419B4">
        <w:rPr>
          <w:rFonts w:ascii="Arial" w:hAnsi="Arial" w:cs="Arial"/>
          <w:color w:val="000000" w:themeColor="text1"/>
          <w:sz w:val="24"/>
          <w:szCs w:val="24"/>
        </w:rPr>
        <w:t xml:space="preserve"> et al, 2009, p. 1359).</w:t>
      </w:r>
    </w:p>
    <w:p w14:paraId="1E9980C5" w14:textId="77777777" w:rsidR="00EC1C75" w:rsidRPr="003419B4" w:rsidRDefault="00EC1C75" w:rsidP="00EC1C75">
      <w:pPr>
        <w:spacing w:line="480" w:lineRule="auto"/>
        <w:rPr>
          <w:rFonts w:ascii="Arial" w:hAnsi="Arial" w:cs="Arial"/>
          <w:color w:val="000000" w:themeColor="text1"/>
          <w:sz w:val="24"/>
          <w:szCs w:val="24"/>
        </w:rPr>
      </w:pPr>
      <w:r w:rsidRPr="003419B4">
        <w:rPr>
          <w:rFonts w:ascii="Arial" w:hAnsi="Arial" w:cs="Arial"/>
          <w:color w:val="000000" w:themeColor="text1"/>
          <w:sz w:val="24"/>
          <w:szCs w:val="24"/>
        </w:rPr>
        <w:lastRenderedPageBreak/>
        <w:t xml:space="preserve">It is impossible to give a definitive absolute answer to the dichotomous question of nature or nurture. Most biological only criminological theories have, however been long since abandoned and at looked with distain since, and rightly so. Not only for the weaknesses of the theories theoretical basis, but what some of these theories have been used to justify. Sociological perspectives have dominated for the last century and many of the theory established, provide sound reasons for what may be the cause of crime. While biosocial is still in its adolescence and as any adolescent does, has some issue with constructing its own identity without being dismissive of its parent’s quality, it can provide interesting analysis that is based on sound biology, not the biology of Lombroso and Sheldon. However, no serious socio-criminologist doubts there is at least some biological power behind the cause of crime, but little is done in research, perhaps in fear of what biological criminology was once used for (Beaver et al, 2015, p.1). To say whether nature or nurture is the answer is impossible, but what can be said is that most biological only theories have been dismissed by experts, sociological explanations have been embraced by experts and continue to dominate, to such an extent that the most prominent journal in the field has not published an article with a gene analysis, and the biosocial aspect perhaps shows promise, but  needs to at least first grow up, and out of its parents shadow. </w:t>
      </w:r>
    </w:p>
    <w:p w14:paraId="01EDBC0B" w14:textId="77777777" w:rsidR="00EC1C75" w:rsidRPr="003419B4" w:rsidRDefault="00EC1C75" w:rsidP="00EC1C75">
      <w:pPr>
        <w:spacing w:line="480" w:lineRule="auto"/>
        <w:rPr>
          <w:rFonts w:ascii="Arial" w:hAnsi="Arial" w:cs="Arial"/>
          <w:color w:val="000000" w:themeColor="text1"/>
          <w:sz w:val="24"/>
          <w:szCs w:val="24"/>
        </w:rPr>
      </w:pPr>
    </w:p>
    <w:p w14:paraId="1853A77F" w14:textId="77777777" w:rsidR="00EC1C75" w:rsidRPr="00EC1C75" w:rsidRDefault="00EC1C75" w:rsidP="00EC1C75">
      <w:pPr>
        <w:spacing w:line="480" w:lineRule="auto"/>
        <w:rPr>
          <w:rFonts w:ascii="Arial" w:hAnsi="Arial" w:cs="Arial"/>
          <w:sz w:val="24"/>
          <w:szCs w:val="24"/>
        </w:rPr>
      </w:pPr>
    </w:p>
    <w:p w14:paraId="108AF18E" w14:textId="7AD93F95" w:rsidR="00EC1C75" w:rsidRPr="00EC1C75" w:rsidRDefault="00EC1C75" w:rsidP="00EC1C75">
      <w:pPr>
        <w:spacing w:line="480" w:lineRule="auto"/>
        <w:rPr>
          <w:rFonts w:ascii="Arial" w:hAnsi="Arial" w:cs="Arial"/>
          <w:sz w:val="24"/>
          <w:szCs w:val="24"/>
        </w:rPr>
      </w:pPr>
    </w:p>
    <w:p w14:paraId="7B69287E" w14:textId="0C43633C" w:rsidR="00EC1C75" w:rsidRPr="00EC1C75" w:rsidRDefault="00EC1C75" w:rsidP="00EC1C75">
      <w:pPr>
        <w:spacing w:line="480" w:lineRule="auto"/>
        <w:rPr>
          <w:rFonts w:ascii="Arial" w:hAnsi="Arial" w:cs="Arial"/>
          <w:sz w:val="24"/>
          <w:szCs w:val="24"/>
        </w:rPr>
      </w:pPr>
    </w:p>
    <w:p w14:paraId="1042B936" w14:textId="7526A077" w:rsidR="00EC1C75" w:rsidRPr="00EC1C75" w:rsidRDefault="00EC1C75" w:rsidP="00EC1C75">
      <w:pPr>
        <w:pStyle w:val="Heading1"/>
        <w:spacing w:line="480" w:lineRule="auto"/>
        <w:rPr>
          <w:rFonts w:ascii="Arial" w:hAnsi="Arial" w:cs="Arial"/>
          <w:sz w:val="24"/>
          <w:szCs w:val="24"/>
        </w:rPr>
      </w:pPr>
      <w:r w:rsidRPr="00EC1C75">
        <w:rPr>
          <w:rFonts w:ascii="Arial" w:hAnsi="Arial" w:cs="Arial"/>
          <w:sz w:val="24"/>
          <w:szCs w:val="24"/>
        </w:rPr>
        <w:t xml:space="preserve">References. </w:t>
      </w:r>
    </w:p>
    <w:p w14:paraId="1D5028CE" w14:textId="77777777" w:rsidR="000A7DEA" w:rsidRPr="00EC1C75" w:rsidRDefault="000A7DEA" w:rsidP="003419B4">
      <w:pPr>
        <w:spacing w:line="480" w:lineRule="auto"/>
        <w:ind w:left="720"/>
        <w:contextualSpacing/>
        <w:rPr>
          <w:rFonts w:ascii="Arial" w:hAnsi="Arial" w:cs="Arial"/>
          <w:i/>
          <w:iCs/>
          <w:sz w:val="24"/>
          <w:szCs w:val="24"/>
        </w:rPr>
      </w:pPr>
    </w:p>
    <w:p w14:paraId="273A3969" w14:textId="77777777" w:rsidR="000A7DEA" w:rsidRPr="00EC1C75" w:rsidRDefault="000A7DEA" w:rsidP="00EC1C75">
      <w:pPr>
        <w:spacing w:line="480" w:lineRule="auto"/>
        <w:rPr>
          <w:rFonts w:ascii="Arial" w:hAnsi="Arial" w:cs="Arial"/>
          <w:sz w:val="24"/>
          <w:szCs w:val="24"/>
        </w:rPr>
      </w:pPr>
    </w:p>
    <w:p w14:paraId="7FB92B0F" w14:textId="77777777" w:rsidR="000A7DEA" w:rsidRPr="00EC1C75" w:rsidRDefault="000A7DEA" w:rsidP="00EC1C75">
      <w:pPr>
        <w:numPr>
          <w:ilvl w:val="0"/>
          <w:numId w:val="2"/>
        </w:numPr>
        <w:spacing w:line="480" w:lineRule="auto"/>
        <w:contextualSpacing/>
        <w:rPr>
          <w:rFonts w:ascii="Arial" w:hAnsi="Arial" w:cs="Arial"/>
          <w:i/>
          <w:iCs/>
          <w:sz w:val="24"/>
          <w:szCs w:val="24"/>
        </w:rPr>
      </w:pPr>
      <w:r w:rsidRPr="00EC1C75">
        <w:rPr>
          <w:rFonts w:ascii="Arial" w:hAnsi="Arial" w:cs="Arial"/>
          <w:sz w:val="24"/>
          <w:szCs w:val="24"/>
        </w:rPr>
        <w:t xml:space="preserve">Akers, R., and Jennings, W. (2016). ‘Social Learning Theory’, in Piquero, A. </w:t>
      </w:r>
      <w:r w:rsidRPr="00EC1C75">
        <w:rPr>
          <w:rFonts w:ascii="Arial" w:hAnsi="Arial" w:cs="Arial"/>
          <w:i/>
          <w:iCs/>
          <w:sz w:val="24"/>
          <w:szCs w:val="24"/>
        </w:rPr>
        <w:t xml:space="preserve">The Handbook of Criminological Theory. </w:t>
      </w:r>
      <w:r w:rsidRPr="00EC1C75">
        <w:rPr>
          <w:rFonts w:ascii="Arial" w:hAnsi="Arial" w:cs="Arial"/>
          <w:sz w:val="24"/>
          <w:szCs w:val="24"/>
        </w:rPr>
        <w:t>Chichester: John Wiley and Sons.</w:t>
      </w:r>
    </w:p>
    <w:p w14:paraId="7DB5EE4F" w14:textId="77777777" w:rsidR="000A7DEA" w:rsidRPr="00EC1C75" w:rsidRDefault="000A7DEA" w:rsidP="00EC1C75">
      <w:pPr>
        <w:numPr>
          <w:ilvl w:val="0"/>
          <w:numId w:val="2"/>
        </w:numPr>
        <w:spacing w:line="480" w:lineRule="auto"/>
        <w:contextualSpacing/>
        <w:rPr>
          <w:rFonts w:ascii="Arial" w:hAnsi="Arial" w:cs="Arial"/>
          <w:color w:val="000000" w:themeColor="text1"/>
          <w:sz w:val="24"/>
          <w:szCs w:val="24"/>
        </w:rPr>
      </w:pPr>
      <w:r w:rsidRPr="00EC1C75">
        <w:rPr>
          <w:rFonts w:ascii="Arial" w:hAnsi="Arial" w:cs="Arial"/>
          <w:color w:val="000000"/>
          <w:sz w:val="24"/>
          <w:szCs w:val="24"/>
          <w:shd w:val="clear" w:color="auto" w:fill="FFFFFF"/>
        </w:rPr>
        <w:t xml:space="preserve">Beaver, K., Barnes, J. and Boutwell, B. (2015). </w:t>
      </w:r>
      <w:r w:rsidRPr="00EC1C75">
        <w:rPr>
          <w:rFonts w:ascii="Arial" w:hAnsi="Arial" w:cs="Arial"/>
          <w:i/>
          <w:iCs/>
          <w:color w:val="000000"/>
          <w:sz w:val="24"/>
          <w:szCs w:val="24"/>
          <w:shd w:val="clear" w:color="auto" w:fill="FFFFFF"/>
        </w:rPr>
        <w:t xml:space="preserve">The Nurture Versus Biosocial Debate in Criminology: On the Origins of Criminal </w:t>
      </w:r>
      <w:proofErr w:type="spellStart"/>
      <w:r w:rsidRPr="00EC1C75">
        <w:rPr>
          <w:rFonts w:ascii="Arial" w:hAnsi="Arial" w:cs="Arial"/>
          <w:i/>
          <w:iCs/>
          <w:color w:val="000000"/>
          <w:sz w:val="24"/>
          <w:szCs w:val="24"/>
          <w:shd w:val="clear" w:color="auto" w:fill="FFFFFF"/>
        </w:rPr>
        <w:t>Behavior</w:t>
      </w:r>
      <w:proofErr w:type="spellEnd"/>
      <w:r w:rsidRPr="00EC1C75">
        <w:rPr>
          <w:rFonts w:ascii="Arial" w:hAnsi="Arial" w:cs="Arial"/>
          <w:i/>
          <w:iCs/>
          <w:color w:val="000000"/>
          <w:sz w:val="24"/>
          <w:szCs w:val="24"/>
          <w:shd w:val="clear" w:color="auto" w:fill="FFFFFF"/>
        </w:rPr>
        <w:t xml:space="preserve"> and Criminality</w:t>
      </w:r>
      <w:r w:rsidRPr="00EC1C75">
        <w:rPr>
          <w:rFonts w:ascii="Arial" w:hAnsi="Arial" w:cs="Arial"/>
          <w:color w:val="000000"/>
          <w:sz w:val="24"/>
          <w:szCs w:val="24"/>
          <w:shd w:val="clear" w:color="auto" w:fill="FFFFFF"/>
        </w:rPr>
        <w:t xml:space="preserve">. Thousand Oaks: SAGE </w:t>
      </w:r>
      <w:r w:rsidRPr="00EC1C75">
        <w:rPr>
          <w:rFonts w:ascii="Arial" w:hAnsi="Arial" w:cs="Arial"/>
          <w:color w:val="000000" w:themeColor="text1"/>
          <w:sz w:val="24"/>
          <w:szCs w:val="24"/>
          <w:shd w:val="clear" w:color="auto" w:fill="FFFFFF"/>
        </w:rPr>
        <w:t>PUBLICATIONS.</w:t>
      </w:r>
    </w:p>
    <w:p w14:paraId="47844350" w14:textId="77777777" w:rsidR="000A7DEA" w:rsidRPr="00EC1C75" w:rsidRDefault="000A7DEA" w:rsidP="00EC1C75">
      <w:pPr>
        <w:numPr>
          <w:ilvl w:val="0"/>
          <w:numId w:val="2"/>
        </w:numPr>
        <w:spacing w:before="240" w:line="480" w:lineRule="auto"/>
        <w:contextualSpacing/>
        <w:rPr>
          <w:rFonts w:ascii="Arial" w:hAnsi="Arial" w:cs="Arial"/>
          <w:sz w:val="24"/>
          <w:szCs w:val="24"/>
        </w:rPr>
      </w:pPr>
      <w:r w:rsidRPr="00EC1C75">
        <w:rPr>
          <w:rFonts w:ascii="Arial" w:hAnsi="Arial" w:cs="Arial"/>
          <w:sz w:val="24"/>
          <w:szCs w:val="24"/>
        </w:rPr>
        <w:t xml:space="preserve">Beaver, K., </w:t>
      </w:r>
      <w:proofErr w:type="spellStart"/>
      <w:r w:rsidRPr="00EC1C75">
        <w:rPr>
          <w:rFonts w:ascii="Arial" w:hAnsi="Arial" w:cs="Arial"/>
          <w:sz w:val="24"/>
          <w:szCs w:val="24"/>
        </w:rPr>
        <w:t>Nedelec</w:t>
      </w:r>
      <w:proofErr w:type="spellEnd"/>
      <w:r w:rsidRPr="00EC1C75">
        <w:rPr>
          <w:rFonts w:ascii="Arial" w:hAnsi="Arial" w:cs="Arial"/>
          <w:sz w:val="24"/>
          <w:szCs w:val="24"/>
        </w:rPr>
        <w:t xml:space="preserve">, J., da Silva Costa, C. and Vidal, M., (2015). ‘The future of biosocial criminology’. </w:t>
      </w:r>
      <w:r w:rsidRPr="00EC1C75">
        <w:rPr>
          <w:rFonts w:ascii="Arial" w:hAnsi="Arial" w:cs="Arial"/>
          <w:i/>
          <w:iCs/>
          <w:sz w:val="24"/>
          <w:szCs w:val="24"/>
        </w:rPr>
        <w:t>Criminal Justice Studies</w:t>
      </w:r>
      <w:r w:rsidRPr="00EC1C75">
        <w:rPr>
          <w:rFonts w:ascii="Arial" w:hAnsi="Arial" w:cs="Arial"/>
          <w:sz w:val="24"/>
          <w:szCs w:val="24"/>
        </w:rPr>
        <w:t>, 28(1), pp.6-17.</w:t>
      </w:r>
    </w:p>
    <w:p w14:paraId="38171C38"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sz w:val="24"/>
          <w:szCs w:val="24"/>
        </w:rPr>
        <w:t xml:space="preserve">Becker, S. (1998). ‘Outsiders’, in Williams, F., and McShane, M. Criminology Theory: Selected Classic Readings. New York: Routledge. </w:t>
      </w:r>
    </w:p>
    <w:p w14:paraId="69A2671C"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sz w:val="24"/>
          <w:szCs w:val="24"/>
        </w:rPr>
        <w:t>Burgess, P. (1972). ‘</w:t>
      </w:r>
      <w:r w:rsidRPr="00EC1C75">
        <w:rPr>
          <w:rFonts w:ascii="Arial" w:hAnsi="Arial" w:cs="Arial"/>
          <w:color w:val="000000"/>
          <w:spacing w:val="-4"/>
          <w:sz w:val="24"/>
          <w:szCs w:val="24"/>
        </w:rPr>
        <w:t>EYSENCK'S THEORY OF CRIMINALITY: A NEW APPROACH’. The British Journal of Criminology, 12(1), pp. 74 – 82.</w:t>
      </w:r>
    </w:p>
    <w:p w14:paraId="165A840D" w14:textId="77777777" w:rsidR="000A7DEA" w:rsidRPr="003419B4" w:rsidRDefault="000A7DEA" w:rsidP="003419B4">
      <w:pPr>
        <w:numPr>
          <w:ilvl w:val="0"/>
          <w:numId w:val="2"/>
        </w:numPr>
        <w:spacing w:line="480" w:lineRule="auto"/>
        <w:contextualSpacing/>
        <w:rPr>
          <w:rFonts w:ascii="Arial" w:hAnsi="Arial" w:cs="Arial"/>
          <w:sz w:val="24"/>
          <w:szCs w:val="24"/>
        </w:rPr>
      </w:pPr>
      <w:r w:rsidRPr="003419B4">
        <w:rPr>
          <w:rFonts w:ascii="Arial" w:hAnsi="Arial" w:cs="Arial"/>
          <w:i/>
          <w:iCs/>
          <w:sz w:val="24"/>
          <w:szCs w:val="24"/>
        </w:rPr>
        <w:t xml:space="preserve">Carrier, C., and </w:t>
      </w:r>
      <w:proofErr w:type="spellStart"/>
      <w:r w:rsidRPr="003419B4">
        <w:rPr>
          <w:rFonts w:ascii="Arial" w:hAnsi="Arial" w:cs="Arial"/>
          <w:i/>
          <w:iCs/>
          <w:sz w:val="24"/>
          <w:szCs w:val="24"/>
        </w:rPr>
        <w:t>Walby</w:t>
      </w:r>
      <w:proofErr w:type="spellEnd"/>
      <w:r w:rsidRPr="003419B4">
        <w:rPr>
          <w:rFonts w:ascii="Arial" w:hAnsi="Arial" w:cs="Arial"/>
          <w:i/>
          <w:iCs/>
          <w:sz w:val="24"/>
          <w:szCs w:val="24"/>
        </w:rPr>
        <w:t>, K. (2015a)’</w:t>
      </w:r>
      <w:r w:rsidRPr="003419B4">
        <w:rPr>
          <w:rFonts w:ascii="Arial" w:hAnsi="Arial" w:cs="Arial"/>
          <w:sz w:val="24"/>
          <w:szCs w:val="24"/>
        </w:rPr>
        <w:t xml:space="preserve">For Sociological Reason: </w:t>
      </w:r>
    </w:p>
    <w:p w14:paraId="2988A943" w14:textId="77777777" w:rsidR="000A7DEA" w:rsidRPr="003419B4" w:rsidRDefault="000A7DEA" w:rsidP="00EC1C75">
      <w:pPr>
        <w:numPr>
          <w:ilvl w:val="0"/>
          <w:numId w:val="2"/>
        </w:numPr>
        <w:spacing w:line="480" w:lineRule="auto"/>
        <w:contextualSpacing/>
        <w:rPr>
          <w:rFonts w:ascii="Arial" w:hAnsi="Arial" w:cs="Arial"/>
          <w:i/>
          <w:iCs/>
          <w:sz w:val="24"/>
          <w:szCs w:val="24"/>
        </w:rPr>
      </w:pPr>
      <w:r w:rsidRPr="003419B4">
        <w:rPr>
          <w:rFonts w:ascii="Arial" w:hAnsi="Arial" w:cs="Arial"/>
          <w:sz w:val="24"/>
          <w:szCs w:val="24"/>
        </w:rPr>
        <w:t xml:space="preserve">Carrier, C., and </w:t>
      </w:r>
      <w:proofErr w:type="spellStart"/>
      <w:r w:rsidRPr="003419B4">
        <w:rPr>
          <w:rFonts w:ascii="Arial" w:hAnsi="Arial" w:cs="Arial"/>
          <w:sz w:val="24"/>
          <w:szCs w:val="24"/>
        </w:rPr>
        <w:t>Walby</w:t>
      </w:r>
      <w:proofErr w:type="spellEnd"/>
      <w:r w:rsidRPr="003419B4">
        <w:rPr>
          <w:rFonts w:ascii="Arial" w:hAnsi="Arial" w:cs="Arial"/>
          <w:sz w:val="24"/>
          <w:szCs w:val="24"/>
        </w:rPr>
        <w:t xml:space="preserve">, K. (2015b). ‘Is Biosocial Criminology a Predisposition not to Learn from the Social Sciences?’. </w:t>
      </w:r>
      <w:r w:rsidRPr="003419B4">
        <w:rPr>
          <w:rFonts w:ascii="Arial" w:hAnsi="Arial" w:cs="Arial"/>
          <w:i/>
          <w:iCs/>
          <w:sz w:val="24"/>
          <w:szCs w:val="24"/>
        </w:rPr>
        <w:t>Journal of Theoretical and Philosophical</w:t>
      </w:r>
      <w:r>
        <w:rPr>
          <w:rFonts w:ascii="Arial" w:hAnsi="Arial" w:cs="Arial"/>
          <w:i/>
          <w:iCs/>
          <w:sz w:val="24"/>
          <w:szCs w:val="24"/>
        </w:rPr>
        <w:t xml:space="preserve"> Criminology</w:t>
      </w:r>
      <w:r w:rsidRPr="003419B4">
        <w:rPr>
          <w:rFonts w:ascii="Arial" w:hAnsi="Arial" w:cs="Arial"/>
          <w:i/>
          <w:iCs/>
          <w:sz w:val="24"/>
          <w:szCs w:val="24"/>
        </w:rPr>
        <w:t xml:space="preserve">, </w:t>
      </w:r>
      <w:r w:rsidRPr="003419B4">
        <w:rPr>
          <w:rFonts w:ascii="Arial" w:hAnsi="Arial" w:cs="Arial"/>
          <w:sz w:val="24"/>
          <w:szCs w:val="24"/>
        </w:rPr>
        <w:t>7, pp. 97 – 109.</w:t>
      </w:r>
      <w:r w:rsidRPr="003419B4">
        <w:rPr>
          <w:rFonts w:ascii="Arial" w:hAnsi="Arial" w:cs="Arial"/>
          <w:i/>
          <w:iCs/>
          <w:sz w:val="24"/>
          <w:szCs w:val="24"/>
        </w:rPr>
        <w:t xml:space="preserve"> </w:t>
      </w:r>
    </w:p>
    <w:p w14:paraId="7AD22E34" w14:textId="77777777" w:rsidR="000A7DEA" w:rsidRPr="003419B4" w:rsidRDefault="000A7DEA" w:rsidP="003419B4">
      <w:pPr>
        <w:numPr>
          <w:ilvl w:val="0"/>
          <w:numId w:val="2"/>
        </w:numPr>
        <w:spacing w:line="480" w:lineRule="auto"/>
        <w:contextualSpacing/>
        <w:rPr>
          <w:rFonts w:ascii="Arial" w:hAnsi="Arial" w:cs="Arial"/>
          <w:sz w:val="24"/>
          <w:szCs w:val="24"/>
        </w:rPr>
      </w:pPr>
      <w:r w:rsidRPr="003419B4">
        <w:rPr>
          <w:rFonts w:ascii="Arial" w:hAnsi="Arial" w:cs="Arial"/>
          <w:sz w:val="24"/>
          <w:szCs w:val="24"/>
        </w:rPr>
        <w:t>Crime, Criminalization, and the Poverty of Biosocial Criminology’</w:t>
      </w:r>
      <w:r>
        <w:rPr>
          <w:rFonts w:ascii="Arial" w:hAnsi="Arial" w:cs="Arial"/>
          <w:sz w:val="24"/>
          <w:szCs w:val="24"/>
        </w:rPr>
        <w:t xml:space="preserve">. </w:t>
      </w:r>
      <w:r w:rsidRPr="003419B4">
        <w:rPr>
          <w:rFonts w:ascii="Arial" w:hAnsi="Arial" w:cs="Arial"/>
          <w:i/>
          <w:iCs/>
          <w:sz w:val="24"/>
          <w:szCs w:val="24"/>
        </w:rPr>
        <w:t>Journal of Theoretical and Philosophical Criminology,</w:t>
      </w:r>
      <w:r>
        <w:rPr>
          <w:rFonts w:ascii="Arial" w:hAnsi="Arial" w:cs="Arial"/>
          <w:i/>
          <w:iCs/>
          <w:sz w:val="24"/>
          <w:szCs w:val="24"/>
        </w:rPr>
        <w:t>7(1), pp. 73 – 82.</w:t>
      </w:r>
    </w:p>
    <w:p w14:paraId="6C4369F0" w14:textId="77777777" w:rsidR="000A7DEA" w:rsidRPr="00EC1C75" w:rsidRDefault="000A7DEA" w:rsidP="00EC1C75">
      <w:pPr>
        <w:numPr>
          <w:ilvl w:val="0"/>
          <w:numId w:val="2"/>
        </w:numPr>
        <w:spacing w:line="480" w:lineRule="auto"/>
        <w:contextualSpacing/>
        <w:rPr>
          <w:rFonts w:ascii="Arial" w:hAnsi="Arial" w:cs="Arial"/>
          <w:sz w:val="24"/>
          <w:szCs w:val="24"/>
        </w:rPr>
      </w:pPr>
      <w:proofErr w:type="spellStart"/>
      <w:r w:rsidRPr="00EC1C75">
        <w:rPr>
          <w:rFonts w:ascii="Arial" w:hAnsi="Arial" w:cs="Arial"/>
          <w:sz w:val="24"/>
          <w:szCs w:val="24"/>
        </w:rPr>
        <w:t>Curra</w:t>
      </w:r>
      <w:proofErr w:type="spellEnd"/>
      <w:r w:rsidRPr="00EC1C75">
        <w:rPr>
          <w:rFonts w:ascii="Arial" w:hAnsi="Arial" w:cs="Arial"/>
          <w:sz w:val="24"/>
          <w:szCs w:val="24"/>
        </w:rPr>
        <w:t xml:space="preserve">, J. (2015) ‘Changing Definitions of Deviance’, in Goode, E. </w:t>
      </w:r>
      <w:r w:rsidRPr="00EC1C75">
        <w:rPr>
          <w:rFonts w:ascii="Arial" w:hAnsi="Arial" w:cs="Arial"/>
          <w:i/>
          <w:iCs/>
          <w:sz w:val="24"/>
          <w:szCs w:val="24"/>
        </w:rPr>
        <w:t>The Handbook of Deviance.</w:t>
      </w:r>
      <w:r w:rsidRPr="00EC1C75">
        <w:rPr>
          <w:rFonts w:ascii="Arial" w:hAnsi="Arial" w:cs="Arial"/>
          <w:sz w:val="24"/>
          <w:szCs w:val="24"/>
        </w:rPr>
        <w:t xml:space="preserve"> Oxford: Wiley. </w:t>
      </w:r>
    </w:p>
    <w:p w14:paraId="71440F80" w14:textId="77777777" w:rsidR="000A7DEA" w:rsidRPr="00EC1C75" w:rsidRDefault="000A7DEA" w:rsidP="00EC1C75">
      <w:pPr>
        <w:numPr>
          <w:ilvl w:val="0"/>
          <w:numId w:val="2"/>
        </w:numPr>
        <w:spacing w:before="240" w:line="480" w:lineRule="auto"/>
        <w:contextualSpacing/>
        <w:rPr>
          <w:rFonts w:ascii="Arial" w:hAnsi="Arial" w:cs="Arial"/>
          <w:sz w:val="24"/>
          <w:szCs w:val="24"/>
        </w:rPr>
      </w:pPr>
      <w:r w:rsidRPr="00EC1C75">
        <w:rPr>
          <w:rFonts w:ascii="Arial" w:hAnsi="Arial" w:cs="Arial"/>
          <w:sz w:val="24"/>
          <w:szCs w:val="24"/>
        </w:rPr>
        <w:t>Ellwood, C. (1912). ‘Lombroso’s Theory of Crime’</w:t>
      </w:r>
      <w:r w:rsidRPr="00EC1C75">
        <w:rPr>
          <w:rFonts w:ascii="Arial" w:hAnsi="Arial" w:cs="Arial"/>
          <w:i/>
          <w:iCs/>
          <w:sz w:val="24"/>
          <w:szCs w:val="24"/>
        </w:rPr>
        <w:t>. Journal of the American Institute of Criminal Law and Criminology</w:t>
      </w:r>
      <w:r w:rsidRPr="00EC1C75">
        <w:rPr>
          <w:rFonts w:ascii="Arial" w:hAnsi="Arial" w:cs="Arial"/>
          <w:sz w:val="24"/>
          <w:szCs w:val="24"/>
        </w:rPr>
        <w:t xml:space="preserve">, 2(5), pp. 716 – 723. </w:t>
      </w:r>
    </w:p>
    <w:p w14:paraId="5B139051"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sz w:val="24"/>
          <w:szCs w:val="24"/>
        </w:rPr>
        <w:t xml:space="preserve">Guo, G., </w:t>
      </w:r>
      <w:proofErr w:type="spellStart"/>
      <w:r w:rsidRPr="00EC1C75">
        <w:rPr>
          <w:rFonts w:ascii="Arial" w:hAnsi="Arial" w:cs="Arial"/>
          <w:sz w:val="24"/>
          <w:szCs w:val="24"/>
        </w:rPr>
        <w:t>Roettger</w:t>
      </w:r>
      <w:proofErr w:type="spellEnd"/>
      <w:r w:rsidRPr="00EC1C75">
        <w:rPr>
          <w:rFonts w:ascii="Arial" w:hAnsi="Arial" w:cs="Arial"/>
          <w:sz w:val="24"/>
          <w:szCs w:val="24"/>
        </w:rPr>
        <w:t>, M., and Cai, T. (2008). ‘The Integration of Genetic Propensities into Social-Control Models of Delinquency and Violence among Male Youths’.</w:t>
      </w:r>
      <w:r w:rsidRPr="00EC1C75">
        <w:rPr>
          <w:rFonts w:ascii="Arial" w:hAnsi="Arial" w:cs="Arial"/>
          <w:i/>
          <w:iCs/>
          <w:sz w:val="24"/>
          <w:szCs w:val="24"/>
        </w:rPr>
        <w:t xml:space="preserve"> American Sociological Review, </w:t>
      </w:r>
      <w:r w:rsidRPr="00EC1C75">
        <w:rPr>
          <w:rFonts w:ascii="Arial" w:hAnsi="Arial" w:cs="Arial"/>
          <w:sz w:val="24"/>
          <w:szCs w:val="24"/>
        </w:rPr>
        <w:t>73(4), pp. 543 – 568.</w:t>
      </w:r>
    </w:p>
    <w:p w14:paraId="18946625" w14:textId="77777777" w:rsidR="000A7DEA" w:rsidRPr="00EC1C75" w:rsidRDefault="000A7DEA" w:rsidP="00EC1C75">
      <w:pPr>
        <w:keepNext/>
        <w:keepLines/>
        <w:numPr>
          <w:ilvl w:val="0"/>
          <w:numId w:val="2"/>
        </w:numPr>
        <w:shd w:val="clear" w:color="auto" w:fill="FFFFFF"/>
        <w:spacing w:after="270" w:line="480" w:lineRule="auto"/>
        <w:outlineLvl w:val="0"/>
        <w:rPr>
          <w:rFonts w:ascii="Arial" w:eastAsia="Times New Roman" w:hAnsi="Arial" w:cs="Arial"/>
          <w:color w:val="000000" w:themeColor="text1"/>
          <w:kern w:val="36"/>
          <w:sz w:val="24"/>
          <w:szCs w:val="24"/>
        </w:rPr>
      </w:pPr>
      <w:r w:rsidRPr="00EC1C75">
        <w:rPr>
          <w:rFonts w:ascii="Arial" w:eastAsiaTheme="majorEastAsia" w:hAnsi="Arial" w:cs="Arial"/>
          <w:color w:val="000000" w:themeColor="text1"/>
          <w:sz w:val="24"/>
          <w:szCs w:val="24"/>
        </w:rPr>
        <w:lastRenderedPageBreak/>
        <w:t>Hatton, B. (2022). ‘</w:t>
      </w:r>
      <w:proofErr w:type="spellStart"/>
      <w:r w:rsidRPr="00EC1C75">
        <w:rPr>
          <w:rFonts w:ascii="Arial" w:eastAsia="Times New Roman" w:hAnsi="Arial" w:cs="Arial"/>
          <w:color w:val="000000" w:themeColor="text1"/>
          <w:kern w:val="36"/>
          <w:sz w:val="24"/>
          <w:szCs w:val="24"/>
        </w:rPr>
        <w:t>Starmer</w:t>
      </w:r>
      <w:proofErr w:type="spellEnd"/>
      <w:r w:rsidRPr="00EC1C75">
        <w:rPr>
          <w:rFonts w:ascii="Arial" w:eastAsia="Times New Roman" w:hAnsi="Arial" w:cs="Arial"/>
          <w:color w:val="000000" w:themeColor="text1"/>
          <w:kern w:val="36"/>
          <w:sz w:val="24"/>
          <w:szCs w:val="24"/>
        </w:rPr>
        <w:t xml:space="preserve"> against changing drug laws as London considers reducing cannabis arrests’, Independent, 4</w:t>
      </w:r>
      <w:r w:rsidRPr="00EC1C75">
        <w:rPr>
          <w:rFonts w:ascii="Arial" w:eastAsia="Times New Roman" w:hAnsi="Arial" w:cs="Arial"/>
          <w:color w:val="000000" w:themeColor="text1"/>
          <w:kern w:val="36"/>
          <w:sz w:val="24"/>
          <w:szCs w:val="24"/>
          <w:vertAlign w:val="superscript"/>
        </w:rPr>
        <w:t>th</w:t>
      </w:r>
      <w:r w:rsidRPr="00EC1C75">
        <w:rPr>
          <w:rFonts w:ascii="Arial" w:eastAsia="Times New Roman" w:hAnsi="Arial" w:cs="Arial"/>
          <w:color w:val="000000" w:themeColor="text1"/>
          <w:kern w:val="36"/>
          <w:sz w:val="24"/>
          <w:szCs w:val="24"/>
        </w:rPr>
        <w:t xml:space="preserve"> January, available at:</w:t>
      </w:r>
      <w:r w:rsidRPr="00EC1C75">
        <w:rPr>
          <w:rFonts w:ascii="Arial" w:eastAsiaTheme="majorEastAsia" w:hAnsi="Arial" w:cs="Arial"/>
          <w:color w:val="000000" w:themeColor="text1"/>
          <w:sz w:val="24"/>
          <w:szCs w:val="24"/>
        </w:rPr>
        <w:t xml:space="preserve"> </w:t>
      </w:r>
      <w:r w:rsidRPr="00EC1C75">
        <w:rPr>
          <w:rFonts w:ascii="Arial" w:eastAsia="Times New Roman" w:hAnsi="Arial" w:cs="Arial"/>
          <w:color w:val="000000" w:themeColor="text1"/>
          <w:kern w:val="36"/>
          <w:sz w:val="24"/>
          <w:szCs w:val="24"/>
        </w:rPr>
        <w:t>https://www.independent.co.uk/news/uk/sadiq-khan-london-mayor-labour-greenwich-b1986492.html (Accessed: 6</w:t>
      </w:r>
      <w:r w:rsidRPr="00EC1C75">
        <w:rPr>
          <w:rFonts w:ascii="Arial" w:eastAsia="Times New Roman" w:hAnsi="Arial" w:cs="Arial"/>
          <w:color w:val="000000" w:themeColor="text1"/>
          <w:kern w:val="36"/>
          <w:sz w:val="24"/>
          <w:szCs w:val="24"/>
          <w:vertAlign w:val="superscript"/>
        </w:rPr>
        <w:t>th</w:t>
      </w:r>
      <w:r w:rsidRPr="00EC1C75">
        <w:rPr>
          <w:rFonts w:ascii="Arial" w:eastAsia="Times New Roman" w:hAnsi="Arial" w:cs="Arial"/>
          <w:color w:val="000000" w:themeColor="text1"/>
          <w:kern w:val="36"/>
          <w:sz w:val="24"/>
          <w:szCs w:val="24"/>
        </w:rPr>
        <w:t xml:space="preserve"> March 2022)</w:t>
      </w:r>
    </w:p>
    <w:p w14:paraId="101F5071" w14:textId="77777777" w:rsidR="000A7DEA" w:rsidRPr="00EC1C75" w:rsidRDefault="000A7DEA" w:rsidP="00EC1C75">
      <w:pPr>
        <w:keepNext/>
        <w:keepLines/>
        <w:numPr>
          <w:ilvl w:val="0"/>
          <w:numId w:val="2"/>
        </w:numPr>
        <w:shd w:val="clear" w:color="auto" w:fill="FFFFFF"/>
        <w:spacing w:before="120" w:after="120" w:line="480" w:lineRule="auto"/>
        <w:outlineLvl w:val="0"/>
        <w:rPr>
          <w:rFonts w:ascii="Arial" w:eastAsia="Times New Roman" w:hAnsi="Arial" w:cs="Arial"/>
          <w:color w:val="000000" w:themeColor="text1"/>
          <w:kern w:val="36"/>
          <w:sz w:val="24"/>
          <w:szCs w:val="24"/>
        </w:rPr>
      </w:pPr>
      <w:r w:rsidRPr="00EC1C75">
        <w:rPr>
          <w:rFonts w:ascii="Arial" w:eastAsiaTheme="majorEastAsia" w:hAnsi="Arial" w:cs="Arial"/>
          <w:color w:val="000000" w:themeColor="text1"/>
          <w:sz w:val="24"/>
          <w:szCs w:val="24"/>
        </w:rPr>
        <w:t xml:space="preserve">Hirschi, T. (1996). </w:t>
      </w:r>
      <w:r w:rsidRPr="00EC1C75">
        <w:rPr>
          <w:rFonts w:ascii="Arial" w:eastAsia="Times New Roman" w:hAnsi="Arial" w:cs="Arial"/>
          <w:color w:val="000000" w:themeColor="text1"/>
          <w:kern w:val="36"/>
          <w:sz w:val="24"/>
          <w:szCs w:val="24"/>
        </w:rPr>
        <w:t xml:space="preserve">THEORY WITHOUT IDEAS: REPLY TO AKERS. </w:t>
      </w:r>
      <w:r w:rsidRPr="00EC1C75">
        <w:rPr>
          <w:rFonts w:ascii="Arial" w:eastAsia="Times New Roman" w:hAnsi="Arial" w:cs="Arial"/>
          <w:i/>
          <w:iCs/>
          <w:color w:val="000000" w:themeColor="text1"/>
          <w:kern w:val="36"/>
          <w:sz w:val="24"/>
          <w:szCs w:val="24"/>
        </w:rPr>
        <w:t>Criminology</w:t>
      </w:r>
      <w:r w:rsidRPr="00EC1C75">
        <w:rPr>
          <w:rFonts w:ascii="Arial" w:eastAsia="Times New Roman" w:hAnsi="Arial" w:cs="Arial"/>
          <w:color w:val="000000" w:themeColor="text1"/>
          <w:kern w:val="36"/>
          <w:sz w:val="24"/>
          <w:szCs w:val="24"/>
        </w:rPr>
        <w:t xml:space="preserve">, 34(2), pp. 249 – 256. </w:t>
      </w:r>
    </w:p>
    <w:p w14:paraId="1C5DBEF8" w14:textId="77777777" w:rsidR="000A7DEA" w:rsidRPr="00EC1C75" w:rsidRDefault="000A7DEA" w:rsidP="00EC1C75">
      <w:pPr>
        <w:numPr>
          <w:ilvl w:val="0"/>
          <w:numId w:val="2"/>
        </w:numPr>
        <w:spacing w:before="240" w:line="480" w:lineRule="auto"/>
        <w:contextualSpacing/>
        <w:rPr>
          <w:rFonts w:ascii="Arial" w:hAnsi="Arial" w:cs="Arial"/>
          <w:sz w:val="24"/>
          <w:szCs w:val="24"/>
        </w:rPr>
      </w:pPr>
      <w:r w:rsidRPr="00EC1C75">
        <w:rPr>
          <w:rFonts w:ascii="Arial" w:hAnsi="Arial" w:cs="Arial"/>
          <w:sz w:val="24"/>
          <w:szCs w:val="24"/>
        </w:rPr>
        <w:t xml:space="preserve">Hughes, C. (2018). ‘The trajectories of cannabis and tobacco policies in the United States, Uruguay, Canada and Portugal: Is more cross-substance learning possible outside the United States?’. </w:t>
      </w:r>
      <w:r w:rsidRPr="00EC1C75">
        <w:rPr>
          <w:rFonts w:ascii="Arial" w:hAnsi="Arial" w:cs="Arial"/>
          <w:i/>
          <w:iCs/>
          <w:sz w:val="24"/>
          <w:szCs w:val="24"/>
        </w:rPr>
        <w:t>Addiction,</w:t>
      </w:r>
      <w:r w:rsidRPr="00EC1C75">
        <w:rPr>
          <w:rFonts w:ascii="Arial" w:hAnsi="Arial" w:cs="Arial"/>
          <w:sz w:val="24"/>
          <w:szCs w:val="24"/>
        </w:rPr>
        <w:t xml:space="preserve"> 113(4), pp. 603 – 605. </w:t>
      </w:r>
    </w:p>
    <w:p w14:paraId="5373E13F" w14:textId="77777777" w:rsidR="000A7DEA" w:rsidRPr="00EC1C75" w:rsidRDefault="000A7DEA" w:rsidP="00EC1C75">
      <w:pPr>
        <w:numPr>
          <w:ilvl w:val="0"/>
          <w:numId w:val="2"/>
        </w:numPr>
        <w:spacing w:before="240" w:line="480" w:lineRule="auto"/>
        <w:contextualSpacing/>
        <w:rPr>
          <w:rFonts w:ascii="Arial" w:hAnsi="Arial" w:cs="Arial"/>
          <w:sz w:val="24"/>
          <w:szCs w:val="24"/>
        </w:rPr>
      </w:pPr>
      <w:proofErr w:type="spellStart"/>
      <w:r w:rsidRPr="00EC1C75">
        <w:rPr>
          <w:rFonts w:ascii="Arial" w:hAnsi="Arial" w:cs="Arial"/>
          <w:sz w:val="24"/>
          <w:szCs w:val="24"/>
        </w:rPr>
        <w:t>Kubrin</w:t>
      </w:r>
      <w:proofErr w:type="spellEnd"/>
      <w:r w:rsidRPr="00EC1C75">
        <w:rPr>
          <w:rFonts w:ascii="Arial" w:hAnsi="Arial" w:cs="Arial"/>
          <w:sz w:val="24"/>
          <w:szCs w:val="24"/>
        </w:rPr>
        <w:t xml:space="preserve">, C. (2010). ‘Shaw, Clifford R., and Henry D. McKay: Social Disorganization Theory’, in Cullen, F., and Wilcox, P. </w:t>
      </w:r>
      <w:proofErr w:type="spellStart"/>
      <w:r w:rsidRPr="00EC1C75">
        <w:rPr>
          <w:rFonts w:ascii="Arial" w:hAnsi="Arial" w:cs="Arial"/>
          <w:i/>
          <w:iCs/>
          <w:sz w:val="24"/>
          <w:szCs w:val="24"/>
        </w:rPr>
        <w:t>Encyclopedia</w:t>
      </w:r>
      <w:proofErr w:type="spellEnd"/>
      <w:r w:rsidRPr="00EC1C75">
        <w:rPr>
          <w:rFonts w:ascii="Arial" w:hAnsi="Arial" w:cs="Arial"/>
          <w:i/>
          <w:iCs/>
          <w:sz w:val="24"/>
          <w:szCs w:val="24"/>
        </w:rPr>
        <w:t xml:space="preserve"> of Criminological Theory. Thousand Oaks: Routledge. </w:t>
      </w:r>
    </w:p>
    <w:p w14:paraId="1F950DB9" w14:textId="77777777" w:rsidR="000A7DEA" w:rsidRDefault="000A7DEA" w:rsidP="00EC1C75">
      <w:pPr>
        <w:numPr>
          <w:ilvl w:val="0"/>
          <w:numId w:val="2"/>
        </w:numPr>
        <w:spacing w:line="480" w:lineRule="auto"/>
        <w:contextualSpacing/>
        <w:rPr>
          <w:rFonts w:ascii="Arial" w:hAnsi="Arial" w:cs="Arial"/>
          <w:sz w:val="24"/>
          <w:szCs w:val="24"/>
        </w:rPr>
      </w:pPr>
      <w:proofErr w:type="spellStart"/>
      <w:r w:rsidRPr="00EC1C75">
        <w:rPr>
          <w:rFonts w:ascii="Arial" w:hAnsi="Arial" w:cs="Arial"/>
          <w:sz w:val="24"/>
          <w:szCs w:val="24"/>
        </w:rPr>
        <w:t>Långström</w:t>
      </w:r>
      <w:proofErr w:type="spellEnd"/>
      <w:r w:rsidRPr="00EC1C75">
        <w:rPr>
          <w:rFonts w:ascii="Arial" w:hAnsi="Arial" w:cs="Arial"/>
          <w:sz w:val="24"/>
          <w:szCs w:val="24"/>
        </w:rPr>
        <w:t xml:space="preserve">, N., </w:t>
      </w:r>
      <w:proofErr w:type="spellStart"/>
      <w:r w:rsidRPr="00EC1C75">
        <w:rPr>
          <w:rFonts w:ascii="Arial" w:hAnsi="Arial" w:cs="Arial"/>
          <w:sz w:val="24"/>
          <w:szCs w:val="24"/>
        </w:rPr>
        <w:t>Grann</w:t>
      </w:r>
      <w:proofErr w:type="spellEnd"/>
      <w:r w:rsidRPr="00EC1C75">
        <w:rPr>
          <w:rFonts w:ascii="Arial" w:hAnsi="Arial" w:cs="Arial"/>
          <w:sz w:val="24"/>
          <w:szCs w:val="24"/>
        </w:rPr>
        <w:t xml:space="preserve">, M., </w:t>
      </w:r>
      <w:proofErr w:type="spellStart"/>
      <w:r w:rsidRPr="00EC1C75">
        <w:rPr>
          <w:rFonts w:ascii="Arial" w:hAnsi="Arial" w:cs="Arial"/>
          <w:sz w:val="24"/>
          <w:szCs w:val="24"/>
        </w:rPr>
        <w:t>Ruchkin</w:t>
      </w:r>
      <w:proofErr w:type="spellEnd"/>
      <w:r w:rsidRPr="00EC1C75">
        <w:rPr>
          <w:rFonts w:ascii="Arial" w:hAnsi="Arial" w:cs="Arial"/>
          <w:sz w:val="24"/>
          <w:szCs w:val="24"/>
        </w:rPr>
        <w:t xml:space="preserve">, V., </w:t>
      </w:r>
      <w:proofErr w:type="spellStart"/>
      <w:r w:rsidRPr="00EC1C75">
        <w:rPr>
          <w:rFonts w:ascii="Arial" w:hAnsi="Arial" w:cs="Arial"/>
          <w:sz w:val="24"/>
          <w:szCs w:val="24"/>
        </w:rPr>
        <w:t>Sjöstedt</w:t>
      </w:r>
      <w:proofErr w:type="spellEnd"/>
      <w:r w:rsidRPr="00EC1C75">
        <w:rPr>
          <w:rFonts w:ascii="Arial" w:hAnsi="Arial" w:cs="Arial"/>
          <w:sz w:val="24"/>
          <w:szCs w:val="24"/>
        </w:rPr>
        <w:t xml:space="preserve">, G. and Fazel, S. (2008). ‘Risk Factors for Violent Offending in Autism Spectrum Disorder’. </w:t>
      </w:r>
      <w:r w:rsidRPr="00EC1C75">
        <w:rPr>
          <w:rFonts w:ascii="Arial" w:hAnsi="Arial" w:cs="Arial"/>
          <w:i/>
          <w:iCs/>
          <w:sz w:val="24"/>
          <w:szCs w:val="24"/>
        </w:rPr>
        <w:t>Journal of Interpersonal Violence</w:t>
      </w:r>
      <w:r w:rsidRPr="00EC1C75">
        <w:rPr>
          <w:rFonts w:ascii="Arial" w:hAnsi="Arial" w:cs="Arial"/>
          <w:sz w:val="24"/>
          <w:szCs w:val="24"/>
        </w:rPr>
        <w:t>, 24(8), pp. 1358 - 1370.</w:t>
      </w:r>
    </w:p>
    <w:p w14:paraId="343C31E6"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sz w:val="24"/>
          <w:szCs w:val="24"/>
        </w:rPr>
        <w:t>Levi, P. (1987</w:t>
      </w:r>
      <w:r w:rsidRPr="00EC1C75">
        <w:rPr>
          <w:rFonts w:ascii="Arial" w:hAnsi="Arial" w:cs="Arial"/>
          <w:i/>
          <w:iCs/>
          <w:sz w:val="24"/>
          <w:szCs w:val="24"/>
        </w:rPr>
        <w:t xml:space="preserve">). If this is a man and </w:t>
      </w:r>
      <w:proofErr w:type="gramStart"/>
      <w:r w:rsidRPr="00EC1C75">
        <w:rPr>
          <w:rFonts w:ascii="Arial" w:hAnsi="Arial" w:cs="Arial"/>
          <w:i/>
          <w:iCs/>
          <w:sz w:val="24"/>
          <w:szCs w:val="24"/>
        </w:rPr>
        <w:t>The</w:t>
      </w:r>
      <w:proofErr w:type="gramEnd"/>
      <w:r w:rsidRPr="00EC1C75">
        <w:rPr>
          <w:rFonts w:ascii="Arial" w:hAnsi="Arial" w:cs="Arial"/>
          <w:i/>
          <w:iCs/>
          <w:sz w:val="24"/>
          <w:szCs w:val="24"/>
        </w:rPr>
        <w:t xml:space="preserve"> truce</w:t>
      </w:r>
      <w:r w:rsidRPr="00EC1C75">
        <w:rPr>
          <w:rFonts w:ascii="Arial" w:hAnsi="Arial" w:cs="Arial"/>
          <w:sz w:val="24"/>
          <w:szCs w:val="24"/>
        </w:rPr>
        <w:t xml:space="preserve"> (S. Woolf, Trans). London: Abacus/ Sphere Books Ltd.</w:t>
      </w:r>
    </w:p>
    <w:p w14:paraId="0453072B"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color w:val="333333"/>
          <w:sz w:val="24"/>
          <w:szCs w:val="24"/>
          <w:shd w:val="clear" w:color="auto" w:fill="FFFFFF"/>
        </w:rPr>
        <w:t>Lombroso, C., &amp; Ferrero, W. (1895). The born criminal. In C. Lombroso &amp; W. Ferrero, </w:t>
      </w:r>
      <w:r w:rsidRPr="00EC1C75">
        <w:rPr>
          <w:rFonts w:ascii="Arial" w:hAnsi="Arial" w:cs="Arial"/>
          <w:i/>
          <w:iCs/>
          <w:color w:val="333333"/>
          <w:sz w:val="24"/>
          <w:szCs w:val="24"/>
          <w:shd w:val="clear" w:color="auto" w:fill="FFFFFF"/>
        </w:rPr>
        <w:t>The female offender</w:t>
      </w:r>
      <w:r w:rsidRPr="00EC1C75">
        <w:rPr>
          <w:rFonts w:ascii="Arial" w:hAnsi="Arial" w:cs="Arial"/>
          <w:color w:val="333333"/>
          <w:sz w:val="24"/>
          <w:szCs w:val="24"/>
          <w:shd w:val="clear" w:color="auto" w:fill="FFFFFF"/>
        </w:rPr>
        <w:t> (pp. 147–191).</w:t>
      </w:r>
      <w:r w:rsidRPr="00EC1C75">
        <w:rPr>
          <w:rFonts w:ascii="Arial" w:hAnsi="Arial" w:cs="Arial"/>
          <w:color w:val="000000" w:themeColor="text1"/>
          <w:sz w:val="24"/>
          <w:szCs w:val="24"/>
          <w:shd w:val="clear" w:color="auto" w:fill="FFFFFF"/>
        </w:rPr>
        <w:t xml:space="preserve"> DOI: 10.1037/14150-012</w:t>
      </w:r>
    </w:p>
    <w:p w14:paraId="0046C275" w14:textId="77777777" w:rsidR="000A7DEA" w:rsidRPr="00EC1C75" w:rsidRDefault="000A7DEA" w:rsidP="00EC1C75">
      <w:pPr>
        <w:keepNext/>
        <w:keepLines/>
        <w:numPr>
          <w:ilvl w:val="0"/>
          <w:numId w:val="2"/>
        </w:numPr>
        <w:shd w:val="clear" w:color="auto" w:fill="FFFFFF"/>
        <w:spacing w:before="240" w:after="120" w:line="480" w:lineRule="auto"/>
        <w:outlineLvl w:val="0"/>
        <w:rPr>
          <w:rFonts w:ascii="Arial" w:eastAsia="Times New Roman" w:hAnsi="Arial" w:cs="Arial"/>
          <w:color w:val="000000" w:themeColor="text1"/>
          <w:kern w:val="36"/>
          <w:sz w:val="24"/>
          <w:szCs w:val="24"/>
        </w:rPr>
      </w:pPr>
      <w:r w:rsidRPr="00EC1C75">
        <w:rPr>
          <w:rFonts w:ascii="Arial" w:eastAsiaTheme="majorEastAsia" w:hAnsi="Arial" w:cs="Arial"/>
          <w:color w:val="000000" w:themeColor="text1"/>
          <w:sz w:val="24"/>
          <w:szCs w:val="24"/>
        </w:rPr>
        <w:t>Mazzarello, P. (2011). ‘</w:t>
      </w:r>
      <w:r w:rsidRPr="00EC1C75">
        <w:rPr>
          <w:rFonts w:ascii="Arial" w:eastAsia="Times New Roman" w:hAnsi="Arial" w:cs="Arial"/>
          <w:color w:val="000000" w:themeColor="text1"/>
          <w:kern w:val="36"/>
          <w:sz w:val="24"/>
          <w:szCs w:val="24"/>
        </w:rPr>
        <w:t xml:space="preserve">Cesare Lombroso: an anthropologist between evolution and degeneration’. </w:t>
      </w:r>
      <w:r w:rsidRPr="00EC1C75">
        <w:rPr>
          <w:rFonts w:ascii="Arial" w:eastAsia="Times New Roman" w:hAnsi="Arial" w:cs="Arial"/>
          <w:i/>
          <w:iCs/>
          <w:color w:val="000000" w:themeColor="text1"/>
          <w:kern w:val="36"/>
          <w:sz w:val="24"/>
          <w:szCs w:val="24"/>
        </w:rPr>
        <w:t>Functional Neurology</w:t>
      </w:r>
      <w:r w:rsidRPr="00EC1C75">
        <w:rPr>
          <w:rFonts w:ascii="Arial" w:eastAsia="Times New Roman" w:hAnsi="Arial" w:cs="Arial"/>
          <w:color w:val="000000" w:themeColor="text1"/>
          <w:kern w:val="36"/>
          <w:sz w:val="24"/>
          <w:szCs w:val="24"/>
        </w:rPr>
        <w:t xml:space="preserve">, 26(2), pp. 97 – 101.  </w:t>
      </w:r>
    </w:p>
    <w:p w14:paraId="359EC112"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sz w:val="24"/>
          <w:szCs w:val="24"/>
        </w:rPr>
        <w:t xml:space="preserve">Mills, C.W., (1959). </w:t>
      </w:r>
      <w:r w:rsidRPr="00EC1C75">
        <w:rPr>
          <w:rFonts w:ascii="Arial" w:hAnsi="Arial" w:cs="Arial"/>
          <w:i/>
          <w:iCs/>
          <w:sz w:val="24"/>
          <w:szCs w:val="24"/>
        </w:rPr>
        <w:t>The Sociological Imagination</w:t>
      </w:r>
      <w:r w:rsidRPr="00EC1C75">
        <w:rPr>
          <w:rFonts w:ascii="Arial" w:hAnsi="Arial" w:cs="Arial"/>
          <w:sz w:val="24"/>
          <w:szCs w:val="24"/>
        </w:rPr>
        <w:t xml:space="preserve">. Oxford: Oxford University Press. </w:t>
      </w:r>
    </w:p>
    <w:p w14:paraId="26619CB8"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color w:val="000000" w:themeColor="text1"/>
          <w:sz w:val="24"/>
          <w:szCs w:val="24"/>
        </w:rPr>
        <w:lastRenderedPageBreak/>
        <w:t xml:space="preserve">Ministry of Children, Community and Social Services, (2016). </w:t>
      </w:r>
      <w:r w:rsidRPr="00EC1C75">
        <w:rPr>
          <w:rFonts w:ascii="Arial" w:hAnsi="Arial" w:cs="Arial"/>
          <w:i/>
          <w:iCs/>
          <w:color w:val="000000" w:themeColor="text1"/>
          <w:sz w:val="24"/>
          <w:szCs w:val="24"/>
        </w:rPr>
        <w:t xml:space="preserve">Review of the Roots of Youth Violence: Literature Reviews, </w:t>
      </w:r>
      <w:r w:rsidRPr="00EC1C75">
        <w:rPr>
          <w:rFonts w:ascii="Arial" w:hAnsi="Arial" w:cs="Arial"/>
          <w:color w:val="000000" w:themeColor="text1"/>
          <w:sz w:val="24"/>
          <w:szCs w:val="24"/>
        </w:rPr>
        <w:t>Available at: http://www.children.gov.on.ca/htdocs/English/professionals/oyap/roots/volume5/chapter08_social_learning.aspx#:~:text=One%20of%20the%20major%20criticisms%20of%20social%20learning,conduct%20through%20the%20mechanism%20of%20rewards%20and%20punishments.  (Accessed 8</w:t>
      </w:r>
      <w:r w:rsidRPr="00EC1C75">
        <w:rPr>
          <w:rFonts w:ascii="Arial" w:hAnsi="Arial" w:cs="Arial"/>
          <w:color w:val="000000" w:themeColor="text1"/>
          <w:sz w:val="24"/>
          <w:szCs w:val="24"/>
          <w:vertAlign w:val="superscript"/>
        </w:rPr>
        <w:t>th</w:t>
      </w:r>
      <w:r w:rsidRPr="00EC1C75">
        <w:rPr>
          <w:rFonts w:ascii="Arial" w:hAnsi="Arial" w:cs="Arial"/>
          <w:color w:val="000000" w:themeColor="text1"/>
          <w:sz w:val="24"/>
          <w:szCs w:val="24"/>
        </w:rPr>
        <w:t xml:space="preserve"> March 2022).</w:t>
      </w:r>
    </w:p>
    <w:p w14:paraId="09C60428"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color w:val="000000"/>
          <w:sz w:val="24"/>
          <w:szCs w:val="24"/>
          <w:shd w:val="clear" w:color="auto" w:fill="FFFFFF"/>
        </w:rPr>
        <w:t>Rafter, N. (2006). ‘H. J. Eysenck in Fagin’s kitchen: the return to biological theory in 20th-century criminology’. </w:t>
      </w:r>
      <w:r w:rsidRPr="00EC1C75">
        <w:rPr>
          <w:rFonts w:ascii="Arial" w:hAnsi="Arial" w:cs="Arial"/>
          <w:i/>
          <w:iCs/>
          <w:color w:val="000000"/>
          <w:sz w:val="24"/>
          <w:szCs w:val="24"/>
          <w:shd w:val="clear" w:color="auto" w:fill="FFFFFF"/>
        </w:rPr>
        <w:t>History of the Human Sciences</w:t>
      </w:r>
      <w:r w:rsidRPr="00EC1C75">
        <w:rPr>
          <w:rFonts w:ascii="Arial" w:hAnsi="Arial" w:cs="Arial"/>
          <w:color w:val="000000"/>
          <w:sz w:val="24"/>
          <w:szCs w:val="24"/>
          <w:shd w:val="clear" w:color="auto" w:fill="FFFFFF"/>
        </w:rPr>
        <w:t>, 19(4), pp.37-56.</w:t>
      </w:r>
    </w:p>
    <w:p w14:paraId="0C9A26AF"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sz w:val="24"/>
          <w:szCs w:val="24"/>
        </w:rPr>
        <w:t xml:space="preserve">Rafter, R. (2008). ‘Criminology’s Darkest Hour: </w:t>
      </w:r>
      <w:proofErr w:type="spellStart"/>
      <w:r w:rsidRPr="00EC1C75">
        <w:rPr>
          <w:rFonts w:ascii="Arial" w:hAnsi="Arial" w:cs="Arial"/>
          <w:sz w:val="24"/>
          <w:szCs w:val="24"/>
        </w:rPr>
        <w:t>Biocriminology</w:t>
      </w:r>
      <w:proofErr w:type="spellEnd"/>
      <w:r w:rsidRPr="00EC1C75">
        <w:rPr>
          <w:rFonts w:ascii="Arial" w:hAnsi="Arial" w:cs="Arial"/>
          <w:sz w:val="24"/>
          <w:szCs w:val="24"/>
        </w:rPr>
        <w:t xml:space="preserve"> in Nazi Germany’. </w:t>
      </w:r>
      <w:r w:rsidRPr="00EC1C75">
        <w:rPr>
          <w:rFonts w:ascii="Arial" w:hAnsi="Arial" w:cs="Arial"/>
          <w:i/>
          <w:iCs/>
          <w:sz w:val="24"/>
          <w:szCs w:val="24"/>
        </w:rPr>
        <w:t xml:space="preserve">THE AUSTRALIAN AND NEW ZEALAND JOURNAL OF CRIMINOLOGY, 41(2), pp. </w:t>
      </w:r>
      <w:r w:rsidRPr="00EC1C75">
        <w:rPr>
          <w:rFonts w:ascii="Arial" w:hAnsi="Arial" w:cs="Arial"/>
          <w:sz w:val="24"/>
          <w:szCs w:val="24"/>
        </w:rPr>
        <w:t>287 – 306.</w:t>
      </w:r>
    </w:p>
    <w:p w14:paraId="10CACB3D"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sz w:val="24"/>
          <w:szCs w:val="24"/>
        </w:rPr>
        <w:t xml:space="preserve">Ramsbotham, D., and </w:t>
      </w:r>
      <w:proofErr w:type="spellStart"/>
      <w:r w:rsidRPr="00EC1C75">
        <w:rPr>
          <w:rFonts w:ascii="Arial" w:hAnsi="Arial" w:cs="Arial"/>
          <w:sz w:val="24"/>
          <w:szCs w:val="24"/>
        </w:rPr>
        <w:t>Gesch</w:t>
      </w:r>
      <w:proofErr w:type="spellEnd"/>
      <w:r w:rsidRPr="00EC1C75">
        <w:rPr>
          <w:rFonts w:ascii="Arial" w:hAnsi="Arial" w:cs="Arial"/>
          <w:sz w:val="24"/>
          <w:szCs w:val="24"/>
        </w:rPr>
        <w:t xml:space="preserve">, B. (2009). ‘Crime and Nourishment; Cause for a rethink?’. </w:t>
      </w:r>
      <w:r w:rsidRPr="00EC1C75">
        <w:rPr>
          <w:rFonts w:ascii="Arial" w:hAnsi="Arial" w:cs="Arial"/>
          <w:i/>
          <w:iCs/>
          <w:sz w:val="24"/>
          <w:szCs w:val="24"/>
        </w:rPr>
        <w:t xml:space="preserve">Prison service journal, </w:t>
      </w:r>
      <w:r w:rsidRPr="00EC1C75">
        <w:rPr>
          <w:rFonts w:ascii="Arial" w:hAnsi="Arial" w:cs="Arial"/>
          <w:sz w:val="24"/>
          <w:szCs w:val="24"/>
        </w:rPr>
        <w:t>182, pp. 3 – 9.</w:t>
      </w:r>
    </w:p>
    <w:p w14:paraId="4EE39776" w14:textId="77777777" w:rsidR="000A7DEA" w:rsidRPr="003419B4" w:rsidRDefault="000A7DEA" w:rsidP="00EC1C75">
      <w:pPr>
        <w:numPr>
          <w:ilvl w:val="0"/>
          <w:numId w:val="2"/>
        </w:numPr>
        <w:spacing w:line="480" w:lineRule="auto"/>
        <w:contextualSpacing/>
        <w:rPr>
          <w:rFonts w:ascii="Arial" w:hAnsi="Arial" w:cs="Arial"/>
          <w:sz w:val="24"/>
          <w:szCs w:val="24"/>
        </w:rPr>
      </w:pPr>
      <w:proofErr w:type="spellStart"/>
      <w:r>
        <w:rPr>
          <w:rFonts w:ascii="Arial" w:hAnsi="Arial" w:cs="Arial"/>
          <w:sz w:val="24"/>
          <w:szCs w:val="24"/>
        </w:rPr>
        <w:t>Rocque</w:t>
      </w:r>
      <w:proofErr w:type="spellEnd"/>
      <w:r>
        <w:rPr>
          <w:rFonts w:ascii="Arial" w:hAnsi="Arial" w:cs="Arial"/>
          <w:sz w:val="24"/>
          <w:szCs w:val="24"/>
        </w:rPr>
        <w:t xml:space="preserve">, M., and </w:t>
      </w:r>
      <w:proofErr w:type="spellStart"/>
      <w:r>
        <w:rPr>
          <w:rFonts w:ascii="Arial" w:hAnsi="Arial" w:cs="Arial"/>
          <w:sz w:val="24"/>
          <w:szCs w:val="24"/>
        </w:rPr>
        <w:t>Posick</w:t>
      </w:r>
      <w:proofErr w:type="spellEnd"/>
      <w:r>
        <w:rPr>
          <w:rFonts w:ascii="Arial" w:hAnsi="Arial" w:cs="Arial"/>
          <w:sz w:val="24"/>
          <w:szCs w:val="24"/>
        </w:rPr>
        <w:t>, C. (2017) ‘</w:t>
      </w:r>
      <w:r w:rsidRPr="00EC1C75">
        <w:rPr>
          <w:rFonts w:ascii="Arial" w:hAnsi="Arial" w:cs="Arial"/>
          <w:sz w:val="24"/>
          <w:szCs w:val="24"/>
        </w:rPr>
        <w:t>Paradigm shift or normal science? The future of (biosocial) criminology</w:t>
      </w:r>
      <w:r>
        <w:rPr>
          <w:rFonts w:ascii="Arial" w:hAnsi="Arial" w:cs="Arial"/>
          <w:sz w:val="24"/>
          <w:szCs w:val="24"/>
        </w:rPr>
        <w:t xml:space="preserve">’, </w:t>
      </w:r>
      <w:r w:rsidRPr="00EC1C75">
        <w:rPr>
          <w:rFonts w:ascii="Arial" w:hAnsi="Arial" w:cs="Arial"/>
          <w:i/>
          <w:iCs/>
          <w:sz w:val="24"/>
          <w:szCs w:val="24"/>
        </w:rPr>
        <w:t>Theoretical Criminology</w:t>
      </w:r>
      <w:r>
        <w:rPr>
          <w:rFonts w:ascii="Arial" w:hAnsi="Arial" w:cs="Arial"/>
          <w:sz w:val="24"/>
          <w:szCs w:val="24"/>
        </w:rPr>
        <w:t xml:space="preserve">, </w:t>
      </w:r>
      <w:r w:rsidRPr="00EC1C75">
        <w:rPr>
          <w:rFonts w:ascii="Arial" w:hAnsi="Arial" w:cs="Arial"/>
          <w:sz w:val="24"/>
          <w:szCs w:val="24"/>
        </w:rPr>
        <w:t>21(3)</w:t>
      </w:r>
      <w:r>
        <w:rPr>
          <w:rFonts w:ascii="Arial" w:hAnsi="Arial" w:cs="Arial"/>
          <w:sz w:val="24"/>
          <w:szCs w:val="24"/>
        </w:rPr>
        <w:t xml:space="preserve">, pp. </w:t>
      </w:r>
      <w:r w:rsidRPr="00EC1C75">
        <w:rPr>
          <w:rFonts w:ascii="Arial" w:hAnsi="Arial" w:cs="Arial"/>
          <w:sz w:val="24"/>
          <w:szCs w:val="24"/>
        </w:rPr>
        <w:t>288</w:t>
      </w:r>
      <w:r>
        <w:rPr>
          <w:rFonts w:ascii="Arial" w:hAnsi="Arial" w:cs="Arial"/>
          <w:sz w:val="24"/>
          <w:szCs w:val="24"/>
        </w:rPr>
        <w:t xml:space="preserve"> – </w:t>
      </w:r>
      <w:r w:rsidRPr="003419B4">
        <w:rPr>
          <w:rFonts w:ascii="Arial" w:hAnsi="Arial" w:cs="Arial"/>
          <w:sz w:val="24"/>
          <w:szCs w:val="24"/>
        </w:rPr>
        <w:t>303.</w:t>
      </w:r>
    </w:p>
    <w:p w14:paraId="0C365B78" w14:textId="77777777" w:rsidR="000A7DEA" w:rsidRPr="003419B4" w:rsidRDefault="000A7DEA" w:rsidP="00EC1C75">
      <w:pPr>
        <w:numPr>
          <w:ilvl w:val="0"/>
          <w:numId w:val="2"/>
        </w:numPr>
        <w:spacing w:line="480" w:lineRule="auto"/>
        <w:contextualSpacing/>
        <w:rPr>
          <w:rFonts w:ascii="Arial" w:hAnsi="Arial" w:cs="Arial"/>
          <w:sz w:val="24"/>
          <w:szCs w:val="24"/>
        </w:rPr>
      </w:pPr>
      <w:proofErr w:type="spellStart"/>
      <w:r w:rsidRPr="003419B4">
        <w:rPr>
          <w:rFonts w:ascii="Arial" w:hAnsi="Arial" w:cs="Arial"/>
          <w:sz w:val="24"/>
          <w:szCs w:val="24"/>
        </w:rPr>
        <w:t>Rocque</w:t>
      </w:r>
      <w:proofErr w:type="spellEnd"/>
      <w:r w:rsidRPr="003419B4">
        <w:rPr>
          <w:rFonts w:ascii="Arial" w:hAnsi="Arial" w:cs="Arial"/>
          <w:sz w:val="24"/>
          <w:szCs w:val="24"/>
        </w:rPr>
        <w:t xml:space="preserve">, M., Welsh, B., and Raine, A. (2012). ‘Biosocial criminology and modern crime prevention’. </w:t>
      </w:r>
      <w:r w:rsidRPr="003419B4">
        <w:rPr>
          <w:rFonts w:ascii="Arial" w:hAnsi="Arial" w:cs="Arial"/>
          <w:i/>
          <w:iCs/>
          <w:sz w:val="24"/>
          <w:szCs w:val="24"/>
        </w:rPr>
        <w:t>Journal of Criminal Justice</w:t>
      </w:r>
      <w:r w:rsidRPr="003419B4">
        <w:rPr>
          <w:rFonts w:ascii="Arial" w:hAnsi="Arial" w:cs="Arial"/>
          <w:sz w:val="24"/>
          <w:szCs w:val="24"/>
        </w:rPr>
        <w:t xml:space="preserve">, 40(4), pp. 306 - 312. </w:t>
      </w:r>
    </w:p>
    <w:p w14:paraId="1C5FB6A7" w14:textId="77777777" w:rsidR="000A7DEA" w:rsidRPr="00EC1C75" w:rsidRDefault="000A7DEA" w:rsidP="00EC1C75">
      <w:pPr>
        <w:numPr>
          <w:ilvl w:val="0"/>
          <w:numId w:val="2"/>
        </w:numPr>
        <w:spacing w:before="240" w:line="480" w:lineRule="auto"/>
        <w:contextualSpacing/>
        <w:rPr>
          <w:rFonts w:ascii="Arial" w:hAnsi="Arial" w:cs="Arial"/>
          <w:sz w:val="24"/>
          <w:szCs w:val="24"/>
        </w:rPr>
      </w:pPr>
      <w:r w:rsidRPr="00EC1C75">
        <w:rPr>
          <w:rFonts w:ascii="Arial" w:hAnsi="Arial" w:cs="Arial"/>
          <w:sz w:val="24"/>
          <w:szCs w:val="24"/>
        </w:rPr>
        <w:t>Sampson, R. (1992). ‘Family Management and Child Development: Insights from Social Disorganisation Theory’, in McCord, J</w:t>
      </w:r>
      <w:r w:rsidRPr="00EC1C75">
        <w:rPr>
          <w:rFonts w:ascii="Arial" w:hAnsi="Arial" w:cs="Arial"/>
          <w:i/>
          <w:iCs/>
          <w:sz w:val="24"/>
          <w:szCs w:val="24"/>
        </w:rPr>
        <w:t>. Facts, Frameworks, and Forecasts.</w:t>
      </w:r>
      <w:r w:rsidRPr="00EC1C75">
        <w:rPr>
          <w:rFonts w:ascii="Arial" w:hAnsi="Arial" w:cs="Arial"/>
          <w:sz w:val="24"/>
          <w:szCs w:val="24"/>
        </w:rPr>
        <w:t xml:space="preserve"> New Jersey: Transaction Publishers. </w:t>
      </w:r>
    </w:p>
    <w:p w14:paraId="1EEEF704"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sz w:val="24"/>
          <w:szCs w:val="24"/>
        </w:rPr>
        <w:t xml:space="preserve">Thomas, W. I., and </w:t>
      </w:r>
      <w:proofErr w:type="spellStart"/>
      <w:r w:rsidRPr="00EC1C75">
        <w:rPr>
          <w:rFonts w:ascii="Arial" w:hAnsi="Arial" w:cs="Arial"/>
          <w:sz w:val="24"/>
          <w:szCs w:val="24"/>
        </w:rPr>
        <w:t>Znaniecki</w:t>
      </w:r>
      <w:proofErr w:type="spellEnd"/>
      <w:r w:rsidRPr="00EC1C75">
        <w:rPr>
          <w:rFonts w:ascii="Arial" w:hAnsi="Arial" w:cs="Arial"/>
          <w:sz w:val="24"/>
          <w:szCs w:val="24"/>
        </w:rPr>
        <w:t xml:space="preserve">, F. (1958). </w:t>
      </w:r>
      <w:r w:rsidRPr="00EC1C75">
        <w:rPr>
          <w:rFonts w:ascii="Arial" w:hAnsi="Arial" w:cs="Arial"/>
          <w:i/>
          <w:iCs/>
          <w:sz w:val="24"/>
          <w:szCs w:val="24"/>
        </w:rPr>
        <w:t>The Polish peasant in Europe and America</w:t>
      </w:r>
      <w:r w:rsidRPr="00EC1C75">
        <w:rPr>
          <w:rFonts w:ascii="Arial" w:hAnsi="Arial" w:cs="Arial"/>
          <w:sz w:val="24"/>
          <w:szCs w:val="24"/>
        </w:rPr>
        <w:t>. New York: Dover.</w:t>
      </w:r>
    </w:p>
    <w:p w14:paraId="50871FD5" w14:textId="77777777" w:rsidR="000A7DEA" w:rsidRPr="00EC1C75" w:rsidRDefault="000A7DEA" w:rsidP="00EC1C75">
      <w:pPr>
        <w:keepNext/>
        <w:keepLines/>
        <w:numPr>
          <w:ilvl w:val="0"/>
          <w:numId w:val="2"/>
        </w:numPr>
        <w:shd w:val="clear" w:color="auto" w:fill="FFFFFF"/>
        <w:spacing w:after="0" w:line="480" w:lineRule="auto"/>
        <w:outlineLvl w:val="0"/>
        <w:rPr>
          <w:rFonts w:ascii="Arial" w:eastAsia="Times New Roman" w:hAnsi="Arial" w:cs="Arial"/>
          <w:i/>
          <w:iCs/>
          <w:color w:val="000000" w:themeColor="text1"/>
          <w:kern w:val="36"/>
          <w:sz w:val="24"/>
          <w:szCs w:val="24"/>
        </w:rPr>
      </w:pPr>
      <w:proofErr w:type="spellStart"/>
      <w:r w:rsidRPr="00EC1C75">
        <w:rPr>
          <w:rFonts w:ascii="Arial" w:eastAsiaTheme="majorEastAsia" w:hAnsi="Arial" w:cs="Arial"/>
          <w:color w:val="000000" w:themeColor="text1"/>
          <w:sz w:val="24"/>
          <w:szCs w:val="24"/>
          <w:shd w:val="clear" w:color="auto" w:fill="FFFFFF"/>
        </w:rPr>
        <w:lastRenderedPageBreak/>
        <w:t>Tripplet</w:t>
      </w:r>
      <w:proofErr w:type="spellEnd"/>
      <w:r w:rsidRPr="00EC1C75">
        <w:rPr>
          <w:rFonts w:ascii="Arial" w:eastAsiaTheme="majorEastAsia" w:hAnsi="Arial" w:cs="Arial"/>
          <w:color w:val="000000" w:themeColor="text1"/>
          <w:sz w:val="24"/>
          <w:szCs w:val="24"/>
          <w:shd w:val="clear" w:color="auto" w:fill="FFFFFF"/>
        </w:rPr>
        <w:t>, R.</w:t>
      </w:r>
      <w:r w:rsidRPr="00EC1C75">
        <w:rPr>
          <w:rFonts w:ascii="Arial" w:eastAsiaTheme="majorEastAsia" w:hAnsi="Arial" w:cs="Arial"/>
          <w:color w:val="000000" w:themeColor="text1"/>
          <w:sz w:val="24"/>
          <w:szCs w:val="24"/>
        </w:rPr>
        <w:t xml:space="preserve"> (2018). </w:t>
      </w:r>
      <w:r w:rsidRPr="00EC1C75">
        <w:rPr>
          <w:rFonts w:ascii="Arial" w:eastAsia="Times New Roman" w:hAnsi="Arial" w:cs="Arial"/>
          <w:i/>
          <w:iCs/>
          <w:color w:val="000000" w:themeColor="text1"/>
          <w:kern w:val="36"/>
          <w:sz w:val="24"/>
          <w:szCs w:val="24"/>
        </w:rPr>
        <w:t xml:space="preserve">The Handbook of the History and Philosophy of Criminology. </w:t>
      </w:r>
      <w:r w:rsidRPr="00EC1C75">
        <w:rPr>
          <w:rFonts w:ascii="Arial" w:eastAsia="Times New Roman" w:hAnsi="Arial" w:cs="Arial"/>
          <w:color w:val="000000" w:themeColor="text1"/>
          <w:kern w:val="36"/>
          <w:sz w:val="24"/>
          <w:szCs w:val="24"/>
        </w:rPr>
        <w:t>Oxford: John Wiley and Sons.</w:t>
      </w:r>
    </w:p>
    <w:p w14:paraId="6ADCFDE0" w14:textId="77777777" w:rsidR="000A7DEA" w:rsidRPr="00EC1C75" w:rsidRDefault="000A7DEA" w:rsidP="00EC1C75">
      <w:pPr>
        <w:numPr>
          <w:ilvl w:val="0"/>
          <w:numId w:val="2"/>
        </w:numPr>
        <w:spacing w:line="480" w:lineRule="auto"/>
        <w:contextualSpacing/>
        <w:rPr>
          <w:rFonts w:ascii="Arial" w:hAnsi="Arial" w:cs="Arial"/>
          <w:sz w:val="24"/>
          <w:szCs w:val="24"/>
        </w:rPr>
      </w:pPr>
      <w:r w:rsidRPr="00EC1C75">
        <w:rPr>
          <w:rFonts w:ascii="Arial" w:hAnsi="Arial" w:cs="Arial"/>
          <w:sz w:val="24"/>
          <w:szCs w:val="24"/>
        </w:rPr>
        <w:t xml:space="preserve">Walker, P., and Butler, P. (2021) ‘No 10 says mayor of London's cannabis review a 'waste of time’, </w:t>
      </w:r>
      <w:r w:rsidRPr="00EC1C75">
        <w:rPr>
          <w:rFonts w:ascii="Arial" w:hAnsi="Arial" w:cs="Arial"/>
          <w:i/>
          <w:iCs/>
          <w:sz w:val="24"/>
          <w:szCs w:val="24"/>
        </w:rPr>
        <w:t>The Guardian</w:t>
      </w:r>
      <w:r w:rsidRPr="00EC1C75">
        <w:rPr>
          <w:rFonts w:ascii="Arial" w:hAnsi="Arial" w:cs="Arial"/>
          <w:sz w:val="24"/>
          <w:szCs w:val="24"/>
        </w:rPr>
        <w:t>, 6</w:t>
      </w:r>
      <w:r w:rsidRPr="00EC1C75">
        <w:rPr>
          <w:rFonts w:ascii="Arial" w:hAnsi="Arial" w:cs="Arial"/>
          <w:sz w:val="24"/>
          <w:szCs w:val="24"/>
          <w:vertAlign w:val="superscript"/>
        </w:rPr>
        <w:t>th</w:t>
      </w:r>
      <w:r w:rsidRPr="00EC1C75">
        <w:rPr>
          <w:rFonts w:ascii="Arial" w:hAnsi="Arial" w:cs="Arial"/>
          <w:sz w:val="24"/>
          <w:szCs w:val="24"/>
        </w:rPr>
        <w:t xml:space="preserve"> April. Available at: https://www.theguardian.com/uk-news/2021/apr/06/no-10-says-mayor-of-londons-cannabis-review-a-waste-of-time (Accessed: 8 March 2022) </w:t>
      </w:r>
    </w:p>
    <w:p w14:paraId="3B046FDD" w14:textId="77777777" w:rsidR="000A7DEA" w:rsidRPr="00EC1C75" w:rsidRDefault="000A7DEA" w:rsidP="00EC1C75">
      <w:pPr>
        <w:numPr>
          <w:ilvl w:val="0"/>
          <w:numId w:val="2"/>
        </w:numPr>
        <w:spacing w:before="240" w:line="480" w:lineRule="auto"/>
        <w:contextualSpacing/>
        <w:rPr>
          <w:rFonts w:ascii="Arial" w:hAnsi="Arial" w:cs="Arial"/>
          <w:sz w:val="24"/>
          <w:szCs w:val="24"/>
        </w:rPr>
      </w:pPr>
      <w:r w:rsidRPr="00EC1C75">
        <w:rPr>
          <w:rFonts w:ascii="Arial" w:hAnsi="Arial" w:cs="Arial"/>
          <w:sz w:val="24"/>
          <w:szCs w:val="24"/>
        </w:rPr>
        <w:t xml:space="preserve">Walsh, A. (2009). </w:t>
      </w:r>
      <w:r w:rsidRPr="00EC1C75">
        <w:rPr>
          <w:rFonts w:ascii="Arial" w:hAnsi="Arial" w:cs="Arial"/>
          <w:i/>
          <w:iCs/>
          <w:sz w:val="24"/>
          <w:szCs w:val="24"/>
        </w:rPr>
        <w:t xml:space="preserve">Biology and Criminology - The Biosocial Synthesis. </w:t>
      </w:r>
      <w:r w:rsidRPr="00EC1C75">
        <w:rPr>
          <w:rFonts w:ascii="Arial" w:hAnsi="Arial" w:cs="Arial"/>
          <w:sz w:val="24"/>
          <w:szCs w:val="24"/>
        </w:rPr>
        <w:t>New York: Routledge.</w:t>
      </w:r>
    </w:p>
    <w:p w14:paraId="344443EF" w14:textId="77777777" w:rsidR="000A7DEA" w:rsidRPr="00EC1C75" w:rsidRDefault="000A7DEA" w:rsidP="00EC1C75">
      <w:pPr>
        <w:numPr>
          <w:ilvl w:val="0"/>
          <w:numId w:val="2"/>
        </w:numPr>
        <w:spacing w:before="240" w:line="480" w:lineRule="auto"/>
        <w:contextualSpacing/>
        <w:rPr>
          <w:rFonts w:ascii="Arial" w:hAnsi="Arial" w:cs="Arial"/>
          <w:sz w:val="24"/>
          <w:szCs w:val="24"/>
        </w:rPr>
      </w:pPr>
      <w:r w:rsidRPr="00EC1C75">
        <w:rPr>
          <w:rFonts w:ascii="Arial" w:hAnsi="Arial" w:cs="Arial"/>
          <w:sz w:val="24"/>
          <w:szCs w:val="24"/>
        </w:rPr>
        <w:t xml:space="preserve">Watts, S., and McNulty, T. (2015). ‘Delinquent Peers and Offending: Integrating Social Learning and Biosocial Theory’. </w:t>
      </w:r>
      <w:r w:rsidRPr="00EC1C75">
        <w:rPr>
          <w:rFonts w:ascii="Arial" w:hAnsi="Arial" w:cs="Arial"/>
          <w:i/>
          <w:iCs/>
          <w:sz w:val="24"/>
          <w:szCs w:val="24"/>
        </w:rPr>
        <w:t xml:space="preserve">Youth Violence and Juvenile Justice, </w:t>
      </w:r>
      <w:r w:rsidRPr="00EC1C75">
        <w:rPr>
          <w:rFonts w:ascii="Arial" w:hAnsi="Arial" w:cs="Arial"/>
          <w:sz w:val="24"/>
          <w:szCs w:val="24"/>
        </w:rPr>
        <w:t xml:space="preserve">13(2), pp. 190 – 206. </w:t>
      </w:r>
    </w:p>
    <w:p w14:paraId="39EEE8B6" w14:textId="77777777" w:rsidR="000A7DEA" w:rsidRPr="00EC1C75" w:rsidRDefault="000A7DEA" w:rsidP="00EC1C75">
      <w:pPr>
        <w:numPr>
          <w:ilvl w:val="0"/>
          <w:numId w:val="2"/>
        </w:numPr>
        <w:spacing w:line="480" w:lineRule="auto"/>
        <w:contextualSpacing/>
        <w:rPr>
          <w:rFonts w:ascii="Arial" w:hAnsi="Arial" w:cs="Arial"/>
          <w:color w:val="000000" w:themeColor="text1"/>
          <w:sz w:val="24"/>
          <w:szCs w:val="24"/>
        </w:rPr>
      </w:pPr>
      <w:r w:rsidRPr="00EC1C75">
        <w:rPr>
          <w:rFonts w:ascii="Arial" w:hAnsi="Arial" w:cs="Arial"/>
          <w:sz w:val="24"/>
          <w:szCs w:val="24"/>
        </w:rPr>
        <w:t xml:space="preserve">YOUGOV (2021). </w:t>
      </w:r>
      <w:r w:rsidRPr="00EC1C75">
        <w:rPr>
          <w:rFonts w:ascii="Arial" w:hAnsi="Arial" w:cs="Arial"/>
          <w:i/>
          <w:iCs/>
          <w:color w:val="000000"/>
          <w:sz w:val="24"/>
          <w:szCs w:val="24"/>
          <w:shd w:val="clear" w:color="auto" w:fill="FFFFFF"/>
        </w:rPr>
        <w:t xml:space="preserve">Generally speaking, to what extent would you support or oppose the legalisation of cannabis in the </w:t>
      </w:r>
      <w:proofErr w:type="gramStart"/>
      <w:r w:rsidRPr="00EC1C75">
        <w:rPr>
          <w:rFonts w:ascii="Arial" w:hAnsi="Arial" w:cs="Arial"/>
          <w:i/>
          <w:iCs/>
          <w:color w:val="000000"/>
          <w:sz w:val="24"/>
          <w:szCs w:val="24"/>
          <w:shd w:val="clear" w:color="auto" w:fill="FFFFFF"/>
        </w:rPr>
        <w:t>UK?.</w:t>
      </w:r>
      <w:proofErr w:type="gramEnd"/>
      <w:r w:rsidRPr="00EC1C75">
        <w:rPr>
          <w:rFonts w:ascii="Arial" w:hAnsi="Arial" w:cs="Arial"/>
          <w:i/>
          <w:iCs/>
          <w:color w:val="000000"/>
          <w:sz w:val="24"/>
          <w:szCs w:val="24"/>
          <w:shd w:val="clear" w:color="auto" w:fill="FFFFFF"/>
        </w:rPr>
        <w:t xml:space="preserve"> Available at:</w:t>
      </w:r>
      <w:r w:rsidRPr="00EC1C75">
        <w:rPr>
          <w:rFonts w:ascii="Arial" w:hAnsi="Arial" w:cs="Arial"/>
          <w:sz w:val="24"/>
          <w:szCs w:val="24"/>
        </w:rPr>
        <w:t xml:space="preserve"> </w:t>
      </w:r>
      <w:r w:rsidRPr="00EC1C75">
        <w:rPr>
          <w:rFonts w:ascii="Arial" w:hAnsi="Arial" w:cs="Arial"/>
          <w:i/>
          <w:iCs/>
          <w:color w:val="000000"/>
          <w:sz w:val="24"/>
          <w:szCs w:val="24"/>
          <w:shd w:val="clear" w:color="auto" w:fill="FFFFFF"/>
        </w:rPr>
        <w:t>https://yougov.co.uk/topics/politics/survey-results/daily/2021/04/06/fcf4a/3?utm_source=twitter&amp;utm_medium=daily_questions&amp;utm_</w:t>
      </w:r>
      <w:r w:rsidRPr="00EC1C75">
        <w:rPr>
          <w:rFonts w:ascii="Arial" w:hAnsi="Arial" w:cs="Arial"/>
          <w:i/>
          <w:iCs/>
          <w:color w:val="000000" w:themeColor="text1"/>
          <w:sz w:val="24"/>
          <w:szCs w:val="24"/>
          <w:shd w:val="clear" w:color="auto" w:fill="FFFFFF"/>
        </w:rPr>
        <w:t>campaign=question_3 (Accessed: 4</w:t>
      </w:r>
      <w:r w:rsidRPr="00EC1C75">
        <w:rPr>
          <w:rFonts w:ascii="Arial" w:hAnsi="Arial" w:cs="Arial"/>
          <w:i/>
          <w:iCs/>
          <w:color w:val="000000" w:themeColor="text1"/>
          <w:sz w:val="24"/>
          <w:szCs w:val="24"/>
          <w:shd w:val="clear" w:color="auto" w:fill="FFFFFF"/>
          <w:vertAlign w:val="superscript"/>
        </w:rPr>
        <w:t>th</w:t>
      </w:r>
      <w:r w:rsidRPr="00EC1C75">
        <w:rPr>
          <w:rFonts w:ascii="Arial" w:hAnsi="Arial" w:cs="Arial"/>
          <w:i/>
          <w:iCs/>
          <w:color w:val="000000" w:themeColor="text1"/>
          <w:sz w:val="24"/>
          <w:szCs w:val="24"/>
          <w:shd w:val="clear" w:color="auto" w:fill="FFFFFF"/>
        </w:rPr>
        <w:t xml:space="preserve"> March 2022)</w:t>
      </w:r>
    </w:p>
    <w:p w14:paraId="1D62737F" w14:textId="77777777" w:rsidR="000A7DEA" w:rsidRPr="00EC1C75" w:rsidRDefault="000A7DEA" w:rsidP="00EC1C75">
      <w:pPr>
        <w:numPr>
          <w:ilvl w:val="0"/>
          <w:numId w:val="2"/>
        </w:numPr>
        <w:spacing w:line="480" w:lineRule="auto"/>
        <w:contextualSpacing/>
        <w:rPr>
          <w:rFonts w:ascii="Arial" w:hAnsi="Arial" w:cs="Arial"/>
          <w:sz w:val="24"/>
          <w:szCs w:val="24"/>
        </w:rPr>
      </w:pPr>
      <w:proofErr w:type="spellStart"/>
      <w:r w:rsidRPr="00EC1C75">
        <w:rPr>
          <w:rFonts w:ascii="Arial" w:hAnsi="Arial" w:cs="Arial"/>
          <w:sz w:val="24"/>
          <w:szCs w:val="24"/>
        </w:rPr>
        <w:t>Zembroski</w:t>
      </w:r>
      <w:proofErr w:type="spellEnd"/>
      <w:r w:rsidRPr="00EC1C75">
        <w:rPr>
          <w:rFonts w:ascii="Arial" w:hAnsi="Arial" w:cs="Arial"/>
          <w:sz w:val="24"/>
          <w:szCs w:val="24"/>
        </w:rPr>
        <w:t xml:space="preserve">, D. (2011). ‘Sociological Theories of Crime and Delinquency’. </w:t>
      </w:r>
      <w:r w:rsidRPr="00EC1C75">
        <w:rPr>
          <w:rFonts w:ascii="Arial" w:hAnsi="Arial" w:cs="Arial"/>
          <w:i/>
          <w:iCs/>
          <w:sz w:val="24"/>
          <w:szCs w:val="24"/>
        </w:rPr>
        <w:t xml:space="preserve">Journal of Human </w:t>
      </w:r>
      <w:proofErr w:type="spellStart"/>
      <w:r w:rsidRPr="00EC1C75">
        <w:rPr>
          <w:rFonts w:ascii="Arial" w:hAnsi="Arial" w:cs="Arial"/>
          <w:i/>
          <w:iCs/>
          <w:sz w:val="24"/>
          <w:szCs w:val="24"/>
        </w:rPr>
        <w:t>Behavior</w:t>
      </w:r>
      <w:proofErr w:type="spellEnd"/>
      <w:r w:rsidRPr="00EC1C75">
        <w:rPr>
          <w:rFonts w:ascii="Arial" w:hAnsi="Arial" w:cs="Arial"/>
          <w:i/>
          <w:iCs/>
          <w:sz w:val="24"/>
          <w:szCs w:val="24"/>
        </w:rPr>
        <w:t xml:space="preserve"> in the Social Environment, </w:t>
      </w:r>
      <w:r w:rsidRPr="00EC1C75">
        <w:rPr>
          <w:rFonts w:ascii="Arial" w:hAnsi="Arial" w:cs="Arial"/>
          <w:sz w:val="24"/>
          <w:szCs w:val="24"/>
        </w:rPr>
        <w:t>21, pp. 240 – 254.</w:t>
      </w:r>
    </w:p>
    <w:sectPr w:rsidR="000A7DEA" w:rsidRPr="00EC1C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2AF62" w14:textId="77777777" w:rsidR="00A6730B" w:rsidRDefault="00A6730B" w:rsidP="00A6730B">
      <w:pPr>
        <w:spacing w:after="0" w:line="240" w:lineRule="auto"/>
      </w:pPr>
      <w:r>
        <w:separator/>
      </w:r>
    </w:p>
  </w:endnote>
  <w:endnote w:type="continuationSeparator" w:id="0">
    <w:p w14:paraId="1DFD7093" w14:textId="77777777" w:rsidR="00A6730B" w:rsidRDefault="00A6730B" w:rsidP="00A67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8E051" w14:textId="77777777" w:rsidR="00A6730B" w:rsidRDefault="00A6730B" w:rsidP="00A6730B">
      <w:pPr>
        <w:spacing w:after="0" w:line="240" w:lineRule="auto"/>
      </w:pPr>
      <w:r>
        <w:separator/>
      </w:r>
    </w:p>
  </w:footnote>
  <w:footnote w:type="continuationSeparator" w:id="0">
    <w:p w14:paraId="6AB7865A" w14:textId="77777777" w:rsidR="00A6730B" w:rsidRDefault="00A6730B" w:rsidP="00A67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61205"/>
    <w:multiLevelType w:val="hybridMultilevel"/>
    <w:tmpl w:val="DB54B1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8E360FA"/>
    <w:multiLevelType w:val="hybridMultilevel"/>
    <w:tmpl w:val="4A6430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C75"/>
    <w:rsid w:val="000A7DEA"/>
    <w:rsid w:val="003419B4"/>
    <w:rsid w:val="00A6730B"/>
    <w:rsid w:val="00D03C1D"/>
    <w:rsid w:val="00EC1C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DB71E7"/>
  <w15:chartTrackingRefBased/>
  <w15:docId w15:val="{BF7E9A39-68CE-4555-A7F7-2B2CD1D1C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C75"/>
  </w:style>
  <w:style w:type="paragraph" w:styleId="Heading1">
    <w:name w:val="heading 1"/>
    <w:basedOn w:val="Normal"/>
    <w:next w:val="Normal"/>
    <w:link w:val="Heading1Char"/>
    <w:uiPriority w:val="9"/>
    <w:qFormat/>
    <w:rsid w:val="00EC1C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C7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67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30B"/>
  </w:style>
  <w:style w:type="paragraph" w:styleId="Footer">
    <w:name w:val="footer"/>
    <w:basedOn w:val="Normal"/>
    <w:link w:val="FooterChar"/>
    <w:uiPriority w:val="99"/>
    <w:unhideWhenUsed/>
    <w:rsid w:val="00A67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29672831205393177903959bf4e725f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5914fe9c4edadd59aa108945827f43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21B8A7-559B-455D-BC24-345B06D8E5AB}">
  <ds:schemaRefs>
    <ds:schemaRef ds:uri="95817cb9-f0eb-4f4d-892c-47ab9f8957c0"/>
    <ds:schemaRef ds:uri="http://schemas.microsoft.com/office/infopath/2007/PartnerControls"/>
    <ds:schemaRef ds:uri="http://schemas.microsoft.com/office/2006/documentManagement/types"/>
    <ds:schemaRef ds:uri="http://purl.org/dc/dcmitype/"/>
    <ds:schemaRef ds:uri="http://purl.org/dc/terms/"/>
    <ds:schemaRef ds:uri="9823f8e4-81f3-4a59-a026-c1a9717271fd"/>
    <ds:schemaRef ds:uri="http://schemas.microsoft.com/office/2006/metadata/properties"/>
    <ds:schemaRef ds:uri="http://purl.org/dc/elements/1.1/"/>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53D121CD-5E22-4915-B116-347D32147588}">
  <ds:schemaRefs>
    <ds:schemaRef ds:uri="http://schemas.microsoft.com/sharepoint/v3/contenttype/forms"/>
  </ds:schemaRefs>
</ds:datastoreItem>
</file>

<file path=customXml/itemProps3.xml><?xml version="1.0" encoding="utf-8"?>
<ds:datastoreItem xmlns:ds="http://schemas.openxmlformats.org/officeDocument/2006/customXml" ds:itemID="{51F43462-9C41-4F74-8436-9BAE84DEC3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3738</Words>
  <Characters>21308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Fletcher (2107683)</dc:creator>
  <cp:keywords/>
  <dc:description/>
  <cp:lastModifiedBy>Samuel Fletcher (2107683)</cp:lastModifiedBy>
  <cp:revision>2</cp:revision>
  <dcterms:created xsi:type="dcterms:W3CDTF">2022-03-11T14:51:00Z</dcterms:created>
  <dcterms:modified xsi:type="dcterms:W3CDTF">2022-03-11T14:51:00Z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