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C36E4AB" w14:textId="37F9EEA2" w:rsidR="003769ED" w:rsidRDefault="003769ED" w:rsidP="003574DE">
      <w:pPr>
        <w:pStyle w:val="NormalWeb"/>
        <w:spacing w:before="0" w:beforeAutospacing="0" w:after="0" w:afterAutospacing="0"/>
        <w:ind w:right="-334"/>
        <w:rPr>
          <w:rFonts w:ascii="Trebuchet MS" w:hAnsi="Trebuchet MS" w:cs="Tahoma"/>
          <w:sz w:val="24"/>
          <w:szCs w:val="24"/>
        </w:rPr>
      </w:pPr>
      <w:r>
        <w:rPr>
          <w:noProof/>
        </w:rPr>
        <w:drawing>
          <wp:inline distT="0" distB="0" distL="0" distR="0" wp14:anchorId="734F171F" wp14:editId="7CA74473">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0EF36E2" w14:textId="77777777" w:rsidR="003769ED" w:rsidRDefault="003769ED" w:rsidP="003769ED">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14194FE0" w14:textId="77777777" w:rsidR="003769ED" w:rsidRPr="001E50BB" w:rsidRDefault="003769ED" w:rsidP="003769ED">
      <w:pPr>
        <w:jc w:val="center"/>
        <w:rPr>
          <w:rFonts w:ascii="Arial" w:hAnsi="Arial" w:cs="Arial"/>
          <w:b/>
          <w:lang w:val="cy-GB"/>
        </w:rPr>
      </w:pPr>
      <w:r w:rsidRPr="001E50BB">
        <w:rPr>
          <w:rFonts w:ascii="Arial" w:hAnsi="Arial" w:cs="Arial"/>
          <w:b/>
          <w:lang w:val="cy-GB"/>
        </w:rPr>
        <w:t>(to be completed by marker)</w:t>
      </w:r>
    </w:p>
    <w:p w14:paraId="2A19FAB3" w14:textId="77777777" w:rsidR="003769ED" w:rsidRPr="001E50BB" w:rsidRDefault="003769ED" w:rsidP="003769ED">
      <w:pPr>
        <w:jc w:val="center"/>
        <w:rPr>
          <w:rFonts w:ascii="Arial" w:hAnsi="Arial" w:cs="Arial"/>
          <w:b/>
          <w:lang w:val="cy-GB"/>
        </w:rPr>
      </w:pPr>
    </w:p>
    <w:p w14:paraId="41B372F4" w14:textId="77777777" w:rsidR="003769ED" w:rsidRDefault="003769ED" w:rsidP="003769ED">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3769ED" w:rsidRPr="0065654E" w14:paraId="466055B2" w14:textId="77777777" w:rsidTr="009C1A96">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1C4DD0E3" w14:textId="75E43895" w:rsidR="003769ED" w:rsidRPr="003769ED" w:rsidRDefault="003769ED" w:rsidP="009C1A96">
            <w:pPr>
              <w:pStyle w:val="NormalWeb"/>
              <w:spacing w:before="0" w:beforeAutospacing="0" w:after="0" w:afterAutospacing="0"/>
              <w:ind w:right="34"/>
              <w:rPr>
                <w:rFonts w:ascii="Calibri" w:hAnsi="Calibri" w:cs="Tahoma"/>
                <w:sz w:val="24"/>
                <w:szCs w:val="24"/>
              </w:rPr>
            </w:pPr>
            <w:r w:rsidRPr="0065654E">
              <w:rPr>
                <w:rFonts w:ascii="Calibri" w:hAnsi="Calibri" w:cs="Tahoma"/>
                <w:i/>
                <w:sz w:val="24"/>
                <w:szCs w:val="24"/>
              </w:rPr>
              <w:t>Student Na</w:t>
            </w:r>
            <w:r>
              <w:rPr>
                <w:rFonts w:ascii="Calibri" w:hAnsi="Calibri" w:cs="Tahoma"/>
                <w:i/>
                <w:sz w:val="24"/>
                <w:szCs w:val="24"/>
              </w:rPr>
              <w:t>me:</w:t>
            </w:r>
            <w:r>
              <w:rPr>
                <w:rFonts w:ascii="Calibri" w:hAnsi="Calibri" w:cs="Tahoma"/>
                <w:i/>
                <w:sz w:val="24"/>
                <w:szCs w:val="24"/>
              </w:rPr>
              <w:t xml:space="preserve"> Rachel Owen</w:t>
            </w:r>
          </w:p>
          <w:p w14:paraId="70534A8F" w14:textId="77777777" w:rsidR="003769ED" w:rsidRPr="0065654E" w:rsidRDefault="003769ED" w:rsidP="009C1A96">
            <w:pPr>
              <w:pStyle w:val="NormalWeb"/>
              <w:spacing w:before="0" w:beforeAutospacing="0" w:after="0" w:afterAutospacing="0"/>
              <w:ind w:right="34"/>
              <w:rPr>
                <w:rFonts w:ascii="Calibri" w:hAnsi="Calibri" w:cs="Tahoma"/>
                <w:i/>
                <w:sz w:val="24"/>
                <w:szCs w:val="24"/>
              </w:rPr>
            </w:pPr>
          </w:p>
        </w:tc>
      </w:tr>
      <w:tr w:rsidR="003769ED" w:rsidRPr="0065654E" w14:paraId="61035A64" w14:textId="77777777" w:rsidTr="009C1A96">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78C47057" w14:textId="01EEA28A" w:rsidR="003769ED" w:rsidRDefault="003769ED" w:rsidP="009C1A96">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Code: </w:t>
            </w:r>
            <w:r w:rsidRPr="003769ED">
              <w:rPr>
                <w:rFonts w:ascii="Calibri" w:hAnsi="Calibri" w:cs="Tahoma"/>
                <w:i/>
                <w:sz w:val="24"/>
                <w:szCs w:val="24"/>
              </w:rPr>
              <w:t>HPAH4005</w:t>
            </w:r>
          </w:p>
          <w:p w14:paraId="2316C247" w14:textId="77777777" w:rsidR="003769ED" w:rsidRDefault="003769ED" w:rsidP="009C1A96">
            <w:pPr>
              <w:pStyle w:val="NormalWeb"/>
              <w:spacing w:before="0" w:beforeAutospacing="0" w:after="0" w:afterAutospacing="0"/>
              <w:ind w:right="34"/>
              <w:rPr>
                <w:rFonts w:ascii="Calibri" w:hAnsi="Calibri" w:cs="Tahoma"/>
                <w:i/>
                <w:sz w:val="24"/>
                <w:szCs w:val="24"/>
              </w:rPr>
            </w:pPr>
          </w:p>
          <w:p w14:paraId="3B27DD42" w14:textId="64B82538" w:rsidR="003769ED" w:rsidRDefault="003769ED" w:rsidP="009C1A96">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rPr>
                <w:rFonts w:ascii="Calibri" w:hAnsi="Calibri" w:cs="Tahoma"/>
                <w:i/>
                <w:sz w:val="24"/>
                <w:szCs w:val="24"/>
              </w:rPr>
              <w:t>Cauldron of Democracy and Tragedy</w:t>
            </w:r>
          </w:p>
          <w:p w14:paraId="0360010D" w14:textId="77777777" w:rsidR="003769ED" w:rsidRPr="0065654E" w:rsidRDefault="003769ED" w:rsidP="009C1A96">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14:paraId="1514FB8F" w14:textId="5198AB4B" w:rsidR="003769ED" w:rsidRPr="0065654E" w:rsidRDefault="003769ED" w:rsidP="009C1A96">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1801974</w:t>
            </w:r>
          </w:p>
        </w:tc>
      </w:tr>
      <w:tr w:rsidR="003769ED" w:rsidRPr="0065654E" w14:paraId="7FC17E23" w14:textId="77777777" w:rsidTr="009C1A96">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58AF8611" w14:textId="77777777" w:rsidR="003769ED" w:rsidRPr="0065654E" w:rsidRDefault="003769ED" w:rsidP="009C1A96">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60B72EEA" w14:textId="77777777" w:rsidR="003769ED" w:rsidRDefault="003769ED" w:rsidP="009C1A96">
            <w:pPr>
              <w:pStyle w:val="NormalWeb"/>
              <w:rPr>
                <w:rFonts w:ascii="Calibri" w:hAnsi="Calibri" w:cs="Tahoma"/>
                <w:i/>
                <w:sz w:val="24"/>
                <w:szCs w:val="24"/>
              </w:rPr>
            </w:pPr>
            <w:r w:rsidRPr="0065654E">
              <w:rPr>
                <w:rFonts w:ascii="Calibri" w:hAnsi="Calibri" w:cs="Tahoma"/>
                <w:i/>
                <w:sz w:val="24"/>
                <w:szCs w:val="24"/>
              </w:rPr>
              <w:t>Comments:</w:t>
            </w:r>
          </w:p>
          <w:p w14:paraId="6E8FA0B2" w14:textId="77777777" w:rsidR="003769ED" w:rsidRDefault="003769ED" w:rsidP="009C1A96">
            <w:pPr>
              <w:pStyle w:val="NormalWeb"/>
              <w:rPr>
                <w:rFonts w:ascii="Calibri" w:hAnsi="Calibri" w:cs="Tahoma"/>
                <w:i/>
                <w:sz w:val="24"/>
                <w:szCs w:val="24"/>
              </w:rPr>
            </w:pPr>
          </w:p>
          <w:p w14:paraId="1714B6C4" w14:textId="77777777" w:rsidR="003769ED" w:rsidRDefault="003769ED" w:rsidP="009C1A96">
            <w:pPr>
              <w:pStyle w:val="NormalWeb"/>
              <w:rPr>
                <w:rFonts w:ascii="Calibri" w:hAnsi="Calibri" w:cs="Tahoma"/>
                <w:i/>
                <w:sz w:val="24"/>
                <w:szCs w:val="24"/>
              </w:rPr>
            </w:pPr>
          </w:p>
          <w:p w14:paraId="10B4387A" w14:textId="77777777" w:rsidR="003769ED" w:rsidRDefault="003769ED" w:rsidP="009C1A96">
            <w:pPr>
              <w:pStyle w:val="NormalWeb"/>
              <w:rPr>
                <w:rFonts w:ascii="Calibri" w:hAnsi="Calibri" w:cs="Tahoma"/>
                <w:i/>
                <w:sz w:val="24"/>
                <w:szCs w:val="24"/>
              </w:rPr>
            </w:pPr>
          </w:p>
          <w:p w14:paraId="6CE7476E" w14:textId="77777777" w:rsidR="003769ED" w:rsidRDefault="003769ED" w:rsidP="009C1A96">
            <w:pPr>
              <w:pStyle w:val="NormalWeb"/>
              <w:rPr>
                <w:rFonts w:ascii="Calibri" w:hAnsi="Calibri" w:cs="Tahoma"/>
                <w:i/>
                <w:sz w:val="24"/>
                <w:szCs w:val="24"/>
              </w:rPr>
            </w:pPr>
          </w:p>
          <w:p w14:paraId="7FAC401E" w14:textId="77777777" w:rsidR="003769ED" w:rsidRDefault="003769ED" w:rsidP="009C1A96">
            <w:pPr>
              <w:pStyle w:val="NormalWeb"/>
              <w:rPr>
                <w:rFonts w:ascii="Calibri" w:hAnsi="Calibri" w:cs="Tahoma"/>
                <w:i/>
                <w:sz w:val="24"/>
                <w:szCs w:val="24"/>
              </w:rPr>
            </w:pPr>
          </w:p>
          <w:p w14:paraId="0E24B42A" w14:textId="77777777" w:rsidR="003769ED" w:rsidRDefault="003769ED" w:rsidP="009C1A96">
            <w:pPr>
              <w:pStyle w:val="NormalWeb"/>
              <w:rPr>
                <w:rFonts w:ascii="Calibri" w:hAnsi="Calibri" w:cs="Tahoma"/>
                <w:i/>
                <w:sz w:val="24"/>
                <w:szCs w:val="24"/>
              </w:rPr>
            </w:pPr>
          </w:p>
          <w:p w14:paraId="31206D13" w14:textId="77777777" w:rsidR="003769ED" w:rsidRDefault="003769ED" w:rsidP="009C1A96">
            <w:pPr>
              <w:pStyle w:val="NormalWeb"/>
              <w:rPr>
                <w:rFonts w:ascii="Calibri" w:hAnsi="Calibri" w:cs="Tahoma"/>
                <w:i/>
                <w:sz w:val="24"/>
                <w:szCs w:val="24"/>
              </w:rPr>
            </w:pPr>
          </w:p>
          <w:p w14:paraId="4405461F" w14:textId="77777777" w:rsidR="003769ED" w:rsidRDefault="003769ED" w:rsidP="009C1A96">
            <w:pPr>
              <w:pStyle w:val="NormalWeb"/>
              <w:rPr>
                <w:rFonts w:ascii="Calibri" w:hAnsi="Calibri" w:cs="Tahoma"/>
                <w:i/>
                <w:sz w:val="24"/>
                <w:szCs w:val="24"/>
              </w:rPr>
            </w:pPr>
          </w:p>
          <w:p w14:paraId="195FF366" w14:textId="77777777" w:rsidR="003769ED" w:rsidRDefault="003769ED" w:rsidP="009C1A96">
            <w:pPr>
              <w:pStyle w:val="NormalWeb"/>
              <w:rPr>
                <w:rFonts w:ascii="Calibri" w:hAnsi="Calibri" w:cs="Tahoma"/>
                <w:i/>
                <w:sz w:val="24"/>
                <w:szCs w:val="24"/>
              </w:rPr>
            </w:pPr>
          </w:p>
          <w:p w14:paraId="11094542" w14:textId="77777777" w:rsidR="003769ED" w:rsidRDefault="003769ED" w:rsidP="009C1A96">
            <w:pPr>
              <w:pStyle w:val="NormalWeb"/>
              <w:rPr>
                <w:rFonts w:ascii="Calibri" w:hAnsi="Calibri" w:cs="Tahoma"/>
                <w:i/>
                <w:sz w:val="24"/>
                <w:szCs w:val="24"/>
              </w:rPr>
            </w:pPr>
          </w:p>
          <w:p w14:paraId="2BB2A71B" w14:textId="77777777" w:rsidR="003769ED" w:rsidRPr="0065654E" w:rsidRDefault="003769ED" w:rsidP="009C1A96">
            <w:pPr>
              <w:pStyle w:val="NormalWeb"/>
              <w:rPr>
                <w:rFonts w:ascii="Calibri" w:hAnsi="Calibri" w:cs="Tahoma"/>
                <w:i/>
                <w:sz w:val="24"/>
                <w:szCs w:val="24"/>
              </w:rPr>
            </w:pPr>
          </w:p>
        </w:tc>
      </w:tr>
      <w:tr w:rsidR="003769ED" w:rsidRPr="0065654E" w14:paraId="602A3CA1" w14:textId="77777777" w:rsidTr="009C1A96">
        <w:trPr>
          <w:trHeight w:val="492"/>
        </w:trPr>
        <w:tc>
          <w:tcPr>
            <w:tcW w:w="6768" w:type="dxa"/>
            <w:gridSpan w:val="2"/>
            <w:tcBorders>
              <w:top w:val="single" w:sz="4" w:space="0" w:color="auto"/>
            </w:tcBorders>
            <w:vAlign w:val="center"/>
          </w:tcPr>
          <w:p w14:paraId="3D1101EC" w14:textId="77777777" w:rsidR="003769ED" w:rsidRPr="0065654E" w:rsidRDefault="003769ED" w:rsidP="009C1A96">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5083824A" w14:textId="77777777" w:rsidR="003769ED" w:rsidRPr="0065654E" w:rsidRDefault="003769ED" w:rsidP="009C1A96">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3769ED" w:rsidRPr="0065654E" w14:paraId="1F1A79AD" w14:textId="77777777" w:rsidTr="009C1A96">
        <w:tc>
          <w:tcPr>
            <w:tcW w:w="8755" w:type="dxa"/>
            <w:gridSpan w:val="3"/>
            <w:vAlign w:val="center"/>
          </w:tcPr>
          <w:p w14:paraId="4F64CDF8" w14:textId="77777777" w:rsidR="003769ED" w:rsidRDefault="003769ED" w:rsidP="009C1A96">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693E88FE" w14:textId="77777777" w:rsidR="003769ED" w:rsidRPr="0065654E" w:rsidRDefault="003769ED" w:rsidP="009C1A96">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lastRenderedPageBreak/>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bookmarkStart w:id="0" w:name="_GoBack"/>
        <w:bookmarkEnd w:id="0"/>
      </w:tr>
    </w:tbl>
    <w:p w14:paraId="55BAAFEC" w14:textId="77777777" w:rsidR="003769ED" w:rsidRPr="0065654E" w:rsidRDefault="003769ED" w:rsidP="003769ED">
      <w:pPr>
        <w:pStyle w:val="NormalWeb"/>
        <w:spacing w:before="0" w:beforeAutospacing="0" w:after="0" w:afterAutospacing="0"/>
        <w:ind w:right="-334"/>
        <w:rPr>
          <w:rFonts w:ascii="Trebuchet MS" w:hAnsi="Trebuchet MS" w:cs="Tahoma"/>
          <w:b/>
          <w:bCs/>
          <w:sz w:val="24"/>
          <w:szCs w:val="24"/>
        </w:rPr>
      </w:pPr>
    </w:p>
    <w:p w14:paraId="66B87178" w14:textId="7CCDAA99" w:rsidR="00F35020" w:rsidRDefault="000A61D4" w:rsidP="007E133E">
      <w:pPr>
        <w:jc w:val="both"/>
        <w:rPr>
          <w:rFonts w:ascii="Times New Roman" w:hAnsi="Times New Roman" w:cs="Times New Roman"/>
        </w:rPr>
      </w:pPr>
      <w:r w:rsidRPr="00DB3B47">
        <w:rPr>
          <w:rFonts w:ascii="Times New Roman" w:hAnsi="Times New Roman" w:cs="Times New Roman"/>
          <w:i/>
        </w:rPr>
        <w:t>Hellenica</w:t>
      </w:r>
      <w:r w:rsidR="004E78FC">
        <w:rPr>
          <w:rFonts w:ascii="Times New Roman" w:hAnsi="Times New Roman" w:cs="Times New Roman"/>
        </w:rPr>
        <w:t xml:space="preserve"> 2.2.3 is part of a seven-book series on the history of Greece from 411 to 362 BCE.</w:t>
      </w:r>
      <w:r w:rsidR="004E78FC">
        <w:rPr>
          <w:rStyle w:val="FootnoteReference"/>
          <w:rFonts w:ascii="Times New Roman" w:hAnsi="Times New Roman" w:cs="Times New Roman"/>
        </w:rPr>
        <w:footnoteReference w:id="1"/>
      </w:r>
      <w:r w:rsidR="004E78FC">
        <w:rPr>
          <w:rFonts w:ascii="Times New Roman" w:hAnsi="Times New Roman" w:cs="Times New Roman"/>
        </w:rPr>
        <w:t xml:space="preserve"> The extract was taken from a section </w:t>
      </w:r>
      <w:r w:rsidR="007E133E" w:rsidRPr="007E133E">
        <w:rPr>
          <w:rFonts w:ascii="Times New Roman" w:hAnsi="Times New Roman" w:cs="Times New Roman"/>
        </w:rPr>
        <w:t>surrounding the Spartan occupation of Decelea in Attica during the Peloponnesian War, the regime of The Thirty and the restoration of democracy in Athens.</w:t>
      </w:r>
      <w:r w:rsidR="008B3303">
        <w:rPr>
          <w:rStyle w:val="FootnoteReference"/>
          <w:rFonts w:ascii="Times New Roman" w:hAnsi="Times New Roman" w:cs="Times New Roman"/>
        </w:rPr>
        <w:footnoteReference w:id="2"/>
      </w:r>
      <w:r w:rsidR="007E133E" w:rsidRPr="007E133E">
        <w:rPr>
          <w:rFonts w:ascii="Times New Roman" w:hAnsi="Times New Roman" w:cs="Times New Roman"/>
        </w:rPr>
        <w:t xml:space="preserve"> 2.2.3 specifically centres around the oncoming attack of the Spartans </w:t>
      </w:r>
      <w:r w:rsidR="008B3303">
        <w:rPr>
          <w:rFonts w:ascii="Times New Roman" w:hAnsi="Times New Roman" w:cs="Times New Roman"/>
        </w:rPr>
        <w:t>and the</w:t>
      </w:r>
      <w:r w:rsidR="00A81C69">
        <w:rPr>
          <w:rFonts w:ascii="Times New Roman" w:hAnsi="Times New Roman" w:cs="Times New Roman"/>
        </w:rPr>
        <w:t xml:space="preserve"> mass</w:t>
      </w:r>
      <w:r w:rsidR="008B3303">
        <w:rPr>
          <w:rFonts w:ascii="Times New Roman" w:hAnsi="Times New Roman" w:cs="Times New Roman"/>
        </w:rPr>
        <w:t xml:space="preserve"> panic it ensues for the community. </w:t>
      </w:r>
      <w:r w:rsidR="00146451">
        <w:rPr>
          <w:rFonts w:ascii="Times New Roman" w:hAnsi="Times New Roman" w:cs="Times New Roman"/>
        </w:rPr>
        <w:t xml:space="preserve">This essay focuses on the depiction of the event </w:t>
      </w:r>
      <w:r w:rsidR="00A81C69">
        <w:rPr>
          <w:rFonts w:ascii="Times New Roman" w:hAnsi="Times New Roman" w:cs="Times New Roman"/>
        </w:rPr>
        <w:t xml:space="preserve">and its impact on the citizens of Decelea. </w:t>
      </w:r>
    </w:p>
    <w:p w14:paraId="5E2E17AD" w14:textId="0C81E6FB" w:rsidR="00146451" w:rsidRDefault="00146451" w:rsidP="007E133E">
      <w:pPr>
        <w:jc w:val="both"/>
        <w:rPr>
          <w:rFonts w:ascii="Times New Roman" w:hAnsi="Times New Roman" w:cs="Times New Roman"/>
        </w:rPr>
      </w:pPr>
      <w:r>
        <w:rPr>
          <w:rFonts w:ascii="Times New Roman" w:hAnsi="Times New Roman" w:cs="Times New Roman"/>
        </w:rPr>
        <w:t xml:space="preserve">Xenophon was perceived to dramatize his works </w:t>
      </w:r>
      <w:r w:rsidR="005F5C2D">
        <w:rPr>
          <w:rFonts w:ascii="Times New Roman" w:hAnsi="Times New Roman" w:cs="Times New Roman"/>
        </w:rPr>
        <w:t>and gave a biased interpretation</w:t>
      </w:r>
      <w:r w:rsidR="00A81C69">
        <w:rPr>
          <w:rFonts w:ascii="Times New Roman" w:hAnsi="Times New Roman" w:cs="Times New Roman"/>
        </w:rPr>
        <w:t>,</w:t>
      </w:r>
      <w:r w:rsidR="005F5C2D">
        <w:rPr>
          <w:rFonts w:ascii="Times New Roman" w:hAnsi="Times New Roman" w:cs="Times New Roman"/>
        </w:rPr>
        <w:t xml:space="preserve"> in that his writing was often less favourable to the Spartans</w:t>
      </w:r>
      <w:r w:rsidR="00A81C69">
        <w:rPr>
          <w:rFonts w:ascii="Times New Roman" w:hAnsi="Times New Roman" w:cs="Times New Roman"/>
        </w:rPr>
        <w:t>.</w:t>
      </w:r>
      <w:r w:rsidR="005F5C2D">
        <w:rPr>
          <w:rFonts w:ascii="Times New Roman" w:hAnsi="Times New Roman" w:cs="Times New Roman"/>
        </w:rPr>
        <w:t xml:space="preserve"> </w:t>
      </w:r>
      <w:r w:rsidR="00A81C69">
        <w:rPr>
          <w:rFonts w:ascii="Times New Roman" w:hAnsi="Times New Roman" w:cs="Times New Roman"/>
        </w:rPr>
        <w:t>W</w:t>
      </w:r>
      <w:r w:rsidR="005F5C2D">
        <w:rPr>
          <w:rFonts w:ascii="Times New Roman" w:hAnsi="Times New Roman" w:cs="Times New Roman"/>
        </w:rPr>
        <w:t>hich was ironic considering he was a dependent of them after his exile from Athens.</w:t>
      </w:r>
      <w:r w:rsidR="004E78FC">
        <w:rPr>
          <w:rStyle w:val="FootnoteReference"/>
          <w:rFonts w:ascii="Times New Roman" w:hAnsi="Times New Roman" w:cs="Times New Roman"/>
        </w:rPr>
        <w:footnoteReference w:id="3"/>
      </w:r>
    </w:p>
    <w:p w14:paraId="7D25BFBC" w14:textId="30778710" w:rsidR="00541C4F" w:rsidRDefault="00541C4F" w:rsidP="00541C4F">
      <w:pPr>
        <w:jc w:val="both"/>
        <w:rPr>
          <w:rFonts w:ascii="Times New Roman" w:hAnsi="Times New Roman" w:cs="Times New Roman"/>
        </w:rPr>
      </w:pPr>
      <w:r>
        <w:rPr>
          <w:rFonts w:ascii="Times New Roman" w:hAnsi="Times New Roman" w:cs="Times New Roman"/>
        </w:rPr>
        <w:t>A messenger ship arrives inform</w:t>
      </w:r>
      <w:r w:rsidR="00732084">
        <w:rPr>
          <w:rFonts w:ascii="Times New Roman" w:hAnsi="Times New Roman" w:cs="Times New Roman"/>
        </w:rPr>
        <w:t>ing</w:t>
      </w:r>
      <w:r>
        <w:rPr>
          <w:rFonts w:ascii="Times New Roman" w:hAnsi="Times New Roman" w:cs="Times New Roman"/>
        </w:rPr>
        <w:t xml:space="preserve"> the Athenians</w:t>
      </w:r>
      <w:r w:rsidR="00732084">
        <w:rPr>
          <w:rFonts w:ascii="Times New Roman" w:hAnsi="Times New Roman" w:cs="Times New Roman"/>
        </w:rPr>
        <w:t xml:space="preserve"> of</w:t>
      </w:r>
      <w:r>
        <w:rPr>
          <w:rFonts w:ascii="Times New Roman" w:hAnsi="Times New Roman" w:cs="Times New Roman"/>
        </w:rPr>
        <w:t xml:space="preserve"> the Spartan </w:t>
      </w:r>
      <w:r w:rsidR="00732084">
        <w:rPr>
          <w:rFonts w:ascii="Times New Roman" w:hAnsi="Times New Roman" w:cs="Times New Roman"/>
        </w:rPr>
        <w:t>invasion</w:t>
      </w:r>
      <w:r>
        <w:rPr>
          <w:rFonts w:ascii="Times New Roman" w:hAnsi="Times New Roman" w:cs="Times New Roman"/>
        </w:rPr>
        <w:t xml:space="preserve"> coming</w:t>
      </w:r>
      <w:r w:rsidR="00732084">
        <w:rPr>
          <w:rFonts w:ascii="Times New Roman" w:hAnsi="Times New Roman" w:cs="Times New Roman"/>
        </w:rPr>
        <w:t>,</w:t>
      </w:r>
      <w:r>
        <w:rPr>
          <w:rFonts w:ascii="Times New Roman" w:hAnsi="Times New Roman" w:cs="Times New Roman"/>
        </w:rPr>
        <w:t xml:space="preserve"> </w:t>
      </w:r>
      <w:r w:rsidR="00732084">
        <w:rPr>
          <w:rFonts w:ascii="Times New Roman" w:hAnsi="Times New Roman" w:cs="Times New Roman"/>
        </w:rPr>
        <w:t>i</w:t>
      </w:r>
      <w:r>
        <w:rPr>
          <w:rFonts w:ascii="Times New Roman" w:hAnsi="Times New Roman" w:cs="Times New Roman"/>
        </w:rPr>
        <w:t>mmediately the people mourn for the fallen and for their fate which they fear will be akin to the suffering they inflicted building their empire. “Wailing” can be heard city wide and speaks to the utter despair felt upon what they perceive to be their impending doom. No one sleeps as a result of pure anxious tension as they recall past faults inflicted on other cities and f</w:t>
      </w:r>
      <w:r w:rsidR="00804053">
        <w:rPr>
          <w:rFonts w:ascii="Times New Roman" w:hAnsi="Times New Roman" w:cs="Times New Roman"/>
        </w:rPr>
        <w:t>all to the illusion</w:t>
      </w:r>
      <w:r>
        <w:rPr>
          <w:rFonts w:ascii="Times New Roman" w:hAnsi="Times New Roman" w:cs="Times New Roman"/>
        </w:rPr>
        <w:t xml:space="preserve"> that this is some form of cosmic order coming back to punish them.</w:t>
      </w:r>
      <w:r>
        <w:rPr>
          <w:rStyle w:val="FootnoteReference"/>
          <w:rFonts w:ascii="Times New Roman" w:hAnsi="Times New Roman" w:cs="Times New Roman"/>
        </w:rPr>
        <w:footnoteReference w:id="4"/>
      </w:r>
      <w:r>
        <w:rPr>
          <w:rFonts w:ascii="Times New Roman" w:hAnsi="Times New Roman" w:cs="Times New Roman"/>
        </w:rPr>
        <w:t xml:space="preserve"> The city of “Histiaea” (Oreus) was taken by the Greek fleet, commoners were expelled and replaced with 2000 Athenian colonists.</w:t>
      </w:r>
      <w:r>
        <w:rPr>
          <w:rStyle w:val="FootnoteReference"/>
          <w:rFonts w:ascii="Times New Roman" w:hAnsi="Times New Roman" w:cs="Times New Roman"/>
        </w:rPr>
        <w:footnoteReference w:id="5"/>
      </w:r>
      <w:r>
        <w:rPr>
          <w:rFonts w:ascii="Times New Roman" w:hAnsi="Times New Roman" w:cs="Times New Roman"/>
        </w:rPr>
        <w:t xml:space="preserve"> “Scione” was besieged by the Greek’s, most adult males were executed and women and children were enslaved.</w:t>
      </w:r>
      <w:r>
        <w:rPr>
          <w:rStyle w:val="FootnoteReference"/>
          <w:rFonts w:ascii="Times New Roman" w:hAnsi="Times New Roman" w:cs="Times New Roman"/>
        </w:rPr>
        <w:footnoteReference w:id="6"/>
      </w:r>
      <w:r>
        <w:rPr>
          <w:rFonts w:ascii="Times New Roman" w:hAnsi="Times New Roman" w:cs="Times New Roman"/>
        </w:rPr>
        <w:t xml:space="preserve"> If karma was indeed a defining factor, past atrocities would leave the Greeks in turmoil. </w:t>
      </w:r>
    </w:p>
    <w:p w14:paraId="04CABADD" w14:textId="2A459D68" w:rsidR="00631256" w:rsidRDefault="00631256" w:rsidP="007E133E">
      <w:pPr>
        <w:jc w:val="both"/>
        <w:rPr>
          <w:rFonts w:ascii="Times New Roman" w:hAnsi="Times New Roman" w:cs="Times New Roman"/>
        </w:rPr>
      </w:pPr>
      <w:r>
        <w:rPr>
          <w:rFonts w:ascii="Times New Roman" w:hAnsi="Times New Roman" w:cs="Times New Roman"/>
        </w:rPr>
        <w:t>Di</w:t>
      </w:r>
      <w:r w:rsidR="006820E0">
        <w:rPr>
          <w:rFonts w:ascii="Times New Roman" w:hAnsi="Times New Roman" w:cs="Times New Roman"/>
        </w:rPr>
        <w:t xml:space="preserve">odorus’ parallel work in </w:t>
      </w:r>
      <w:r w:rsidR="006820E0" w:rsidRPr="00732084">
        <w:rPr>
          <w:rFonts w:ascii="Times New Roman" w:hAnsi="Times New Roman" w:cs="Times New Roman"/>
          <w:i/>
        </w:rPr>
        <w:t>Siculus</w:t>
      </w:r>
      <w:r w:rsidR="006820E0">
        <w:rPr>
          <w:rFonts w:ascii="Times New Roman" w:hAnsi="Times New Roman" w:cs="Times New Roman"/>
        </w:rPr>
        <w:t xml:space="preserve"> depicts </w:t>
      </w:r>
      <w:r w:rsidR="00732084">
        <w:rPr>
          <w:rFonts w:ascii="Times New Roman" w:hAnsi="Times New Roman" w:cs="Times New Roman"/>
        </w:rPr>
        <w:t>t</w:t>
      </w:r>
      <w:r w:rsidR="006820E0">
        <w:rPr>
          <w:rFonts w:ascii="Times New Roman" w:hAnsi="Times New Roman" w:cs="Times New Roman"/>
        </w:rPr>
        <w:t>he Athenians counter measures a</w:t>
      </w:r>
      <w:r w:rsidR="00732084">
        <w:rPr>
          <w:rFonts w:ascii="Times New Roman" w:hAnsi="Times New Roman" w:cs="Times New Roman"/>
        </w:rPr>
        <w:t>s</w:t>
      </w:r>
      <w:r w:rsidR="006820E0">
        <w:rPr>
          <w:rFonts w:ascii="Times New Roman" w:hAnsi="Times New Roman" w:cs="Times New Roman"/>
        </w:rPr>
        <w:t xml:space="preserve"> immediate</w:t>
      </w:r>
      <w:r w:rsidR="00331FB4">
        <w:rPr>
          <w:rFonts w:ascii="Times New Roman" w:hAnsi="Times New Roman" w:cs="Times New Roman"/>
        </w:rPr>
        <w:t xml:space="preserve">, they quickly prepare for the oncoming attack by reinforcing their walls and blocking their harbours. The Spartan attack arrives adjacent to Athenian preparation and the army is pitched at the city walls as the last port left open for supplies is blocked. Diodorus’ account is compressed and focuses solely on the capturing of Attica </w:t>
      </w:r>
      <w:r w:rsidR="00804053">
        <w:rPr>
          <w:rFonts w:ascii="Times New Roman" w:hAnsi="Times New Roman" w:cs="Times New Roman"/>
        </w:rPr>
        <w:t xml:space="preserve">through means of </w:t>
      </w:r>
      <w:r w:rsidR="00331FB4">
        <w:rPr>
          <w:rFonts w:ascii="Times New Roman" w:hAnsi="Times New Roman" w:cs="Times New Roman"/>
        </w:rPr>
        <w:t xml:space="preserve"> depriv</w:t>
      </w:r>
      <w:r w:rsidR="00804053">
        <w:rPr>
          <w:rFonts w:ascii="Times New Roman" w:hAnsi="Times New Roman" w:cs="Times New Roman"/>
        </w:rPr>
        <w:t>ation</w:t>
      </w:r>
      <w:r w:rsidR="00331FB4">
        <w:rPr>
          <w:rFonts w:ascii="Times New Roman" w:hAnsi="Times New Roman" w:cs="Times New Roman"/>
        </w:rPr>
        <w:t xml:space="preserve"> of supplies until many</w:t>
      </w:r>
      <w:r w:rsidR="00732084">
        <w:rPr>
          <w:rFonts w:ascii="Times New Roman" w:hAnsi="Times New Roman" w:cs="Times New Roman"/>
        </w:rPr>
        <w:t xml:space="preserve"> citizens</w:t>
      </w:r>
      <w:r w:rsidR="00331FB4">
        <w:rPr>
          <w:rFonts w:ascii="Times New Roman" w:hAnsi="Times New Roman" w:cs="Times New Roman"/>
        </w:rPr>
        <w:t xml:space="preserve"> had died.</w:t>
      </w:r>
      <w:r w:rsidR="00331FB4">
        <w:rPr>
          <w:rStyle w:val="FootnoteReference"/>
          <w:rFonts w:ascii="Times New Roman" w:hAnsi="Times New Roman" w:cs="Times New Roman"/>
        </w:rPr>
        <w:footnoteReference w:id="7"/>
      </w:r>
      <w:r w:rsidR="00331FB4">
        <w:rPr>
          <w:rFonts w:ascii="Times New Roman" w:hAnsi="Times New Roman" w:cs="Times New Roman"/>
        </w:rPr>
        <w:t xml:space="preserve"> </w:t>
      </w:r>
      <w:r w:rsidR="006820E0">
        <w:rPr>
          <w:rFonts w:ascii="Times New Roman" w:hAnsi="Times New Roman" w:cs="Times New Roman"/>
        </w:rPr>
        <w:t>Xenophon’s</w:t>
      </w:r>
      <w:r w:rsidR="00C4022C">
        <w:rPr>
          <w:rFonts w:ascii="Times New Roman" w:hAnsi="Times New Roman" w:cs="Times New Roman"/>
        </w:rPr>
        <w:t xml:space="preserve"> account</w:t>
      </w:r>
      <w:r w:rsidR="006820E0">
        <w:rPr>
          <w:rFonts w:ascii="Times New Roman" w:hAnsi="Times New Roman" w:cs="Times New Roman"/>
        </w:rPr>
        <w:t xml:space="preserve"> takes place over two days</w:t>
      </w:r>
      <w:r w:rsidR="00804053">
        <w:rPr>
          <w:rFonts w:ascii="Times New Roman" w:hAnsi="Times New Roman" w:cs="Times New Roman"/>
        </w:rPr>
        <w:t>, the preparation for attack doesn’t begin until the next day after an Assembly has been called to decide action.</w:t>
      </w:r>
      <w:r w:rsidR="00804053">
        <w:rPr>
          <w:rStyle w:val="FootnoteReference"/>
          <w:rFonts w:ascii="Times New Roman" w:hAnsi="Times New Roman" w:cs="Times New Roman"/>
        </w:rPr>
        <w:footnoteReference w:id="8"/>
      </w:r>
      <w:r w:rsidR="006820E0">
        <w:rPr>
          <w:rFonts w:ascii="Times New Roman" w:hAnsi="Times New Roman" w:cs="Times New Roman"/>
        </w:rPr>
        <w:t xml:space="preserve"> With both depictions supposedly being </w:t>
      </w:r>
      <w:r w:rsidR="00CF1C56">
        <w:rPr>
          <w:rFonts w:ascii="Times New Roman" w:hAnsi="Times New Roman" w:cs="Times New Roman"/>
        </w:rPr>
        <w:t>first-hand</w:t>
      </w:r>
      <w:r w:rsidR="006820E0">
        <w:rPr>
          <w:rFonts w:ascii="Times New Roman" w:hAnsi="Times New Roman" w:cs="Times New Roman"/>
        </w:rPr>
        <w:t xml:space="preserve"> accounts </w:t>
      </w:r>
      <w:r w:rsidR="00CF1C56">
        <w:rPr>
          <w:rFonts w:ascii="Times New Roman" w:hAnsi="Times New Roman" w:cs="Times New Roman"/>
        </w:rPr>
        <w:t>of Greek</w:t>
      </w:r>
      <w:r w:rsidR="006820E0">
        <w:rPr>
          <w:rFonts w:ascii="Times New Roman" w:hAnsi="Times New Roman" w:cs="Times New Roman"/>
        </w:rPr>
        <w:t xml:space="preserve"> mercenaries in a failed rebellion it begs the question, why are their accounts so different? </w:t>
      </w:r>
    </w:p>
    <w:p w14:paraId="5548B609" w14:textId="1F8E065E" w:rsidR="007237F3" w:rsidRDefault="00732084" w:rsidP="007E133E">
      <w:pPr>
        <w:jc w:val="both"/>
        <w:rPr>
          <w:rFonts w:ascii="Times New Roman" w:hAnsi="Times New Roman" w:cs="Times New Roman"/>
        </w:rPr>
      </w:pPr>
      <w:r w:rsidRPr="00732084">
        <w:rPr>
          <w:rFonts w:ascii="Times New Roman" w:hAnsi="Times New Roman" w:cs="Times New Roman"/>
        </w:rPr>
        <w:t xml:space="preserve">Xenophon’s interpretation </w:t>
      </w:r>
      <w:r>
        <w:rPr>
          <w:rFonts w:ascii="Times New Roman" w:hAnsi="Times New Roman" w:cs="Times New Roman"/>
        </w:rPr>
        <w:t xml:space="preserve">leaves the Athenians in moral panic as the attack arrives, whereas Diodorus depicts them as collected and strategic. </w:t>
      </w:r>
      <w:r w:rsidRPr="00732084">
        <w:rPr>
          <w:rFonts w:ascii="Times New Roman" w:hAnsi="Times New Roman" w:cs="Times New Roman"/>
          <w:i/>
        </w:rPr>
        <w:t>Hellenica</w:t>
      </w:r>
      <w:r>
        <w:rPr>
          <w:rFonts w:ascii="Times New Roman" w:hAnsi="Times New Roman" w:cs="Times New Roman"/>
        </w:rPr>
        <w:t xml:space="preserve"> is clearly the more dramatic telling of events which coincides with Xenophon’s form of writing</w:t>
      </w:r>
      <w:r w:rsidR="00F8476B">
        <w:rPr>
          <w:rFonts w:ascii="Times New Roman" w:hAnsi="Times New Roman" w:cs="Times New Roman"/>
        </w:rPr>
        <w:t>, almost creating a drama for stage. This is reinforced through his neglect of key features such as the foundation of the second Athenian League and Theban leaders Pelopidas and Epaminondas.</w:t>
      </w:r>
      <w:r w:rsidR="007237F3">
        <w:rPr>
          <w:rStyle w:val="FootnoteReference"/>
          <w:rFonts w:ascii="Times New Roman" w:hAnsi="Times New Roman" w:cs="Times New Roman"/>
        </w:rPr>
        <w:footnoteReference w:id="9"/>
      </w:r>
    </w:p>
    <w:p w14:paraId="4C694A5D" w14:textId="4C84B81A" w:rsidR="007237F3" w:rsidRPr="007E133E" w:rsidRDefault="007237F3" w:rsidP="007E133E">
      <w:pPr>
        <w:jc w:val="both"/>
        <w:rPr>
          <w:rFonts w:ascii="Times New Roman" w:hAnsi="Times New Roman" w:cs="Times New Roman"/>
        </w:rPr>
      </w:pPr>
    </w:p>
    <w:sectPr w:rsidR="007237F3" w:rsidRPr="007E133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1124EB" w14:textId="77777777" w:rsidR="008B3303" w:rsidRDefault="008B3303" w:rsidP="008B3303">
      <w:pPr>
        <w:spacing w:after="0" w:line="240" w:lineRule="auto"/>
      </w:pPr>
      <w:r>
        <w:separator/>
      </w:r>
    </w:p>
  </w:endnote>
  <w:endnote w:type="continuationSeparator" w:id="0">
    <w:p w14:paraId="0CCA7108" w14:textId="77777777" w:rsidR="008B3303" w:rsidRDefault="008B3303" w:rsidP="008B33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7C1F4F" w14:textId="77777777" w:rsidR="008B3303" w:rsidRDefault="008B3303" w:rsidP="008B3303">
      <w:pPr>
        <w:spacing w:after="0" w:line="240" w:lineRule="auto"/>
      </w:pPr>
      <w:r>
        <w:separator/>
      </w:r>
    </w:p>
  </w:footnote>
  <w:footnote w:type="continuationSeparator" w:id="0">
    <w:p w14:paraId="58818FA7" w14:textId="77777777" w:rsidR="008B3303" w:rsidRDefault="008B3303" w:rsidP="008B3303">
      <w:pPr>
        <w:spacing w:after="0" w:line="240" w:lineRule="auto"/>
      </w:pPr>
      <w:r>
        <w:continuationSeparator/>
      </w:r>
    </w:p>
  </w:footnote>
  <w:footnote w:id="1">
    <w:p w14:paraId="0DF874DA" w14:textId="71717856" w:rsidR="004E78FC" w:rsidRDefault="004E78FC">
      <w:pPr>
        <w:pStyle w:val="FootnoteText"/>
      </w:pPr>
      <w:r>
        <w:rPr>
          <w:rStyle w:val="FootnoteReference"/>
        </w:rPr>
        <w:footnoteRef/>
      </w:r>
      <w:r>
        <w:t xml:space="preserve"> Howatson</w:t>
      </w:r>
      <w:r w:rsidR="006B04E4">
        <w:t>,</w:t>
      </w:r>
      <w:r>
        <w:t xml:space="preserve"> 2011</w:t>
      </w:r>
      <w:r w:rsidR="006B04E4">
        <w:t>,</w:t>
      </w:r>
      <w:r>
        <w:t xml:space="preserve"> </w:t>
      </w:r>
      <w:r w:rsidR="001A15D1" w:rsidRPr="001A15D1">
        <w:rPr>
          <w:i/>
        </w:rPr>
        <w:t xml:space="preserve">The </w:t>
      </w:r>
      <w:r w:rsidRPr="001A15D1">
        <w:rPr>
          <w:i/>
        </w:rPr>
        <w:t xml:space="preserve">Oxford </w:t>
      </w:r>
      <w:r w:rsidR="001A15D1" w:rsidRPr="001A15D1">
        <w:rPr>
          <w:i/>
        </w:rPr>
        <w:t>C</w:t>
      </w:r>
      <w:r w:rsidRPr="001A15D1">
        <w:rPr>
          <w:i/>
        </w:rPr>
        <w:t xml:space="preserve">ompanion </w:t>
      </w:r>
      <w:r w:rsidR="001A15D1" w:rsidRPr="001A15D1">
        <w:rPr>
          <w:i/>
        </w:rPr>
        <w:t>to Classical Literature</w:t>
      </w:r>
      <w:r w:rsidR="001A15D1">
        <w:t xml:space="preserve"> (3 ed.)</w:t>
      </w:r>
      <w:r w:rsidR="00EB3DB1">
        <w:t>, pp.71</w:t>
      </w:r>
    </w:p>
  </w:footnote>
  <w:footnote w:id="2">
    <w:p w14:paraId="2B03DF5F" w14:textId="5AD5BF05" w:rsidR="008B3303" w:rsidRDefault="008B3303">
      <w:pPr>
        <w:pStyle w:val="FootnoteText"/>
      </w:pPr>
      <w:r>
        <w:rPr>
          <w:rStyle w:val="FootnoteReference"/>
        </w:rPr>
        <w:footnoteRef/>
      </w:r>
      <w:r>
        <w:t xml:space="preserve"> Rhodes</w:t>
      </w:r>
      <w:r w:rsidR="006B04E4">
        <w:t>,</w:t>
      </w:r>
      <w:r>
        <w:t xml:space="preserve"> 2010</w:t>
      </w:r>
      <w:r w:rsidR="006B04E4">
        <w:t xml:space="preserve">, </w:t>
      </w:r>
      <w:r w:rsidR="006B04E4" w:rsidRPr="006B04E4">
        <w:rPr>
          <w:i/>
        </w:rPr>
        <w:t>A History of the Classical Greek World 478-232 BC</w:t>
      </w:r>
      <w:r w:rsidR="006B04E4">
        <w:t>,</w:t>
      </w:r>
      <w:r>
        <w:t xml:space="preserve"> </w:t>
      </w:r>
      <w:r w:rsidR="006B04E4">
        <w:t>pp</w:t>
      </w:r>
      <w:r>
        <w:t>.190</w:t>
      </w:r>
    </w:p>
  </w:footnote>
  <w:footnote w:id="3">
    <w:p w14:paraId="02F8743C" w14:textId="15D1764F" w:rsidR="004E78FC" w:rsidRDefault="004E78FC">
      <w:pPr>
        <w:pStyle w:val="FootnoteText"/>
      </w:pPr>
      <w:r>
        <w:rPr>
          <w:rStyle w:val="FootnoteReference"/>
        </w:rPr>
        <w:footnoteRef/>
      </w:r>
      <w:r>
        <w:t xml:space="preserve"> Rhodes</w:t>
      </w:r>
      <w:r w:rsidR="006B04E4">
        <w:t>,</w:t>
      </w:r>
      <w:r>
        <w:t xml:space="preserve"> </w:t>
      </w:r>
      <w:r w:rsidR="006B04E4">
        <w:t>p</w:t>
      </w:r>
      <w:r>
        <w:t>p.190</w:t>
      </w:r>
    </w:p>
  </w:footnote>
  <w:footnote w:id="4">
    <w:p w14:paraId="2C398E74" w14:textId="77777777" w:rsidR="00541C4F" w:rsidRDefault="00541C4F" w:rsidP="00541C4F">
      <w:pPr>
        <w:pStyle w:val="FootnoteText"/>
      </w:pPr>
      <w:r>
        <w:rPr>
          <w:rStyle w:val="FootnoteReference"/>
        </w:rPr>
        <w:footnoteRef/>
      </w:r>
      <w:r>
        <w:t xml:space="preserve"> Xen. </w:t>
      </w:r>
      <w:r w:rsidRPr="00CC0791">
        <w:rPr>
          <w:i/>
        </w:rPr>
        <w:t>Hell</w:t>
      </w:r>
      <w:r>
        <w:t>. 2.2.3</w:t>
      </w:r>
    </w:p>
  </w:footnote>
  <w:footnote w:id="5">
    <w:p w14:paraId="371AB50F" w14:textId="77777777" w:rsidR="00541C4F" w:rsidRDefault="00541C4F" w:rsidP="00541C4F">
      <w:pPr>
        <w:pStyle w:val="FootnoteText"/>
      </w:pPr>
      <w:r>
        <w:rPr>
          <w:rStyle w:val="FootnoteReference"/>
        </w:rPr>
        <w:footnoteRef/>
      </w:r>
      <w:r>
        <w:t xml:space="preserve"> Rhodes, pp.51</w:t>
      </w:r>
    </w:p>
  </w:footnote>
  <w:footnote w:id="6">
    <w:p w14:paraId="16A0CDC7" w14:textId="77777777" w:rsidR="00541C4F" w:rsidRDefault="00541C4F" w:rsidP="00541C4F">
      <w:pPr>
        <w:pStyle w:val="FootnoteText"/>
      </w:pPr>
      <w:r>
        <w:rPr>
          <w:rStyle w:val="FootnoteReference"/>
        </w:rPr>
        <w:footnoteRef/>
      </w:r>
      <w:r>
        <w:t xml:space="preserve"> Rhodes, pp. 125</w:t>
      </w:r>
    </w:p>
  </w:footnote>
  <w:footnote w:id="7">
    <w:p w14:paraId="38298913" w14:textId="35152E60" w:rsidR="00331FB4" w:rsidRDefault="00331FB4">
      <w:pPr>
        <w:pStyle w:val="FootnoteText"/>
      </w:pPr>
      <w:r>
        <w:rPr>
          <w:rStyle w:val="FootnoteReference"/>
        </w:rPr>
        <w:footnoteRef/>
      </w:r>
      <w:r>
        <w:t xml:space="preserve"> </w:t>
      </w:r>
      <w:r>
        <w:t xml:space="preserve">Diod. </w:t>
      </w:r>
      <w:r w:rsidRPr="008238EE">
        <w:rPr>
          <w:i/>
        </w:rPr>
        <w:t>Sic</w:t>
      </w:r>
      <w:r>
        <w:rPr>
          <w:i/>
        </w:rPr>
        <w:t xml:space="preserve">. </w:t>
      </w:r>
      <w:r>
        <w:t>XIII.107</w:t>
      </w:r>
    </w:p>
  </w:footnote>
  <w:footnote w:id="8">
    <w:p w14:paraId="779815B9" w14:textId="57E19664" w:rsidR="00804053" w:rsidRDefault="00804053">
      <w:pPr>
        <w:pStyle w:val="FootnoteText"/>
      </w:pPr>
      <w:r>
        <w:rPr>
          <w:rStyle w:val="FootnoteReference"/>
        </w:rPr>
        <w:footnoteRef/>
      </w:r>
      <w:r>
        <w:t xml:space="preserve"> Xen. </w:t>
      </w:r>
      <w:r w:rsidRPr="00804053">
        <w:rPr>
          <w:i/>
        </w:rPr>
        <w:t>Hell</w:t>
      </w:r>
      <w:r>
        <w:t>. 2.2.4</w:t>
      </w:r>
    </w:p>
  </w:footnote>
  <w:footnote w:id="9">
    <w:p w14:paraId="063A08B9" w14:textId="47CA5CCB" w:rsidR="007237F3" w:rsidRDefault="007237F3">
      <w:pPr>
        <w:pStyle w:val="FootnoteText"/>
      </w:pPr>
      <w:r>
        <w:rPr>
          <w:rStyle w:val="FootnoteReference"/>
        </w:rPr>
        <w:footnoteRef/>
      </w:r>
      <w:r>
        <w:t xml:space="preserve"> Rhodes, pp.190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020"/>
    <w:rsid w:val="000A61D4"/>
    <w:rsid w:val="00146451"/>
    <w:rsid w:val="001A15D1"/>
    <w:rsid w:val="001A280D"/>
    <w:rsid w:val="001E2977"/>
    <w:rsid w:val="002A70D1"/>
    <w:rsid w:val="00331FB4"/>
    <w:rsid w:val="003574DE"/>
    <w:rsid w:val="00370DBB"/>
    <w:rsid w:val="003769ED"/>
    <w:rsid w:val="003B2ADD"/>
    <w:rsid w:val="004D122A"/>
    <w:rsid w:val="004E78FC"/>
    <w:rsid w:val="0053412D"/>
    <w:rsid w:val="00541C4F"/>
    <w:rsid w:val="0059598C"/>
    <w:rsid w:val="005F5C2D"/>
    <w:rsid w:val="00631256"/>
    <w:rsid w:val="006820E0"/>
    <w:rsid w:val="006B04E4"/>
    <w:rsid w:val="007237F3"/>
    <w:rsid w:val="00732084"/>
    <w:rsid w:val="007E133E"/>
    <w:rsid w:val="00803BE1"/>
    <w:rsid w:val="00804053"/>
    <w:rsid w:val="008238EE"/>
    <w:rsid w:val="008968AA"/>
    <w:rsid w:val="008B3303"/>
    <w:rsid w:val="008E0BA2"/>
    <w:rsid w:val="00971E67"/>
    <w:rsid w:val="00A81C69"/>
    <w:rsid w:val="00B558D5"/>
    <w:rsid w:val="00C4022C"/>
    <w:rsid w:val="00CC0791"/>
    <w:rsid w:val="00CF1C56"/>
    <w:rsid w:val="00DB3B47"/>
    <w:rsid w:val="00EB3DB1"/>
    <w:rsid w:val="00F35020"/>
    <w:rsid w:val="00F84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1CEEC"/>
  <w15:chartTrackingRefBased/>
  <w15:docId w15:val="{1687D1EF-2D74-40D3-A87E-A62FB8F836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3769ED"/>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3769ED"/>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B330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B3303"/>
    <w:rPr>
      <w:sz w:val="20"/>
      <w:szCs w:val="20"/>
    </w:rPr>
  </w:style>
  <w:style w:type="character" w:styleId="FootnoteReference">
    <w:name w:val="footnote reference"/>
    <w:basedOn w:val="DefaultParagraphFont"/>
    <w:uiPriority w:val="99"/>
    <w:semiHidden/>
    <w:unhideWhenUsed/>
    <w:rsid w:val="008B3303"/>
    <w:rPr>
      <w:vertAlign w:val="superscript"/>
    </w:rPr>
  </w:style>
  <w:style w:type="character" w:customStyle="1" w:styleId="Heading1Char">
    <w:name w:val="Heading 1 Char"/>
    <w:basedOn w:val="DefaultParagraphFont"/>
    <w:link w:val="Heading1"/>
    <w:rsid w:val="003769ED"/>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3769ED"/>
    <w:rPr>
      <w:rFonts w:ascii="Tahoma" w:eastAsia="SimSun" w:hAnsi="Tahoma" w:cs="Tahoma"/>
      <w:b/>
      <w:bCs/>
      <w:sz w:val="20"/>
      <w:szCs w:val="20"/>
      <w:lang w:eastAsia="zh-CN"/>
    </w:rPr>
  </w:style>
  <w:style w:type="paragraph" w:styleId="NormalWeb">
    <w:name w:val="Normal (Web)"/>
    <w:basedOn w:val="Normal"/>
    <w:rsid w:val="003769ED"/>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3C2C8B-0DAC-4489-9301-F72636F11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291</TotalTime>
  <Pages>2</Pages>
  <Words>481</Words>
  <Characters>2746</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32</cp:revision>
  <dcterms:created xsi:type="dcterms:W3CDTF">2019-01-10T19:57:00Z</dcterms:created>
  <dcterms:modified xsi:type="dcterms:W3CDTF">2019-01-13T15:50:00Z</dcterms:modified>
</cp:coreProperties>
</file>