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82D4B" w14:textId="77777777" w:rsidR="009929F2" w:rsidRDefault="009929F2">
      <w:pPr>
        <w:spacing w:after="160" w:line="278" w:lineRule="auto"/>
        <w:jc w:val="left"/>
      </w:pPr>
    </w:p>
    <w:p w14:paraId="2D98188D" w14:textId="77777777" w:rsidR="0055047A" w:rsidRDefault="0055047A" w:rsidP="009929F2">
      <w:pPr>
        <w:jc w:val="center"/>
        <w:rPr>
          <w:b/>
          <w:bCs/>
          <w:lang w:val="en-US"/>
        </w:rPr>
      </w:pPr>
    </w:p>
    <w:p w14:paraId="7FFA3C69" w14:textId="77777777" w:rsidR="0055047A" w:rsidRDefault="0055047A" w:rsidP="009929F2">
      <w:pPr>
        <w:jc w:val="center"/>
        <w:rPr>
          <w:b/>
          <w:bCs/>
          <w:lang w:val="en-US"/>
        </w:rPr>
      </w:pPr>
    </w:p>
    <w:p w14:paraId="0397042D" w14:textId="3EF2B443" w:rsidR="009929F2" w:rsidRDefault="009929F2" w:rsidP="009929F2">
      <w:pPr>
        <w:jc w:val="center"/>
        <w:rPr>
          <w:b/>
          <w:bCs/>
          <w:lang w:val="en-US"/>
        </w:rPr>
      </w:pPr>
      <w:r>
        <w:rPr>
          <w:b/>
          <w:bCs/>
          <w:lang w:val="en-US"/>
        </w:rPr>
        <w:t>Contemporary</w:t>
      </w:r>
      <w:r w:rsidRPr="009929F2">
        <w:rPr>
          <w:b/>
          <w:bCs/>
          <w:lang w:val="en-US"/>
        </w:rPr>
        <w:t xml:space="preserve"> Human Resource Challenges and HR Practices at Tesco PLC</w:t>
      </w:r>
    </w:p>
    <w:p w14:paraId="172CA9B7" w14:textId="77777777" w:rsidR="009929F2" w:rsidRPr="009929F2" w:rsidRDefault="009929F2" w:rsidP="009929F2">
      <w:pPr>
        <w:jc w:val="center"/>
        <w:rPr>
          <w:b/>
          <w:bCs/>
          <w:lang w:val="en-US"/>
        </w:rPr>
      </w:pPr>
    </w:p>
    <w:p w14:paraId="5387EF43" w14:textId="77777777" w:rsidR="009929F2" w:rsidRPr="009929F2" w:rsidRDefault="009929F2" w:rsidP="009929F2">
      <w:pPr>
        <w:jc w:val="center"/>
        <w:rPr>
          <w:lang w:val="en-US"/>
        </w:rPr>
      </w:pPr>
      <w:r w:rsidRPr="009929F2">
        <w:rPr>
          <w:b/>
          <w:bCs/>
          <w:lang w:val="en-US"/>
        </w:rPr>
        <w:t>Module Title:</w:t>
      </w:r>
      <w:r w:rsidRPr="009929F2">
        <w:rPr>
          <w:lang w:val="en-US"/>
        </w:rPr>
        <w:t xml:space="preserve"> Developing and Managing Individuals and Teams</w:t>
      </w:r>
    </w:p>
    <w:p w14:paraId="20F2D108" w14:textId="77777777" w:rsidR="009929F2" w:rsidRDefault="009929F2" w:rsidP="009929F2">
      <w:pPr>
        <w:jc w:val="center"/>
        <w:rPr>
          <w:lang w:val="en-US"/>
        </w:rPr>
      </w:pPr>
      <w:r w:rsidRPr="009929F2">
        <w:rPr>
          <w:b/>
          <w:bCs/>
          <w:lang w:val="en-US"/>
        </w:rPr>
        <w:t>Module Code:</w:t>
      </w:r>
      <w:r w:rsidRPr="009929F2">
        <w:rPr>
          <w:lang w:val="en-US"/>
        </w:rPr>
        <w:t xml:space="preserve"> LCLM5002</w:t>
      </w:r>
    </w:p>
    <w:p w14:paraId="3070AE74" w14:textId="77777777" w:rsidR="009929F2" w:rsidRPr="009929F2" w:rsidRDefault="009929F2" w:rsidP="009929F2">
      <w:pPr>
        <w:jc w:val="center"/>
        <w:rPr>
          <w:lang w:val="en-US"/>
        </w:rPr>
      </w:pPr>
    </w:p>
    <w:p w14:paraId="1E49E4C5" w14:textId="77777777" w:rsidR="009929F2" w:rsidRDefault="009929F2" w:rsidP="009929F2">
      <w:pPr>
        <w:jc w:val="center"/>
        <w:rPr>
          <w:lang w:val="en-US"/>
        </w:rPr>
      </w:pPr>
      <w:r w:rsidRPr="009929F2">
        <w:rPr>
          <w:b/>
          <w:bCs/>
          <w:lang w:val="en-US"/>
        </w:rPr>
        <w:t>Assessment Title:</w:t>
      </w:r>
      <w:r w:rsidRPr="009929F2">
        <w:rPr>
          <w:lang w:val="en-US"/>
        </w:rPr>
        <w:t xml:space="preserve"> Component 2 – Individual Report</w:t>
      </w:r>
    </w:p>
    <w:p w14:paraId="781BB2B0" w14:textId="77777777" w:rsidR="009929F2" w:rsidRPr="009929F2" w:rsidRDefault="009929F2" w:rsidP="009929F2">
      <w:pPr>
        <w:jc w:val="center"/>
        <w:rPr>
          <w:lang w:val="en-US"/>
        </w:rPr>
      </w:pPr>
    </w:p>
    <w:p w14:paraId="13DA0A46" w14:textId="77777777" w:rsidR="009929F2" w:rsidRDefault="009929F2" w:rsidP="009929F2">
      <w:pPr>
        <w:jc w:val="center"/>
        <w:rPr>
          <w:lang w:val="en-US"/>
        </w:rPr>
      </w:pPr>
      <w:r w:rsidRPr="009929F2">
        <w:rPr>
          <w:b/>
          <w:bCs/>
          <w:lang w:val="en-US"/>
        </w:rPr>
        <w:t>Assignment Title:</w:t>
      </w:r>
      <w:r w:rsidRPr="009929F2">
        <w:rPr>
          <w:lang w:val="en-US"/>
        </w:rPr>
        <w:t xml:space="preserve"> Contemporary Human Resource Challenges and HR Practices at Tesco PLC</w:t>
      </w:r>
    </w:p>
    <w:p w14:paraId="5C227758" w14:textId="77777777" w:rsidR="009929F2" w:rsidRPr="009929F2" w:rsidRDefault="009929F2" w:rsidP="009929F2">
      <w:pPr>
        <w:jc w:val="center"/>
        <w:rPr>
          <w:lang w:val="en-US"/>
        </w:rPr>
      </w:pPr>
    </w:p>
    <w:p w14:paraId="4BF028CE" w14:textId="77777777" w:rsidR="006C69A5" w:rsidRPr="00617241" w:rsidRDefault="006C69A5" w:rsidP="006C69A5">
      <w:pPr>
        <w:spacing w:after="160" w:line="259" w:lineRule="auto"/>
        <w:jc w:val="center"/>
        <w:rPr>
          <w:b/>
          <w:bCs/>
          <w:sz w:val="22"/>
        </w:rPr>
      </w:pPr>
      <w:r w:rsidRPr="00617241">
        <w:rPr>
          <w:b/>
          <w:bCs/>
          <w:sz w:val="22"/>
        </w:rPr>
        <w:t xml:space="preserve">Student Name: </w:t>
      </w:r>
      <w:r w:rsidRPr="00617241">
        <w:rPr>
          <w:sz w:val="22"/>
        </w:rPr>
        <w:t>AYITE AZIADAPOU</w:t>
      </w:r>
    </w:p>
    <w:p w14:paraId="575A3CB4" w14:textId="77777777" w:rsidR="006C69A5" w:rsidRPr="00617241" w:rsidRDefault="006C69A5" w:rsidP="006C69A5">
      <w:pPr>
        <w:spacing w:after="160" w:line="259" w:lineRule="auto"/>
        <w:jc w:val="center"/>
        <w:rPr>
          <w:b/>
          <w:bCs/>
          <w:sz w:val="22"/>
        </w:rPr>
      </w:pPr>
      <w:r w:rsidRPr="00617241">
        <w:rPr>
          <w:b/>
          <w:bCs/>
          <w:sz w:val="22"/>
        </w:rPr>
        <w:t>Student ID:</w:t>
      </w:r>
      <w:r w:rsidRPr="00617241">
        <w:rPr>
          <w:sz w:val="22"/>
        </w:rPr>
        <w:t xml:space="preserve"> 2436428</w:t>
      </w:r>
    </w:p>
    <w:p w14:paraId="65E10857" w14:textId="77777777" w:rsidR="009929F2" w:rsidRPr="009929F2" w:rsidRDefault="009929F2" w:rsidP="009929F2">
      <w:pPr>
        <w:jc w:val="center"/>
        <w:rPr>
          <w:lang w:val="en-US"/>
        </w:rPr>
      </w:pPr>
    </w:p>
    <w:p w14:paraId="5DA97D50" w14:textId="063F227E" w:rsidR="009929F2" w:rsidRPr="009929F2" w:rsidRDefault="009929F2" w:rsidP="009929F2">
      <w:pPr>
        <w:jc w:val="center"/>
        <w:rPr>
          <w:lang w:val="en-US"/>
        </w:rPr>
      </w:pPr>
      <w:r w:rsidRPr="009929F2">
        <w:rPr>
          <w:b/>
          <w:bCs/>
          <w:lang w:val="en-US"/>
        </w:rPr>
        <w:t>Lecturer:</w:t>
      </w:r>
      <w:r w:rsidRPr="009929F2">
        <w:rPr>
          <w:lang w:val="en-US"/>
        </w:rPr>
        <w:t xml:space="preserve"> </w:t>
      </w:r>
      <w:r>
        <w:rPr>
          <w:lang w:val="en-US"/>
        </w:rPr>
        <w:t>Dr</w:t>
      </w:r>
      <w:r w:rsidRPr="009929F2">
        <w:rPr>
          <w:lang w:val="en-US"/>
        </w:rPr>
        <w:t xml:space="preserve"> Samson Oladejo</w:t>
      </w:r>
    </w:p>
    <w:p w14:paraId="7B9886E3" w14:textId="77777777" w:rsidR="009929F2" w:rsidRDefault="009929F2" w:rsidP="009929F2">
      <w:pPr>
        <w:jc w:val="center"/>
        <w:rPr>
          <w:b/>
          <w:bCs/>
          <w:lang w:val="en-US"/>
        </w:rPr>
      </w:pPr>
    </w:p>
    <w:p w14:paraId="118070A7" w14:textId="5A1F3DF3" w:rsidR="009929F2" w:rsidRDefault="009929F2" w:rsidP="009929F2">
      <w:pPr>
        <w:jc w:val="center"/>
        <w:rPr>
          <w:lang w:val="en-US"/>
        </w:rPr>
      </w:pPr>
      <w:r w:rsidRPr="009929F2">
        <w:rPr>
          <w:b/>
          <w:bCs/>
          <w:lang w:val="en-US"/>
        </w:rPr>
        <w:t>Submission Date:</w:t>
      </w:r>
      <w:r w:rsidRPr="009929F2">
        <w:rPr>
          <w:lang w:val="en-US"/>
        </w:rPr>
        <w:t xml:space="preserve"> 20 July 2026</w:t>
      </w:r>
    </w:p>
    <w:p w14:paraId="1711A9F8" w14:textId="77777777" w:rsidR="009929F2" w:rsidRPr="009929F2" w:rsidRDefault="009929F2" w:rsidP="009929F2">
      <w:pPr>
        <w:jc w:val="center"/>
        <w:rPr>
          <w:lang w:val="en-US"/>
        </w:rPr>
      </w:pPr>
    </w:p>
    <w:p w14:paraId="076E789C" w14:textId="00834E9C" w:rsidR="009929F2" w:rsidRPr="009929F2" w:rsidRDefault="009929F2" w:rsidP="009929F2">
      <w:pPr>
        <w:jc w:val="center"/>
        <w:rPr>
          <w:lang w:val="en-US"/>
        </w:rPr>
      </w:pPr>
      <w:r w:rsidRPr="009929F2">
        <w:rPr>
          <w:b/>
          <w:bCs/>
          <w:lang w:val="en-US"/>
        </w:rPr>
        <w:t>Word Count:</w:t>
      </w:r>
      <w:r w:rsidRPr="009929F2">
        <w:rPr>
          <w:lang w:val="en-US"/>
        </w:rPr>
        <w:t xml:space="preserve"> 2,0</w:t>
      </w:r>
      <w:r>
        <w:rPr>
          <w:lang w:val="en-US"/>
        </w:rPr>
        <w:t>59</w:t>
      </w:r>
      <w:r w:rsidRPr="009929F2">
        <w:rPr>
          <w:lang w:val="en-US"/>
        </w:rPr>
        <w:t xml:space="preserve"> Words</w:t>
      </w:r>
    </w:p>
    <w:p w14:paraId="6A5DBA84" w14:textId="15A82D22" w:rsidR="00234F66" w:rsidRDefault="00234F66" w:rsidP="009929F2">
      <w:r>
        <w:br w:type="page"/>
      </w:r>
    </w:p>
    <w:sdt>
      <w:sdtPr>
        <w:rPr>
          <w:rFonts w:ascii="Times New Roman" w:eastAsia="Times New Roman" w:hAnsi="Times New Roman" w:cs="Times New Roman"/>
          <w:b/>
          <w:bCs/>
          <w:color w:val="auto"/>
          <w:sz w:val="28"/>
          <w:szCs w:val="28"/>
          <w:lang w:val="en-GB" w:eastAsia="zh-CN" w:bidi="bn-IN"/>
        </w:rPr>
        <w:id w:val="1516576048"/>
        <w:docPartObj>
          <w:docPartGallery w:val="Table of Contents"/>
          <w:docPartUnique/>
        </w:docPartObj>
      </w:sdtPr>
      <w:sdtEndPr>
        <w:rPr>
          <w:noProof/>
          <w:sz w:val="24"/>
          <w:szCs w:val="24"/>
        </w:rPr>
      </w:sdtEndPr>
      <w:sdtContent>
        <w:p w14:paraId="62EB6370" w14:textId="51C5D2BF" w:rsidR="009929F2" w:rsidRPr="009929F2" w:rsidRDefault="009929F2">
          <w:pPr>
            <w:pStyle w:val="TOCHeading"/>
            <w:rPr>
              <w:rFonts w:ascii="Times New Roman" w:hAnsi="Times New Roman" w:cs="Times New Roman"/>
              <w:b/>
              <w:bCs/>
              <w:color w:val="auto"/>
              <w:sz w:val="28"/>
              <w:szCs w:val="28"/>
            </w:rPr>
          </w:pPr>
          <w:r w:rsidRPr="009929F2">
            <w:rPr>
              <w:rFonts w:ascii="Times New Roman" w:hAnsi="Times New Roman" w:cs="Times New Roman"/>
              <w:b/>
              <w:bCs/>
              <w:color w:val="auto"/>
              <w:sz w:val="28"/>
              <w:szCs w:val="28"/>
            </w:rPr>
            <w:t>Table of Contents</w:t>
          </w:r>
        </w:p>
        <w:p w14:paraId="3FBA7081" w14:textId="64599EE3"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r>
            <w:fldChar w:fldCharType="begin"/>
          </w:r>
          <w:r>
            <w:instrText xml:space="preserve"> TOC \o "1-3" \h \z \u </w:instrText>
          </w:r>
          <w:r>
            <w:fldChar w:fldCharType="separate"/>
          </w:r>
          <w:hyperlink w:anchor="_Toc231612057" w:history="1">
            <w:r w:rsidRPr="00BE4485">
              <w:rPr>
                <w:rStyle w:val="Hyperlink"/>
                <w:noProof/>
              </w:rPr>
              <w:t>Introduction</w:t>
            </w:r>
            <w:r>
              <w:rPr>
                <w:noProof/>
                <w:webHidden/>
              </w:rPr>
              <w:tab/>
            </w:r>
            <w:r>
              <w:rPr>
                <w:noProof/>
                <w:webHidden/>
              </w:rPr>
              <w:fldChar w:fldCharType="begin"/>
            </w:r>
            <w:r>
              <w:rPr>
                <w:noProof/>
                <w:webHidden/>
              </w:rPr>
              <w:instrText xml:space="preserve"> PAGEREF _Toc231612057 \h </w:instrText>
            </w:r>
            <w:r>
              <w:rPr>
                <w:noProof/>
                <w:webHidden/>
              </w:rPr>
            </w:r>
            <w:r>
              <w:rPr>
                <w:noProof/>
                <w:webHidden/>
              </w:rPr>
              <w:fldChar w:fldCharType="separate"/>
            </w:r>
            <w:r>
              <w:rPr>
                <w:noProof/>
                <w:webHidden/>
              </w:rPr>
              <w:t>3</w:t>
            </w:r>
            <w:r>
              <w:rPr>
                <w:noProof/>
                <w:webHidden/>
              </w:rPr>
              <w:fldChar w:fldCharType="end"/>
            </w:r>
          </w:hyperlink>
        </w:p>
        <w:p w14:paraId="6E7ADE07" w14:textId="7FDB41B1"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58" w:history="1">
            <w:r w:rsidRPr="00BE4485">
              <w:rPr>
                <w:rStyle w:val="Hyperlink"/>
                <w:noProof/>
              </w:rPr>
              <w:t>1. Explanation of Key Factors</w:t>
            </w:r>
            <w:r>
              <w:rPr>
                <w:noProof/>
                <w:webHidden/>
              </w:rPr>
              <w:tab/>
            </w:r>
            <w:r>
              <w:rPr>
                <w:noProof/>
                <w:webHidden/>
              </w:rPr>
              <w:fldChar w:fldCharType="begin"/>
            </w:r>
            <w:r>
              <w:rPr>
                <w:noProof/>
                <w:webHidden/>
              </w:rPr>
              <w:instrText xml:space="preserve"> PAGEREF _Toc231612058 \h </w:instrText>
            </w:r>
            <w:r>
              <w:rPr>
                <w:noProof/>
                <w:webHidden/>
              </w:rPr>
            </w:r>
            <w:r>
              <w:rPr>
                <w:noProof/>
                <w:webHidden/>
              </w:rPr>
              <w:fldChar w:fldCharType="separate"/>
            </w:r>
            <w:r>
              <w:rPr>
                <w:noProof/>
                <w:webHidden/>
              </w:rPr>
              <w:t>3</w:t>
            </w:r>
            <w:r>
              <w:rPr>
                <w:noProof/>
                <w:webHidden/>
              </w:rPr>
              <w:fldChar w:fldCharType="end"/>
            </w:r>
          </w:hyperlink>
        </w:p>
        <w:p w14:paraId="7AA49239" w14:textId="4822E0EA"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59" w:history="1">
            <w:r w:rsidRPr="00BE4485">
              <w:rPr>
                <w:rStyle w:val="Hyperlink"/>
                <w:noProof/>
              </w:rPr>
              <w:t>1.1 Adapting to Technological Advancements</w:t>
            </w:r>
            <w:r>
              <w:rPr>
                <w:noProof/>
                <w:webHidden/>
              </w:rPr>
              <w:tab/>
            </w:r>
            <w:r>
              <w:rPr>
                <w:noProof/>
                <w:webHidden/>
              </w:rPr>
              <w:fldChar w:fldCharType="begin"/>
            </w:r>
            <w:r>
              <w:rPr>
                <w:noProof/>
                <w:webHidden/>
              </w:rPr>
              <w:instrText xml:space="preserve"> PAGEREF _Toc231612059 \h </w:instrText>
            </w:r>
            <w:r>
              <w:rPr>
                <w:noProof/>
                <w:webHidden/>
              </w:rPr>
            </w:r>
            <w:r>
              <w:rPr>
                <w:noProof/>
                <w:webHidden/>
              </w:rPr>
              <w:fldChar w:fldCharType="separate"/>
            </w:r>
            <w:r>
              <w:rPr>
                <w:noProof/>
                <w:webHidden/>
              </w:rPr>
              <w:t>3</w:t>
            </w:r>
            <w:r>
              <w:rPr>
                <w:noProof/>
                <w:webHidden/>
              </w:rPr>
              <w:fldChar w:fldCharType="end"/>
            </w:r>
          </w:hyperlink>
        </w:p>
        <w:p w14:paraId="168A9344" w14:textId="3992D30A"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0" w:history="1">
            <w:r w:rsidRPr="00BE4485">
              <w:rPr>
                <w:rStyle w:val="Hyperlink"/>
                <w:noProof/>
              </w:rPr>
              <w:t>1.2 Talent Acquisition and Retention</w:t>
            </w:r>
            <w:r>
              <w:rPr>
                <w:noProof/>
                <w:webHidden/>
              </w:rPr>
              <w:tab/>
            </w:r>
            <w:r>
              <w:rPr>
                <w:noProof/>
                <w:webHidden/>
              </w:rPr>
              <w:fldChar w:fldCharType="begin"/>
            </w:r>
            <w:r>
              <w:rPr>
                <w:noProof/>
                <w:webHidden/>
              </w:rPr>
              <w:instrText xml:space="preserve"> PAGEREF _Toc231612060 \h </w:instrText>
            </w:r>
            <w:r>
              <w:rPr>
                <w:noProof/>
                <w:webHidden/>
              </w:rPr>
            </w:r>
            <w:r>
              <w:rPr>
                <w:noProof/>
                <w:webHidden/>
              </w:rPr>
              <w:fldChar w:fldCharType="separate"/>
            </w:r>
            <w:r>
              <w:rPr>
                <w:noProof/>
                <w:webHidden/>
              </w:rPr>
              <w:t>3</w:t>
            </w:r>
            <w:r>
              <w:rPr>
                <w:noProof/>
                <w:webHidden/>
              </w:rPr>
              <w:fldChar w:fldCharType="end"/>
            </w:r>
          </w:hyperlink>
        </w:p>
        <w:p w14:paraId="5D40433C" w14:textId="5D72DBB9"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1" w:history="1">
            <w:r w:rsidRPr="00BE4485">
              <w:rPr>
                <w:rStyle w:val="Hyperlink"/>
                <w:noProof/>
              </w:rPr>
              <w:t>1.3 Diversity, Equity and Inclusion (DEI)</w:t>
            </w:r>
            <w:r>
              <w:rPr>
                <w:noProof/>
                <w:webHidden/>
              </w:rPr>
              <w:tab/>
            </w:r>
            <w:r>
              <w:rPr>
                <w:noProof/>
                <w:webHidden/>
              </w:rPr>
              <w:fldChar w:fldCharType="begin"/>
            </w:r>
            <w:r>
              <w:rPr>
                <w:noProof/>
                <w:webHidden/>
              </w:rPr>
              <w:instrText xml:space="preserve"> PAGEREF _Toc231612061 \h </w:instrText>
            </w:r>
            <w:r>
              <w:rPr>
                <w:noProof/>
                <w:webHidden/>
              </w:rPr>
            </w:r>
            <w:r>
              <w:rPr>
                <w:noProof/>
                <w:webHidden/>
              </w:rPr>
              <w:fldChar w:fldCharType="separate"/>
            </w:r>
            <w:r>
              <w:rPr>
                <w:noProof/>
                <w:webHidden/>
              </w:rPr>
              <w:t>4</w:t>
            </w:r>
            <w:r>
              <w:rPr>
                <w:noProof/>
                <w:webHidden/>
              </w:rPr>
              <w:fldChar w:fldCharType="end"/>
            </w:r>
          </w:hyperlink>
        </w:p>
        <w:p w14:paraId="05604318" w14:textId="37C02D8E"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2" w:history="1">
            <w:r w:rsidRPr="00BE4485">
              <w:rPr>
                <w:rStyle w:val="Hyperlink"/>
                <w:noProof/>
              </w:rPr>
              <w:t>2. Evaluation of Contemporary HR Practices</w:t>
            </w:r>
            <w:r>
              <w:rPr>
                <w:noProof/>
                <w:webHidden/>
              </w:rPr>
              <w:tab/>
            </w:r>
            <w:r>
              <w:rPr>
                <w:noProof/>
                <w:webHidden/>
              </w:rPr>
              <w:fldChar w:fldCharType="begin"/>
            </w:r>
            <w:r>
              <w:rPr>
                <w:noProof/>
                <w:webHidden/>
              </w:rPr>
              <w:instrText xml:space="preserve"> PAGEREF _Toc231612062 \h </w:instrText>
            </w:r>
            <w:r>
              <w:rPr>
                <w:noProof/>
                <w:webHidden/>
              </w:rPr>
            </w:r>
            <w:r>
              <w:rPr>
                <w:noProof/>
                <w:webHidden/>
              </w:rPr>
              <w:fldChar w:fldCharType="separate"/>
            </w:r>
            <w:r>
              <w:rPr>
                <w:noProof/>
                <w:webHidden/>
              </w:rPr>
              <w:t>5</w:t>
            </w:r>
            <w:r>
              <w:rPr>
                <w:noProof/>
                <w:webHidden/>
              </w:rPr>
              <w:fldChar w:fldCharType="end"/>
            </w:r>
          </w:hyperlink>
        </w:p>
        <w:p w14:paraId="58FAB194" w14:textId="584EA6A7"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3" w:history="1">
            <w:r w:rsidRPr="00BE4485">
              <w:rPr>
                <w:rStyle w:val="Hyperlink"/>
                <w:noProof/>
              </w:rPr>
              <w:t>2.1 Digital HR Systems and Workforce Analytics</w:t>
            </w:r>
            <w:r>
              <w:rPr>
                <w:noProof/>
                <w:webHidden/>
              </w:rPr>
              <w:tab/>
            </w:r>
            <w:r>
              <w:rPr>
                <w:noProof/>
                <w:webHidden/>
              </w:rPr>
              <w:fldChar w:fldCharType="begin"/>
            </w:r>
            <w:r>
              <w:rPr>
                <w:noProof/>
                <w:webHidden/>
              </w:rPr>
              <w:instrText xml:space="preserve"> PAGEREF _Toc231612063 \h </w:instrText>
            </w:r>
            <w:r>
              <w:rPr>
                <w:noProof/>
                <w:webHidden/>
              </w:rPr>
            </w:r>
            <w:r>
              <w:rPr>
                <w:noProof/>
                <w:webHidden/>
              </w:rPr>
              <w:fldChar w:fldCharType="separate"/>
            </w:r>
            <w:r>
              <w:rPr>
                <w:noProof/>
                <w:webHidden/>
              </w:rPr>
              <w:t>5</w:t>
            </w:r>
            <w:r>
              <w:rPr>
                <w:noProof/>
                <w:webHidden/>
              </w:rPr>
              <w:fldChar w:fldCharType="end"/>
            </w:r>
          </w:hyperlink>
        </w:p>
        <w:p w14:paraId="247B6E02" w14:textId="196503EC"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4" w:history="1">
            <w:r w:rsidRPr="00BE4485">
              <w:rPr>
                <w:rStyle w:val="Hyperlink"/>
                <w:noProof/>
              </w:rPr>
              <w:t>2.2 Talent Acquisition and Retention Practices</w:t>
            </w:r>
            <w:r>
              <w:rPr>
                <w:noProof/>
                <w:webHidden/>
              </w:rPr>
              <w:tab/>
            </w:r>
            <w:r>
              <w:rPr>
                <w:noProof/>
                <w:webHidden/>
              </w:rPr>
              <w:fldChar w:fldCharType="begin"/>
            </w:r>
            <w:r>
              <w:rPr>
                <w:noProof/>
                <w:webHidden/>
              </w:rPr>
              <w:instrText xml:space="preserve"> PAGEREF _Toc231612064 \h </w:instrText>
            </w:r>
            <w:r>
              <w:rPr>
                <w:noProof/>
                <w:webHidden/>
              </w:rPr>
            </w:r>
            <w:r>
              <w:rPr>
                <w:noProof/>
                <w:webHidden/>
              </w:rPr>
              <w:fldChar w:fldCharType="separate"/>
            </w:r>
            <w:r>
              <w:rPr>
                <w:noProof/>
                <w:webHidden/>
              </w:rPr>
              <w:t>6</w:t>
            </w:r>
            <w:r>
              <w:rPr>
                <w:noProof/>
                <w:webHidden/>
              </w:rPr>
              <w:fldChar w:fldCharType="end"/>
            </w:r>
          </w:hyperlink>
        </w:p>
        <w:p w14:paraId="2E380424" w14:textId="64B7F513"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5" w:history="1">
            <w:r w:rsidRPr="00BE4485">
              <w:rPr>
                <w:rStyle w:val="Hyperlink"/>
                <w:noProof/>
              </w:rPr>
              <w:t>2.3 DEI Policies and Leadership Development</w:t>
            </w:r>
            <w:r>
              <w:rPr>
                <w:noProof/>
                <w:webHidden/>
              </w:rPr>
              <w:tab/>
            </w:r>
            <w:r>
              <w:rPr>
                <w:noProof/>
                <w:webHidden/>
              </w:rPr>
              <w:fldChar w:fldCharType="begin"/>
            </w:r>
            <w:r>
              <w:rPr>
                <w:noProof/>
                <w:webHidden/>
              </w:rPr>
              <w:instrText xml:space="preserve"> PAGEREF _Toc231612065 \h </w:instrText>
            </w:r>
            <w:r>
              <w:rPr>
                <w:noProof/>
                <w:webHidden/>
              </w:rPr>
            </w:r>
            <w:r>
              <w:rPr>
                <w:noProof/>
                <w:webHidden/>
              </w:rPr>
              <w:fldChar w:fldCharType="separate"/>
            </w:r>
            <w:r>
              <w:rPr>
                <w:noProof/>
                <w:webHidden/>
              </w:rPr>
              <w:t>6</w:t>
            </w:r>
            <w:r>
              <w:rPr>
                <w:noProof/>
                <w:webHidden/>
              </w:rPr>
              <w:fldChar w:fldCharType="end"/>
            </w:r>
          </w:hyperlink>
        </w:p>
        <w:p w14:paraId="3603A282" w14:textId="4397E502"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6" w:history="1">
            <w:r w:rsidRPr="00BE4485">
              <w:rPr>
                <w:rStyle w:val="Hyperlink"/>
                <w:noProof/>
              </w:rPr>
              <w:t>3. Critical Evaluation of Managerial Implementation</w:t>
            </w:r>
            <w:r>
              <w:rPr>
                <w:noProof/>
                <w:webHidden/>
              </w:rPr>
              <w:tab/>
            </w:r>
            <w:r>
              <w:rPr>
                <w:noProof/>
                <w:webHidden/>
              </w:rPr>
              <w:fldChar w:fldCharType="begin"/>
            </w:r>
            <w:r>
              <w:rPr>
                <w:noProof/>
                <w:webHidden/>
              </w:rPr>
              <w:instrText xml:space="preserve"> PAGEREF _Toc231612066 \h </w:instrText>
            </w:r>
            <w:r>
              <w:rPr>
                <w:noProof/>
                <w:webHidden/>
              </w:rPr>
            </w:r>
            <w:r>
              <w:rPr>
                <w:noProof/>
                <w:webHidden/>
              </w:rPr>
              <w:fldChar w:fldCharType="separate"/>
            </w:r>
            <w:r>
              <w:rPr>
                <w:noProof/>
                <w:webHidden/>
              </w:rPr>
              <w:t>7</w:t>
            </w:r>
            <w:r>
              <w:rPr>
                <w:noProof/>
                <w:webHidden/>
              </w:rPr>
              <w:fldChar w:fldCharType="end"/>
            </w:r>
          </w:hyperlink>
        </w:p>
        <w:p w14:paraId="447E2F5E" w14:textId="516BAC3E"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7" w:history="1">
            <w:r w:rsidRPr="00BE4485">
              <w:rPr>
                <w:rStyle w:val="Hyperlink"/>
                <w:noProof/>
              </w:rPr>
              <w:t>3.1 Leadership Accountability</w:t>
            </w:r>
            <w:r>
              <w:rPr>
                <w:noProof/>
                <w:webHidden/>
              </w:rPr>
              <w:tab/>
            </w:r>
            <w:r>
              <w:rPr>
                <w:noProof/>
                <w:webHidden/>
              </w:rPr>
              <w:fldChar w:fldCharType="begin"/>
            </w:r>
            <w:r>
              <w:rPr>
                <w:noProof/>
                <w:webHidden/>
              </w:rPr>
              <w:instrText xml:space="preserve"> PAGEREF _Toc231612067 \h </w:instrText>
            </w:r>
            <w:r>
              <w:rPr>
                <w:noProof/>
                <w:webHidden/>
              </w:rPr>
            </w:r>
            <w:r>
              <w:rPr>
                <w:noProof/>
                <w:webHidden/>
              </w:rPr>
              <w:fldChar w:fldCharType="separate"/>
            </w:r>
            <w:r>
              <w:rPr>
                <w:noProof/>
                <w:webHidden/>
              </w:rPr>
              <w:t>7</w:t>
            </w:r>
            <w:r>
              <w:rPr>
                <w:noProof/>
                <w:webHidden/>
              </w:rPr>
              <w:fldChar w:fldCharType="end"/>
            </w:r>
          </w:hyperlink>
        </w:p>
        <w:p w14:paraId="37EBF055" w14:textId="27BA5B65"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8" w:history="1">
            <w:r w:rsidRPr="00BE4485">
              <w:rPr>
                <w:rStyle w:val="Hyperlink"/>
                <w:noProof/>
              </w:rPr>
              <w:t>3.2 Communication Strategies</w:t>
            </w:r>
            <w:r>
              <w:rPr>
                <w:noProof/>
                <w:webHidden/>
              </w:rPr>
              <w:tab/>
            </w:r>
            <w:r>
              <w:rPr>
                <w:noProof/>
                <w:webHidden/>
              </w:rPr>
              <w:fldChar w:fldCharType="begin"/>
            </w:r>
            <w:r>
              <w:rPr>
                <w:noProof/>
                <w:webHidden/>
              </w:rPr>
              <w:instrText xml:space="preserve"> PAGEREF _Toc231612068 \h </w:instrText>
            </w:r>
            <w:r>
              <w:rPr>
                <w:noProof/>
                <w:webHidden/>
              </w:rPr>
            </w:r>
            <w:r>
              <w:rPr>
                <w:noProof/>
                <w:webHidden/>
              </w:rPr>
              <w:fldChar w:fldCharType="separate"/>
            </w:r>
            <w:r>
              <w:rPr>
                <w:noProof/>
                <w:webHidden/>
              </w:rPr>
              <w:t>7</w:t>
            </w:r>
            <w:r>
              <w:rPr>
                <w:noProof/>
                <w:webHidden/>
              </w:rPr>
              <w:fldChar w:fldCharType="end"/>
            </w:r>
          </w:hyperlink>
        </w:p>
        <w:p w14:paraId="716FB5C8" w14:textId="4E187E00"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69" w:history="1">
            <w:r w:rsidRPr="00BE4485">
              <w:rPr>
                <w:rStyle w:val="Hyperlink"/>
                <w:noProof/>
              </w:rPr>
              <w:t>3.3 Monitoring and Performance Measurement</w:t>
            </w:r>
            <w:r>
              <w:rPr>
                <w:noProof/>
                <w:webHidden/>
              </w:rPr>
              <w:tab/>
            </w:r>
            <w:r>
              <w:rPr>
                <w:noProof/>
                <w:webHidden/>
              </w:rPr>
              <w:fldChar w:fldCharType="begin"/>
            </w:r>
            <w:r>
              <w:rPr>
                <w:noProof/>
                <w:webHidden/>
              </w:rPr>
              <w:instrText xml:space="preserve"> PAGEREF _Toc231612069 \h </w:instrText>
            </w:r>
            <w:r>
              <w:rPr>
                <w:noProof/>
                <w:webHidden/>
              </w:rPr>
            </w:r>
            <w:r>
              <w:rPr>
                <w:noProof/>
                <w:webHidden/>
              </w:rPr>
              <w:fldChar w:fldCharType="separate"/>
            </w:r>
            <w:r>
              <w:rPr>
                <w:noProof/>
                <w:webHidden/>
              </w:rPr>
              <w:t>8</w:t>
            </w:r>
            <w:r>
              <w:rPr>
                <w:noProof/>
                <w:webHidden/>
              </w:rPr>
              <w:fldChar w:fldCharType="end"/>
            </w:r>
          </w:hyperlink>
        </w:p>
        <w:p w14:paraId="659DAFBE" w14:textId="74B11359"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70" w:history="1">
            <w:r w:rsidRPr="00BE4485">
              <w:rPr>
                <w:rStyle w:val="Hyperlink"/>
                <w:noProof/>
              </w:rPr>
              <w:t>3.4 Organisational Culture</w:t>
            </w:r>
            <w:r>
              <w:rPr>
                <w:noProof/>
                <w:webHidden/>
              </w:rPr>
              <w:tab/>
            </w:r>
            <w:r>
              <w:rPr>
                <w:noProof/>
                <w:webHidden/>
              </w:rPr>
              <w:fldChar w:fldCharType="begin"/>
            </w:r>
            <w:r>
              <w:rPr>
                <w:noProof/>
                <w:webHidden/>
              </w:rPr>
              <w:instrText xml:space="preserve"> PAGEREF _Toc231612070 \h </w:instrText>
            </w:r>
            <w:r>
              <w:rPr>
                <w:noProof/>
                <w:webHidden/>
              </w:rPr>
            </w:r>
            <w:r>
              <w:rPr>
                <w:noProof/>
                <w:webHidden/>
              </w:rPr>
              <w:fldChar w:fldCharType="separate"/>
            </w:r>
            <w:r>
              <w:rPr>
                <w:noProof/>
                <w:webHidden/>
              </w:rPr>
              <w:t>8</w:t>
            </w:r>
            <w:r>
              <w:rPr>
                <w:noProof/>
                <w:webHidden/>
              </w:rPr>
              <w:fldChar w:fldCharType="end"/>
            </w:r>
          </w:hyperlink>
        </w:p>
        <w:p w14:paraId="6D6BF00D" w14:textId="2236079E" w:rsidR="009929F2" w:rsidRDefault="009929F2">
          <w:pPr>
            <w:pStyle w:val="TOC2"/>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71" w:history="1">
            <w:r w:rsidRPr="00BE4485">
              <w:rPr>
                <w:rStyle w:val="Hyperlink"/>
                <w:noProof/>
              </w:rPr>
              <w:t>3.5 Barriers and Solutions</w:t>
            </w:r>
            <w:r>
              <w:rPr>
                <w:noProof/>
                <w:webHidden/>
              </w:rPr>
              <w:tab/>
            </w:r>
            <w:r>
              <w:rPr>
                <w:noProof/>
                <w:webHidden/>
              </w:rPr>
              <w:fldChar w:fldCharType="begin"/>
            </w:r>
            <w:r>
              <w:rPr>
                <w:noProof/>
                <w:webHidden/>
              </w:rPr>
              <w:instrText xml:space="preserve"> PAGEREF _Toc231612071 \h </w:instrText>
            </w:r>
            <w:r>
              <w:rPr>
                <w:noProof/>
                <w:webHidden/>
              </w:rPr>
            </w:r>
            <w:r>
              <w:rPr>
                <w:noProof/>
                <w:webHidden/>
              </w:rPr>
              <w:fldChar w:fldCharType="separate"/>
            </w:r>
            <w:r>
              <w:rPr>
                <w:noProof/>
                <w:webHidden/>
              </w:rPr>
              <w:t>8</w:t>
            </w:r>
            <w:r>
              <w:rPr>
                <w:noProof/>
                <w:webHidden/>
              </w:rPr>
              <w:fldChar w:fldCharType="end"/>
            </w:r>
          </w:hyperlink>
        </w:p>
        <w:p w14:paraId="60E50F5E" w14:textId="45B65548"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72" w:history="1">
            <w:r w:rsidRPr="00BE4485">
              <w:rPr>
                <w:rStyle w:val="Hyperlink"/>
                <w:noProof/>
              </w:rPr>
              <w:t>Recommendations</w:t>
            </w:r>
            <w:r>
              <w:rPr>
                <w:noProof/>
                <w:webHidden/>
              </w:rPr>
              <w:tab/>
            </w:r>
            <w:r>
              <w:rPr>
                <w:noProof/>
                <w:webHidden/>
              </w:rPr>
              <w:fldChar w:fldCharType="begin"/>
            </w:r>
            <w:r>
              <w:rPr>
                <w:noProof/>
                <w:webHidden/>
              </w:rPr>
              <w:instrText xml:space="preserve"> PAGEREF _Toc231612072 \h </w:instrText>
            </w:r>
            <w:r>
              <w:rPr>
                <w:noProof/>
                <w:webHidden/>
              </w:rPr>
            </w:r>
            <w:r>
              <w:rPr>
                <w:noProof/>
                <w:webHidden/>
              </w:rPr>
              <w:fldChar w:fldCharType="separate"/>
            </w:r>
            <w:r>
              <w:rPr>
                <w:noProof/>
                <w:webHidden/>
              </w:rPr>
              <w:t>9</w:t>
            </w:r>
            <w:r>
              <w:rPr>
                <w:noProof/>
                <w:webHidden/>
              </w:rPr>
              <w:fldChar w:fldCharType="end"/>
            </w:r>
          </w:hyperlink>
        </w:p>
        <w:p w14:paraId="4E8B71AC" w14:textId="57CD2AC3"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73" w:history="1">
            <w:r w:rsidRPr="00BE4485">
              <w:rPr>
                <w:rStyle w:val="Hyperlink"/>
                <w:noProof/>
              </w:rPr>
              <w:t>Conclusion</w:t>
            </w:r>
            <w:r>
              <w:rPr>
                <w:noProof/>
                <w:webHidden/>
              </w:rPr>
              <w:tab/>
            </w:r>
            <w:r>
              <w:rPr>
                <w:noProof/>
                <w:webHidden/>
              </w:rPr>
              <w:fldChar w:fldCharType="begin"/>
            </w:r>
            <w:r>
              <w:rPr>
                <w:noProof/>
                <w:webHidden/>
              </w:rPr>
              <w:instrText xml:space="preserve"> PAGEREF _Toc231612073 \h </w:instrText>
            </w:r>
            <w:r>
              <w:rPr>
                <w:noProof/>
                <w:webHidden/>
              </w:rPr>
            </w:r>
            <w:r>
              <w:rPr>
                <w:noProof/>
                <w:webHidden/>
              </w:rPr>
              <w:fldChar w:fldCharType="separate"/>
            </w:r>
            <w:r>
              <w:rPr>
                <w:noProof/>
                <w:webHidden/>
              </w:rPr>
              <w:t>9</w:t>
            </w:r>
            <w:r>
              <w:rPr>
                <w:noProof/>
                <w:webHidden/>
              </w:rPr>
              <w:fldChar w:fldCharType="end"/>
            </w:r>
          </w:hyperlink>
        </w:p>
        <w:p w14:paraId="5694BC3C" w14:textId="0349DB69" w:rsidR="009929F2" w:rsidRDefault="009929F2">
          <w:pPr>
            <w:pStyle w:val="TOC1"/>
            <w:tabs>
              <w:tab w:val="right" w:leader="dot" w:pos="9350"/>
            </w:tabs>
            <w:rPr>
              <w:rFonts w:asciiTheme="minorHAnsi" w:eastAsiaTheme="minorEastAsia" w:hAnsiTheme="minorHAnsi" w:cstheme="minorBidi"/>
              <w:noProof/>
              <w:kern w:val="2"/>
              <w:szCs w:val="24"/>
              <w:lang w:val="en-US" w:eastAsia="en-US" w:bidi="ar-SA"/>
              <w14:ligatures w14:val="standardContextual"/>
            </w:rPr>
          </w:pPr>
          <w:hyperlink w:anchor="_Toc231612074" w:history="1">
            <w:r w:rsidRPr="00BE4485">
              <w:rPr>
                <w:rStyle w:val="Hyperlink"/>
                <w:noProof/>
              </w:rPr>
              <w:t>References</w:t>
            </w:r>
            <w:r>
              <w:rPr>
                <w:noProof/>
                <w:webHidden/>
              </w:rPr>
              <w:tab/>
            </w:r>
            <w:r>
              <w:rPr>
                <w:noProof/>
                <w:webHidden/>
              </w:rPr>
              <w:fldChar w:fldCharType="begin"/>
            </w:r>
            <w:r>
              <w:rPr>
                <w:noProof/>
                <w:webHidden/>
              </w:rPr>
              <w:instrText xml:space="preserve"> PAGEREF _Toc231612074 \h </w:instrText>
            </w:r>
            <w:r>
              <w:rPr>
                <w:noProof/>
                <w:webHidden/>
              </w:rPr>
            </w:r>
            <w:r>
              <w:rPr>
                <w:noProof/>
                <w:webHidden/>
              </w:rPr>
              <w:fldChar w:fldCharType="separate"/>
            </w:r>
            <w:r>
              <w:rPr>
                <w:noProof/>
                <w:webHidden/>
              </w:rPr>
              <w:t>10</w:t>
            </w:r>
            <w:r>
              <w:rPr>
                <w:noProof/>
                <w:webHidden/>
              </w:rPr>
              <w:fldChar w:fldCharType="end"/>
            </w:r>
          </w:hyperlink>
        </w:p>
        <w:p w14:paraId="7B52ABF5" w14:textId="23062117" w:rsidR="009929F2" w:rsidRDefault="009929F2">
          <w:r>
            <w:rPr>
              <w:b/>
              <w:bCs/>
              <w:noProof/>
            </w:rPr>
            <w:fldChar w:fldCharType="end"/>
          </w:r>
        </w:p>
      </w:sdtContent>
    </w:sdt>
    <w:p w14:paraId="55CBE6E6" w14:textId="0C81079B" w:rsidR="00E94765" w:rsidRDefault="00E94765">
      <w:pPr>
        <w:spacing w:after="160" w:line="278" w:lineRule="auto"/>
        <w:jc w:val="left"/>
      </w:pPr>
      <w:r>
        <w:br w:type="page"/>
      </w:r>
    </w:p>
    <w:p w14:paraId="37110BBB" w14:textId="77777777" w:rsidR="00E94765" w:rsidRDefault="00E94765" w:rsidP="00E94765">
      <w:pPr>
        <w:pStyle w:val="Heading1"/>
      </w:pPr>
      <w:bookmarkStart w:id="0" w:name="_Toc231612057"/>
      <w:r>
        <w:lastRenderedPageBreak/>
        <w:t>Introduction</w:t>
      </w:r>
      <w:bookmarkEnd w:id="0"/>
    </w:p>
    <w:p w14:paraId="6405729A" w14:textId="18CEF3C5" w:rsidR="00E94765" w:rsidRDefault="00E94765" w:rsidP="00E94765">
      <w:r>
        <w:t>Human resource management is vital in ensuring organisations attain sustainable performance by means of managing people, skills and workplace practices. Contemporary organisations are becoming increasingly challenged by issues of technological innovation, the competition for skilled workers and the necessity to design work environments that are both diverse and inclusive (Armstrong and Taylor, 2023). One of the biggest retailers in the United Kingdom, Tesco PLC, is still investing in workforce development, digital transformation and inclusion programs to ensure the company remains competitive (Tesco PLC, 2025a). This report explores major HR issues in Tesco and assesses modern HR practices and management strategies that can facilitate the successful application.</w:t>
      </w:r>
    </w:p>
    <w:p w14:paraId="052FDF41" w14:textId="0F7704F2" w:rsidR="00E94765" w:rsidRDefault="00E94765" w:rsidP="00E94765">
      <w:pPr>
        <w:pStyle w:val="Heading1"/>
      </w:pPr>
      <w:bookmarkStart w:id="1" w:name="_Toc231612058"/>
      <w:r>
        <w:t>1. Explanation of Key Factors</w:t>
      </w:r>
      <w:bookmarkEnd w:id="1"/>
    </w:p>
    <w:p w14:paraId="18947BCF" w14:textId="77777777" w:rsidR="00E94765" w:rsidRDefault="00E94765" w:rsidP="00E94765">
      <w:pPr>
        <w:pStyle w:val="Heading2"/>
      </w:pPr>
      <w:bookmarkStart w:id="2" w:name="_Toc231612059"/>
      <w:r>
        <w:t>1.1 Adapting to Technological Advancements</w:t>
      </w:r>
      <w:bookmarkEnd w:id="2"/>
    </w:p>
    <w:p w14:paraId="2A9648AC" w14:textId="6290686A" w:rsidR="00E94765" w:rsidRDefault="00E94765" w:rsidP="00E94765">
      <w:r>
        <w:t>Retail organisations face a significant challenge with technological improvement as increased digital transformation imposes ongoing adjustments of business and workforce functions. The implementation of artificial intelligence (AI), automation and data-driven technologies has shifted the way organisations handle employees and service delivery. Digital HRM proposes that digital systems and analytics may enhance workforce efficiency, whereas the Human Capital Theory emphasises the need to invest in employee skills to maintain organisational competitiveness (</w:t>
      </w:r>
      <w:proofErr w:type="spellStart"/>
      <w:r>
        <w:t>Budhwar</w:t>
      </w:r>
      <w:proofErr w:type="spellEnd"/>
      <w:r>
        <w:t xml:space="preserve"> et al., 2022). Tesco has become more digitally oriented with Clubcard analytics, online retail systems and digital workforce management systems to enhance operational performance. The AIs assist Tesco in customer behaviour analysis and </w:t>
      </w:r>
      <w:r w:rsidR="009929F2">
        <w:t>optimising</w:t>
      </w:r>
      <w:r>
        <w:t xml:space="preserve"> staffing choices that increase productivity and efficiency (Basu et al., 2023). Nonetheless, technological change also poses a problem since staff members also need digital upskilling to operate the new systems. Lack of building these capabilities can decrease engagement and opposition to change. The continued investment of Tesco in digital operations shows how technology can be used to aid sustainability, productivity and long-term organisational growth (Tesco PLC, 2025a).</w:t>
      </w:r>
    </w:p>
    <w:p w14:paraId="626EBCEF" w14:textId="77777777" w:rsidR="00E94765" w:rsidRDefault="00E94765" w:rsidP="00E94765">
      <w:pPr>
        <w:pStyle w:val="Heading2"/>
      </w:pPr>
      <w:bookmarkStart w:id="3" w:name="_Toc231612060"/>
      <w:r>
        <w:t>1.2 Talent Acquisition and Retention</w:t>
      </w:r>
      <w:bookmarkEnd w:id="3"/>
    </w:p>
    <w:p w14:paraId="03D33DAA" w14:textId="517AE332" w:rsidR="00E94765" w:rsidRDefault="00E94765" w:rsidP="00E94765">
      <w:r>
        <w:lastRenderedPageBreak/>
        <w:t>The issue of talent acquisition and retention continues to be sensitive in the retail sector as organisations are in a battle in the retail labour market that is becoming more and more competitive. The labour shortages in Europe have also aggravated recruitment challenges, especially in customer-facing sectors such as retail (OECD, 2026). Meanwhile, labour markets have introduced more competition for the skilled workforce, with retention proving to be as significant as ever (ONS, 2026). The Employer Branding Theory further proposes that organisations that have a good employment reputation receive superior candidates, and the Psychological Contract theory primarily focuses on employee expectation fulfilment to ensure commitment and loyalty. Tesco has had difficulties recruiting and retaining employees due to emerging workforce demands, skills gaps and staff attrition. Proper retention strategies thus need to be in place to ensure continuity in operations and quality of services. Tesco responds to the challenges with career advancement opportunities, flexible working and employee benefit programmes aimed at enhancing job satisfaction and organisational commitment. As a result of the research, it has been demonstrated that employee engagement and retention can be enhanced by the strategic use of HR practices when employees feel valued and supported in the organisation (Shahzad et al., 2024). As a result, good management of talent will also help in stability and the long-term performance of organisations.</w:t>
      </w:r>
    </w:p>
    <w:p w14:paraId="59F15E66" w14:textId="77777777" w:rsidR="00E94765" w:rsidRDefault="00E94765" w:rsidP="00E94765">
      <w:pPr>
        <w:pStyle w:val="Heading2"/>
      </w:pPr>
      <w:bookmarkStart w:id="4" w:name="_Toc231612061"/>
      <w:r>
        <w:t>1.3 Diversity, Equity and Inclusion (DEI)</w:t>
      </w:r>
      <w:bookmarkEnd w:id="4"/>
    </w:p>
    <w:p w14:paraId="11F3F83D" w14:textId="2E47441B" w:rsidR="00E94765" w:rsidRDefault="00E94765" w:rsidP="00E94765">
      <w:r>
        <w:t xml:space="preserve">Diversity, equity and inclusion are now vital aspects of current human resource management, as organisations tend to appreciate the importance of a diverse and inclusive workplace. The social identity theory posits that a sense of belonging is formed as a result of belonging to a group, and therefore, inclusive environments are essential to engage employees and facilitate their collaboration. Equally, Equality and Diversity models have focused on treating employees fairly, the provision of equal opportunities and workplace inclusion for employees (CIPD, 2026a). Tesco has a diversified workforce and thus faces the constant challenge of ensuring that it does not deprive its various demographic groups of a chance. A sound DEI policy can enhance wellbeing among the employees, promote organisational image and innovation, as it fosters multiple opinions. Tesco has established gender representation initiatives and ethnicity-specific programmes and inclusion networks to harness equality and a sense of belonging in the workplace (Tesco PLC, 2025c). Inclusive leadership practices promoting employee voice and participation </w:t>
      </w:r>
      <w:r>
        <w:lastRenderedPageBreak/>
        <w:t xml:space="preserve">are also promoted within the organisation. As literature shows, inclusive leadership has a beneficial impact on employees and organisational performance through positive effects on the working environment as a supportive and respectful workplace (Platania, Maggio and </w:t>
      </w:r>
      <w:proofErr w:type="spellStart"/>
      <w:r>
        <w:t>Boccadamo</w:t>
      </w:r>
      <w:proofErr w:type="spellEnd"/>
      <w:r>
        <w:t>, 2025). Thus, successful DEI management is a factor that plays a key role in employee engagement, organisational performance and sustainable business success.</w:t>
      </w:r>
    </w:p>
    <w:p w14:paraId="70A0B9CF" w14:textId="77777777" w:rsidR="00E94765" w:rsidRDefault="00E94765" w:rsidP="00E94765">
      <w:pPr>
        <w:jc w:val="center"/>
      </w:pPr>
      <w:r>
        <w:rPr>
          <w:noProof/>
          <w:lang w:val="en-US" w:eastAsia="en-US" w:bidi="ar-SA"/>
        </w:rPr>
        <w:drawing>
          <wp:inline distT="0" distB="0" distL="0" distR="0" wp14:anchorId="6FF3F3D4" wp14:editId="289829F0">
            <wp:extent cx="5577840" cy="3413760"/>
            <wp:effectExtent l="0" t="0" r="3810" b="0"/>
            <wp:docPr id="580138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5577840" cy="3413760"/>
                    </a:xfrm>
                    <a:prstGeom prst="rect">
                      <a:avLst/>
                    </a:prstGeom>
                    <a:noFill/>
                    <a:ln>
                      <a:noFill/>
                    </a:ln>
                    <a:extLst>
                      <a:ext uri="{53640926-AAD7-44D8-BBD7-CCE9431645EC}">
                        <a14:shadowObscured xmlns:a14="http://schemas.microsoft.com/office/drawing/2010/main"/>
                      </a:ext>
                    </a:extLst>
                  </pic:spPr>
                </pic:pic>
              </a:graphicData>
            </a:graphic>
          </wp:inline>
        </w:drawing>
      </w:r>
    </w:p>
    <w:p w14:paraId="47A73EDC" w14:textId="77777777" w:rsidR="00E94765" w:rsidRPr="00E94765" w:rsidRDefault="00E94765" w:rsidP="00E94765">
      <w:pPr>
        <w:jc w:val="center"/>
        <w:rPr>
          <w:i/>
          <w:iCs/>
        </w:rPr>
      </w:pPr>
      <w:r w:rsidRPr="00E94765">
        <w:rPr>
          <w:i/>
          <w:iCs/>
        </w:rPr>
        <w:t>Figure 1: Contemporary HR Challenges Affecting Tesco</w:t>
      </w:r>
    </w:p>
    <w:p w14:paraId="10B58083" w14:textId="77777777" w:rsidR="00E94765" w:rsidRDefault="00E94765" w:rsidP="00E94765">
      <w:pPr>
        <w:jc w:val="center"/>
        <w:rPr>
          <w:b/>
          <w:bCs/>
          <w:i/>
          <w:iCs/>
          <w:lang w:val="en-US"/>
        </w:rPr>
      </w:pPr>
      <w:r w:rsidRPr="00E94765">
        <w:rPr>
          <w:b/>
          <w:bCs/>
          <w:i/>
          <w:iCs/>
          <w:lang w:val="en-US"/>
        </w:rPr>
        <w:t>Source: Self-made</w:t>
      </w:r>
    </w:p>
    <w:p w14:paraId="325A6919" w14:textId="77777777" w:rsidR="00E94765" w:rsidRDefault="00E94765" w:rsidP="009929F2">
      <w:pPr>
        <w:pStyle w:val="Heading1"/>
      </w:pPr>
      <w:bookmarkStart w:id="5" w:name="_Toc231612062"/>
      <w:r>
        <w:t>2. Evaluation of Contemporary HR Practices</w:t>
      </w:r>
      <w:bookmarkEnd w:id="5"/>
    </w:p>
    <w:p w14:paraId="517EADD0" w14:textId="77777777" w:rsidR="00E94765" w:rsidRDefault="00E94765" w:rsidP="009929F2">
      <w:pPr>
        <w:pStyle w:val="Heading2"/>
      </w:pPr>
      <w:bookmarkStart w:id="6" w:name="_Toc231612063"/>
      <w:r>
        <w:t>2.1 Digital HR Systems and Workforce Analytics</w:t>
      </w:r>
      <w:bookmarkEnd w:id="6"/>
    </w:p>
    <w:p w14:paraId="183934DE" w14:textId="0FE7A7FE" w:rsidR="00E94765" w:rsidRDefault="00E94765" w:rsidP="00E94765">
      <w:r>
        <w:t xml:space="preserve">Current HR practices </w:t>
      </w:r>
      <w:r w:rsidR="00722879">
        <w:t>in</w:t>
      </w:r>
      <w:r>
        <w:t xml:space="preserve"> competitive organisations in the contemporary era are digital HR systems and workforce analytics. HR analytics allows organisations to gather and process workforce information to enhance planning and decision-making (Álvarez-Gutiérrez et al., 2022). Tesco employs data-driven workforce scheduling systems to make resource allocation efficient and effective to respond to varying customer demand. One of the strongest ones is accelerated and accurate </w:t>
      </w:r>
      <w:r w:rsidR="00722879">
        <w:t>decision-making</w:t>
      </w:r>
      <w:r>
        <w:t xml:space="preserve">. Evidence-based management allows workforce analytics to determine staffing patterns, predict labour requirements and enhance productivity (Lee and Lee, 2024). AI </w:t>
      </w:r>
      <w:r>
        <w:lastRenderedPageBreak/>
        <w:t>capability frameworks are also beneficial to guide organisations in incorporating technology into HR practices and to assist in strategic goals (Chowdhury et al., 2023). The practices are limited, however. There is a risk of privacy and regulatory issues with employee data collection. There is also a lot of investment that is required in implementation and maintenance. When new technologies alter known working practices of the employees, employee resistance might take place. So, the use of digital HR systems enhances performance, though it is critical to implement them well.</w:t>
      </w:r>
    </w:p>
    <w:p w14:paraId="65ADE3C4" w14:textId="77777777" w:rsidR="00E94765" w:rsidRDefault="00E94765" w:rsidP="00722879">
      <w:pPr>
        <w:pStyle w:val="Heading2"/>
      </w:pPr>
      <w:bookmarkStart w:id="7" w:name="_Toc231612064"/>
      <w:r>
        <w:t>2.2 Talent Acquisition and Retention Practices</w:t>
      </w:r>
      <w:bookmarkEnd w:id="7"/>
    </w:p>
    <w:p w14:paraId="52C832D8" w14:textId="5AE181B4" w:rsidR="00E94765" w:rsidRDefault="00E94765" w:rsidP="00E94765">
      <w:r>
        <w:t>Tesco has a variety of HR practices to attract and retain employees</w:t>
      </w:r>
      <w:r w:rsidR="00722879">
        <w:t>,</w:t>
      </w:r>
      <w:r>
        <w:t xml:space="preserve"> such as employer branding, training, career progression and reward strategies. The importance of employer branding is that it influences the perception that applicants would have of the organisation. Employee commitment and retention can also be enhanced through strong engagement practices (CIPD, 2025a). </w:t>
      </w:r>
      <w:r w:rsidR="00722879">
        <w:t>Tesco's</w:t>
      </w:r>
      <w:r>
        <w:t xml:space="preserve"> retention is backed by </w:t>
      </w:r>
      <w:r w:rsidR="00722879">
        <w:t>apprenticeships</w:t>
      </w:r>
      <w:r>
        <w:t xml:space="preserve">, internal promotions and development of employees. These are encouraged to foster career development and organisational commitment. Strategic workforce planning can assist organisations to realise future skills requirements and tackle recruitment issues at an early stage (CIPD, 2026b). Motivation may also be enhanced through innovation-related HR practices, such as </w:t>
      </w:r>
      <w:r w:rsidR="00722879">
        <w:t xml:space="preserve">the </w:t>
      </w:r>
      <w:r>
        <w:t>establishment of learning and development (</w:t>
      </w:r>
      <w:proofErr w:type="spellStart"/>
      <w:r>
        <w:t>Jotabá</w:t>
      </w:r>
      <w:proofErr w:type="spellEnd"/>
      <w:r>
        <w:t xml:space="preserve"> et al., 2022). There are limits to talent practices, however. Financial investments are needed in training and reward systems. They might be effective in different groups of employees as their expectations and career objectives differ. As such, Tesco should consider </w:t>
      </w:r>
      <w:r w:rsidR="00722879">
        <w:t>reviewing</w:t>
      </w:r>
      <w:r>
        <w:t xml:space="preserve"> its talent strategies on a regular basis to make sure that they are effective and responsive.</w:t>
      </w:r>
    </w:p>
    <w:p w14:paraId="65537CE8" w14:textId="77777777" w:rsidR="00E94765" w:rsidRDefault="00E94765" w:rsidP="00722879">
      <w:pPr>
        <w:pStyle w:val="Heading2"/>
      </w:pPr>
      <w:bookmarkStart w:id="8" w:name="_Toc231612065"/>
      <w:r>
        <w:t>2.3 DEI Policies and Leadership Development</w:t>
      </w:r>
      <w:bookmarkEnd w:id="8"/>
    </w:p>
    <w:p w14:paraId="438C1720" w14:textId="2826E695" w:rsidR="00E94765" w:rsidRDefault="00E94765" w:rsidP="00E94765">
      <w:r>
        <w:t xml:space="preserve">Diversity, equity and inclusion are policies that contribute towards the establishment of a fair and </w:t>
      </w:r>
      <w:r w:rsidR="00722879">
        <w:t>favourable</w:t>
      </w:r>
      <w:r>
        <w:t xml:space="preserve"> workplace. At Tesco, there are inclusion programmes, such as colleague networks, inclusive recruitment and leadership development programmes (Tesco PLC, 2025c). Such practices are capable of </w:t>
      </w:r>
      <w:r w:rsidR="00722879">
        <w:t>benefiting</w:t>
      </w:r>
      <w:r>
        <w:t xml:space="preserve"> the </w:t>
      </w:r>
      <w:r w:rsidR="00722879">
        <w:t>organisation's</w:t>
      </w:r>
      <w:r>
        <w:t xml:space="preserve"> performance. Inclusive recruiting widens the talent base and enhances workforce diversification</w:t>
      </w:r>
      <w:r w:rsidR="00722879">
        <w:t>,</w:t>
      </w:r>
      <w:r>
        <w:t xml:space="preserve"> whereas networks of employees assist in engagement. Leadership development also motivates managers to advance inclusive behaviours and good work cultures. Such diversity policies help organisations when they are implicated in </w:t>
      </w:r>
      <w:r>
        <w:lastRenderedPageBreak/>
        <w:t xml:space="preserve">broader strategy (CIPD, 2025b). Another aspect of sustainability reflected in the Tesco agenda </w:t>
      </w:r>
      <w:r w:rsidR="00722879">
        <w:t>is</w:t>
      </w:r>
      <w:r>
        <w:t xml:space="preserve"> the workplaces where employees feel </w:t>
      </w:r>
      <w:r w:rsidR="00722879">
        <w:t>respected</w:t>
      </w:r>
      <w:r>
        <w:t xml:space="preserve"> and are capable of contributing to the fullest (Tesco PLC, 2025b). But there are limitations to DEI practices. The implementation gaps can manifest themselves in terms of inconsistent application of policies among departments. Where the existing cultures are well entrenched, resistance to change may diminish effectiveness. Formal policies may also not apply to recruitment and promotion because of unconscious bias. Thus, it requires constant monitoring and leadership dedication.</w:t>
      </w:r>
    </w:p>
    <w:tbl>
      <w:tblPr>
        <w:tblStyle w:val="TableGrid"/>
        <w:tblW w:w="5000" w:type="pct"/>
        <w:tblLook w:val="04A0" w:firstRow="1" w:lastRow="0" w:firstColumn="1" w:lastColumn="0" w:noHBand="0" w:noVBand="1"/>
      </w:tblPr>
      <w:tblGrid>
        <w:gridCol w:w="1936"/>
        <w:gridCol w:w="2729"/>
        <w:gridCol w:w="2207"/>
        <w:gridCol w:w="2478"/>
      </w:tblGrid>
      <w:tr w:rsidR="00722879" w:rsidRPr="00722879" w14:paraId="2EADDD70" w14:textId="77777777" w:rsidTr="00722879">
        <w:tc>
          <w:tcPr>
            <w:tcW w:w="1035" w:type="pct"/>
            <w:hideMark/>
          </w:tcPr>
          <w:p w14:paraId="13A27F60" w14:textId="77777777" w:rsidR="00722879" w:rsidRPr="00722879" w:rsidRDefault="00722879" w:rsidP="00722879">
            <w:pPr>
              <w:rPr>
                <w:b/>
                <w:bCs/>
                <w:lang w:val="en-US"/>
              </w:rPr>
            </w:pPr>
            <w:r w:rsidRPr="00722879">
              <w:rPr>
                <w:b/>
                <w:bCs/>
                <w:lang w:val="en-US"/>
              </w:rPr>
              <w:t>HR Challenge</w:t>
            </w:r>
          </w:p>
        </w:tc>
        <w:tc>
          <w:tcPr>
            <w:tcW w:w="1459" w:type="pct"/>
            <w:hideMark/>
          </w:tcPr>
          <w:p w14:paraId="5BFD4650" w14:textId="77777777" w:rsidR="00722879" w:rsidRPr="00722879" w:rsidRDefault="00722879" w:rsidP="00722879">
            <w:pPr>
              <w:rPr>
                <w:b/>
                <w:bCs/>
                <w:lang w:val="en-US"/>
              </w:rPr>
            </w:pPr>
            <w:r w:rsidRPr="00722879">
              <w:rPr>
                <w:b/>
                <w:bCs/>
                <w:lang w:val="en-US"/>
              </w:rPr>
              <w:t>Practice</w:t>
            </w:r>
          </w:p>
        </w:tc>
        <w:tc>
          <w:tcPr>
            <w:tcW w:w="1180" w:type="pct"/>
            <w:hideMark/>
          </w:tcPr>
          <w:p w14:paraId="1E7F4CFF" w14:textId="77777777" w:rsidR="00722879" w:rsidRPr="00722879" w:rsidRDefault="00722879" w:rsidP="00722879">
            <w:pPr>
              <w:rPr>
                <w:b/>
                <w:bCs/>
                <w:lang w:val="en-US"/>
              </w:rPr>
            </w:pPr>
            <w:r w:rsidRPr="00722879">
              <w:rPr>
                <w:b/>
                <w:bCs/>
                <w:lang w:val="en-US"/>
              </w:rPr>
              <w:t>Strengths</w:t>
            </w:r>
          </w:p>
        </w:tc>
        <w:tc>
          <w:tcPr>
            <w:tcW w:w="1325" w:type="pct"/>
            <w:hideMark/>
          </w:tcPr>
          <w:p w14:paraId="14B995A0" w14:textId="77777777" w:rsidR="00722879" w:rsidRPr="00722879" w:rsidRDefault="00722879" w:rsidP="00722879">
            <w:pPr>
              <w:rPr>
                <w:b/>
                <w:bCs/>
                <w:lang w:val="en-US"/>
              </w:rPr>
            </w:pPr>
            <w:r w:rsidRPr="00722879">
              <w:rPr>
                <w:b/>
                <w:bCs/>
                <w:lang w:val="en-US"/>
              </w:rPr>
              <w:t>Limitations</w:t>
            </w:r>
          </w:p>
        </w:tc>
      </w:tr>
      <w:tr w:rsidR="00722879" w:rsidRPr="00722879" w14:paraId="3DC1110D" w14:textId="77777777" w:rsidTr="00722879">
        <w:tc>
          <w:tcPr>
            <w:tcW w:w="1035" w:type="pct"/>
            <w:hideMark/>
          </w:tcPr>
          <w:p w14:paraId="5F14E202" w14:textId="77777777" w:rsidR="00722879" w:rsidRPr="00722879" w:rsidRDefault="00722879" w:rsidP="00722879">
            <w:pPr>
              <w:rPr>
                <w:lang w:val="en-US"/>
              </w:rPr>
            </w:pPr>
            <w:r w:rsidRPr="00722879">
              <w:rPr>
                <w:lang w:val="en-US"/>
              </w:rPr>
              <w:t>Technology</w:t>
            </w:r>
          </w:p>
        </w:tc>
        <w:tc>
          <w:tcPr>
            <w:tcW w:w="1459" w:type="pct"/>
            <w:hideMark/>
          </w:tcPr>
          <w:p w14:paraId="3F2F5C24" w14:textId="77777777" w:rsidR="00722879" w:rsidRPr="00722879" w:rsidRDefault="00722879" w:rsidP="00722879">
            <w:pPr>
              <w:rPr>
                <w:lang w:val="en-US"/>
              </w:rPr>
            </w:pPr>
            <w:r w:rsidRPr="00722879">
              <w:rPr>
                <w:lang w:val="en-US"/>
              </w:rPr>
              <w:t>Digital HR Systems</w:t>
            </w:r>
          </w:p>
        </w:tc>
        <w:tc>
          <w:tcPr>
            <w:tcW w:w="1180" w:type="pct"/>
            <w:hideMark/>
          </w:tcPr>
          <w:p w14:paraId="16EE9CC2" w14:textId="77777777" w:rsidR="00722879" w:rsidRPr="00722879" w:rsidRDefault="00722879" w:rsidP="00722879">
            <w:pPr>
              <w:rPr>
                <w:lang w:val="en-US"/>
              </w:rPr>
            </w:pPr>
            <w:r w:rsidRPr="00722879">
              <w:rPr>
                <w:lang w:val="en-US"/>
              </w:rPr>
              <w:t>Better decisions</w:t>
            </w:r>
          </w:p>
        </w:tc>
        <w:tc>
          <w:tcPr>
            <w:tcW w:w="1325" w:type="pct"/>
            <w:hideMark/>
          </w:tcPr>
          <w:p w14:paraId="5B00837C" w14:textId="77777777" w:rsidR="00722879" w:rsidRPr="00722879" w:rsidRDefault="00722879" w:rsidP="00722879">
            <w:pPr>
              <w:rPr>
                <w:lang w:val="en-US"/>
              </w:rPr>
            </w:pPr>
            <w:r w:rsidRPr="00722879">
              <w:rPr>
                <w:lang w:val="en-US"/>
              </w:rPr>
              <w:t>Cost</w:t>
            </w:r>
          </w:p>
        </w:tc>
      </w:tr>
      <w:tr w:rsidR="00722879" w:rsidRPr="00722879" w14:paraId="10300D38" w14:textId="77777777" w:rsidTr="00722879">
        <w:tc>
          <w:tcPr>
            <w:tcW w:w="1035" w:type="pct"/>
            <w:hideMark/>
          </w:tcPr>
          <w:p w14:paraId="32B7F3DE" w14:textId="77777777" w:rsidR="00722879" w:rsidRPr="00722879" w:rsidRDefault="00722879" w:rsidP="00722879">
            <w:pPr>
              <w:rPr>
                <w:lang w:val="en-US"/>
              </w:rPr>
            </w:pPr>
            <w:r w:rsidRPr="00722879">
              <w:rPr>
                <w:lang w:val="en-US"/>
              </w:rPr>
              <w:t>Talent</w:t>
            </w:r>
          </w:p>
        </w:tc>
        <w:tc>
          <w:tcPr>
            <w:tcW w:w="1459" w:type="pct"/>
            <w:hideMark/>
          </w:tcPr>
          <w:p w14:paraId="561364D0" w14:textId="77777777" w:rsidR="00722879" w:rsidRPr="00722879" w:rsidRDefault="00722879" w:rsidP="00722879">
            <w:pPr>
              <w:rPr>
                <w:lang w:val="en-US"/>
              </w:rPr>
            </w:pPr>
            <w:r w:rsidRPr="00722879">
              <w:rPr>
                <w:lang w:val="en-US"/>
              </w:rPr>
              <w:t>Employer Branding</w:t>
            </w:r>
          </w:p>
        </w:tc>
        <w:tc>
          <w:tcPr>
            <w:tcW w:w="1180" w:type="pct"/>
            <w:hideMark/>
          </w:tcPr>
          <w:p w14:paraId="410F5F3F" w14:textId="77777777" w:rsidR="00722879" w:rsidRPr="00722879" w:rsidRDefault="00722879" w:rsidP="00722879">
            <w:pPr>
              <w:rPr>
                <w:lang w:val="en-US"/>
              </w:rPr>
            </w:pPr>
            <w:r w:rsidRPr="00722879">
              <w:rPr>
                <w:lang w:val="en-US"/>
              </w:rPr>
              <w:t>Retention</w:t>
            </w:r>
          </w:p>
        </w:tc>
        <w:tc>
          <w:tcPr>
            <w:tcW w:w="1325" w:type="pct"/>
            <w:hideMark/>
          </w:tcPr>
          <w:p w14:paraId="05C5CC02" w14:textId="77777777" w:rsidR="00722879" w:rsidRPr="00722879" w:rsidRDefault="00722879" w:rsidP="00722879">
            <w:pPr>
              <w:rPr>
                <w:lang w:val="en-US"/>
              </w:rPr>
            </w:pPr>
            <w:r w:rsidRPr="00722879">
              <w:rPr>
                <w:lang w:val="en-US"/>
              </w:rPr>
              <w:t>Competitive market</w:t>
            </w:r>
          </w:p>
        </w:tc>
      </w:tr>
      <w:tr w:rsidR="00722879" w:rsidRPr="00722879" w14:paraId="7E0FFBDB" w14:textId="77777777" w:rsidTr="00722879">
        <w:tc>
          <w:tcPr>
            <w:tcW w:w="1035" w:type="pct"/>
            <w:hideMark/>
          </w:tcPr>
          <w:p w14:paraId="1E77E26E" w14:textId="77777777" w:rsidR="00722879" w:rsidRPr="00722879" w:rsidRDefault="00722879" w:rsidP="00722879">
            <w:pPr>
              <w:rPr>
                <w:lang w:val="en-US"/>
              </w:rPr>
            </w:pPr>
            <w:r w:rsidRPr="00722879">
              <w:rPr>
                <w:lang w:val="en-US"/>
              </w:rPr>
              <w:t>DEI</w:t>
            </w:r>
          </w:p>
        </w:tc>
        <w:tc>
          <w:tcPr>
            <w:tcW w:w="1459" w:type="pct"/>
            <w:hideMark/>
          </w:tcPr>
          <w:p w14:paraId="78365B91" w14:textId="77777777" w:rsidR="00722879" w:rsidRPr="00722879" w:rsidRDefault="00722879" w:rsidP="00722879">
            <w:pPr>
              <w:rPr>
                <w:lang w:val="en-US"/>
              </w:rPr>
            </w:pPr>
            <w:r w:rsidRPr="00722879">
              <w:rPr>
                <w:lang w:val="en-US"/>
              </w:rPr>
              <w:t>Inclusive Recruitment</w:t>
            </w:r>
          </w:p>
        </w:tc>
        <w:tc>
          <w:tcPr>
            <w:tcW w:w="1180" w:type="pct"/>
            <w:hideMark/>
          </w:tcPr>
          <w:p w14:paraId="5863C010" w14:textId="77777777" w:rsidR="00722879" w:rsidRPr="00722879" w:rsidRDefault="00722879" w:rsidP="00722879">
            <w:pPr>
              <w:rPr>
                <w:lang w:val="en-US"/>
              </w:rPr>
            </w:pPr>
            <w:r w:rsidRPr="00722879">
              <w:rPr>
                <w:lang w:val="en-US"/>
              </w:rPr>
              <w:t>Wider talent pool</w:t>
            </w:r>
          </w:p>
        </w:tc>
        <w:tc>
          <w:tcPr>
            <w:tcW w:w="1325" w:type="pct"/>
            <w:hideMark/>
          </w:tcPr>
          <w:p w14:paraId="05CBFF5B" w14:textId="77777777" w:rsidR="00722879" w:rsidRPr="00722879" w:rsidRDefault="00722879" w:rsidP="00722879">
            <w:pPr>
              <w:rPr>
                <w:lang w:val="en-US"/>
              </w:rPr>
            </w:pPr>
            <w:r w:rsidRPr="00722879">
              <w:rPr>
                <w:lang w:val="en-US"/>
              </w:rPr>
              <w:t>Bias risks</w:t>
            </w:r>
          </w:p>
        </w:tc>
      </w:tr>
    </w:tbl>
    <w:p w14:paraId="790912D6" w14:textId="77777777" w:rsidR="00722879" w:rsidRPr="00722879" w:rsidRDefault="00722879" w:rsidP="00722879">
      <w:pPr>
        <w:jc w:val="center"/>
        <w:rPr>
          <w:i/>
          <w:iCs/>
          <w:lang w:val="en-US"/>
        </w:rPr>
      </w:pPr>
      <w:r w:rsidRPr="00722879">
        <w:rPr>
          <w:i/>
          <w:iCs/>
          <w:lang w:val="en-US"/>
        </w:rPr>
        <w:t>Table 1: Evaluation of Contemporary HR Practices at Tesco</w:t>
      </w:r>
    </w:p>
    <w:p w14:paraId="647430E4" w14:textId="77777777" w:rsidR="00722879" w:rsidRPr="00722879" w:rsidRDefault="00722879" w:rsidP="00722879">
      <w:pPr>
        <w:jc w:val="center"/>
        <w:rPr>
          <w:i/>
          <w:iCs/>
          <w:lang w:val="en-US"/>
        </w:rPr>
      </w:pPr>
      <w:r w:rsidRPr="00722879">
        <w:rPr>
          <w:b/>
          <w:bCs/>
          <w:i/>
          <w:iCs/>
          <w:lang w:val="en-US"/>
        </w:rPr>
        <w:t>Source: Self-made</w:t>
      </w:r>
    </w:p>
    <w:p w14:paraId="4A90CEAE" w14:textId="77777777" w:rsidR="00722879" w:rsidRDefault="00722879" w:rsidP="00722879">
      <w:pPr>
        <w:pStyle w:val="Heading1"/>
      </w:pPr>
      <w:bookmarkStart w:id="9" w:name="_Toc231612066"/>
      <w:r>
        <w:t>3. Critical Evaluation of Managerial Implementation</w:t>
      </w:r>
      <w:bookmarkEnd w:id="9"/>
    </w:p>
    <w:p w14:paraId="3055D8A1" w14:textId="77777777" w:rsidR="00722879" w:rsidRDefault="00722879" w:rsidP="00722879">
      <w:pPr>
        <w:pStyle w:val="Heading2"/>
      </w:pPr>
      <w:bookmarkStart w:id="10" w:name="_Toc231612067"/>
      <w:r>
        <w:t>3.1 Leadership Accountability</w:t>
      </w:r>
      <w:bookmarkEnd w:id="10"/>
    </w:p>
    <w:p w14:paraId="71156B97" w14:textId="189468C5" w:rsidR="00722879" w:rsidRDefault="00722879" w:rsidP="00722879">
      <w:r>
        <w:t xml:space="preserve">In order to have successful implementation of the modern HR practices, leadership accountability is necessary. The managers of the departments should be accountable to organisational goals and be beacons of what behaviours are expected. Transformational leadership makes managers inspire employees, foster inclusion and propel positive change. When managers are committed to diversity and employee development, they have improved chances of being trusted and cooperating with the workforce. The maintenance of accountability is another aspect that is enhanced through inclusive leadership in order to ensure that the managers are actively contributing towards organisational interests as well as human welfare (Platania, Maggio and </w:t>
      </w:r>
      <w:proofErr w:type="spellStart"/>
      <w:r>
        <w:t>Boccadamo</w:t>
      </w:r>
      <w:proofErr w:type="spellEnd"/>
      <w:r>
        <w:t>, 2025).</w:t>
      </w:r>
    </w:p>
    <w:p w14:paraId="5DCD6D40" w14:textId="77777777" w:rsidR="00722879" w:rsidRDefault="00722879" w:rsidP="00722879">
      <w:pPr>
        <w:pStyle w:val="Heading2"/>
      </w:pPr>
      <w:bookmarkStart w:id="11" w:name="_Toc231612068"/>
      <w:r>
        <w:t>3.2 Communication Strategies</w:t>
      </w:r>
      <w:bookmarkEnd w:id="11"/>
    </w:p>
    <w:p w14:paraId="6AE05918" w14:textId="202D43BA" w:rsidR="00722879" w:rsidRDefault="00722879" w:rsidP="00722879">
      <w:r>
        <w:t xml:space="preserve">Communication is very important in the process of instilling new HR practices since employees have to be convinced about the purpose and advantages of organisational change. The managers ought to employ open avenues of communication, employee consultations and frequent feedback as a way of encouraging participation. Transparent communication can be used to minimise </w:t>
      </w:r>
      <w:r>
        <w:lastRenderedPageBreak/>
        <w:t>uncertainties and resistance and reinforce employee engagement. Change management approaches emphasise the importance of engaging employees throughout the implementation process. Regular communication enhances transparency and trust, which can raise the chances of successful adoption of HR initiatives (Armstrong and Taylor, 2023).</w:t>
      </w:r>
    </w:p>
    <w:p w14:paraId="3BC6D100" w14:textId="77777777" w:rsidR="00722879" w:rsidRDefault="00722879" w:rsidP="00722879">
      <w:pPr>
        <w:pStyle w:val="Heading2"/>
      </w:pPr>
      <w:bookmarkStart w:id="12" w:name="_Toc231612069"/>
      <w:r>
        <w:t>3.3 Monitoring and Performance Measurement</w:t>
      </w:r>
      <w:bookmarkEnd w:id="12"/>
    </w:p>
    <w:p w14:paraId="7B97CD3E" w14:textId="2E9CEFB8" w:rsidR="00722879" w:rsidRDefault="00722879" w:rsidP="00722879">
      <w:r>
        <w:t>Managers need to keep track of HR initiatives in order to make sure that they deliver intended results. Workforce analytics and employee engagement measures, key performance indicators (KPIs) someone give very useful evidence about the performance of an organisation. The people analytics allows the managers to establish trends, assess the effectiveness of the workforce and enable evidence-based decision-making (Lee and Lee, 2024). Tesco considers colleague surveys and performance reviews as a way to know the experience of the employees and where it can be improved. Frequent monitoring enables managers to respond to arising concerns promptly and keep the HR objectives in tune with organisational objectives.</w:t>
      </w:r>
    </w:p>
    <w:p w14:paraId="09A9BCD6" w14:textId="77777777" w:rsidR="00722879" w:rsidRDefault="00722879" w:rsidP="00722879">
      <w:pPr>
        <w:pStyle w:val="Heading2"/>
      </w:pPr>
      <w:bookmarkStart w:id="13" w:name="_Toc231612070"/>
      <w:r>
        <w:t>3.4 Organisational Culture</w:t>
      </w:r>
      <w:bookmarkEnd w:id="13"/>
    </w:p>
    <w:p w14:paraId="4A1A5DD8" w14:textId="134538BC" w:rsidR="00722879" w:rsidRDefault="00722879" w:rsidP="00722879">
      <w:r>
        <w:t>The effectiveness of implementation of HR practice is greatly determined by organisational culture. The Organisational Culture Model by Schein states that the values and behaviours shared through the organisation influence the employee reaction to the organisational initiatives. Tesco has an inclusive and learning culture that motivates employee participation and growth (Tesco PLC, 2025b). Organisational culture can positively increase employee trust and enhance engagement and positively implement change. Managers have a significant role to play in strengthening behaviours that are in line with organisational values and strategic objectives.</w:t>
      </w:r>
    </w:p>
    <w:p w14:paraId="708EF577" w14:textId="77777777" w:rsidR="00722879" w:rsidRDefault="00722879" w:rsidP="00722879">
      <w:pPr>
        <w:pStyle w:val="Heading2"/>
      </w:pPr>
      <w:bookmarkStart w:id="14" w:name="_Toc231612071"/>
      <w:r>
        <w:t>3.5 Barriers and Solutions</w:t>
      </w:r>
      <w:bookmarkEnd w:id="14"/>
    </w:p>
    <w:p w14:paraId="0CDB48EC" w14:textId="633F3D21" w:rsidR="00722879" w:rsidRDefault="00722879" w:rsidP="00722879">
      <w:r>
        <w:t xml:space="preserve">There are some obstacles which may decrease the efficiency of implementation of the HR practices. Employee resistance to change is often a challenge, as well as financial constraints, lack of skills and unequal commitment by managers. The utilisation of technology can also pose implementation challenges as workers do not have faith in new systems (Palos-Sánchez et al., 2022). Moreover, training and support needs are frequently underestimated in organisations, which can cause the failure of HR technology initiatives (Votto et al., 2021). These barriers can be </w:t>
      </w:r>
      <w:r>
        <w:lastRenderedPageBreak/>
        <w:t>overcome by managers using specific training, proper communication, effective leadership commitment and constant monitoring of performance. These activities add more levels of employee preparedness and enhance the success of implementation.</w:t>
      </w:r>
    </w:p>
    <w:p w14:paraId="5013F322" w14:textId="0D14F156" w:rsidR="00722879" w:rsidRDefault="00722879" w:rsidP="00722879">
      <w:pPr>
        <w:pStyle w:val="Heading1"/>
      </w:pPr>
      <w:bookmarkStart w:id="15" w:name="_Toc231612072"/>
      <w:r>
        <w:t>Recommendations</w:t>
      </w:r>
      <w:bookmarkEnd w:id="15"/>
    </w:p>
    <w:p w14:paraId="016AC06B" w14:textId="46863A12" w:rsidR="00722879" w:rsidRDefault="00722879" w:rsidP="00722879">
      <w:r>
        <w:t>According to the findings, Tesco ought to focus on expanding digital upskilling programmes to make sure that its staff is equipped with the skills necessary to integrate the new technologies and alter the retail process (Armstrong and Taylor, 2023). Employer branding and career development opportunities also need to be enhanced by the organisation to enhance the recruitment performance and decrease employee turnover. In addition, Tesco ought to increase leadership training inclusiveness in order to improve diversity performance and improve workplace belongingness. Lastly, more appropriate use of workforce analytics must oversee high engagement, retention and inclusion performance across departments and aid evidence-based HR decision-making (Tesco PLC, 2025a).</w:t>
      </w:r>
    </w:p>
    <w:p w14:paraId="77646CFC" w14:textId="777B328D" w:rsidR="00722879" w:rsidRDefault="00722879" w:rsidP="00722879">
      <w:pPr>
        <w:pStyle w:val="Heading1"/>
      </w:pPr>
      <w:bookmarkStart w:id="16" w:name="_Toc231612073"/>
      <w:r>
        <w:t>Conclusion</w:t>
      </w:r>
      <w:bookmarkEnd w:id="16"/>
    </w:p>
    <w:p w14:paraId="589E9EAC" w14:textId="64D786FE" w:rsidR="00234F66" w:rsidRPr="00E94765" w:rsidRDefault="00722879" w:rsidP="00722879">
      <w:pPr>
        <w:rPr>
          <w:lang w:val="en-US"/>
        </w:rPr>
      </w:pPr>
      <w:r>
        <w:t>In this report, technological advancement, talent acquisition and retention, and DEI emerged as significant HR issues in Tesco. These have a great deal on employee engagement, organisational performance and long-term sustainability. Effective mechanisms in dealing with these challenges can be achieved through modern HR practices as long as they are implemented adequately. Nevertheless, the achievements are mostly determined by the commitment of the manager and a well-implemented method. Through further investments in people management, Tesco will be able to build on organisational performance and sustain long-term industry competitiveness in the retail industry.</w:t>
      </w:r>
      <w:r w:rsidR="00234F66">
        <w:br w:type="page"/>
      </w:r>
    </w:p>
    <w:p w14:paraId="4456983B" w14:textId="42876371" w:rsidR="009F4229" w:rsidRDefault="00234F66" w:rsidP="00234F66">
      <w:pPr>
        <w:pStyle w:val="Heading1"/>
      </w:pPr>
      <w:bookmarkStart w:id="17" w:name="_Toc231612074"/>
      <w:r>
        <w:lastRenderedPageBreak/>
        <w:t>References</w:t>
      </w:r>
      <w:bookmarkEnd w:id="17"/>
    </w:p>
    <w:p w14:paraId="5FC12537" w14:textId="77777777" w:rsidR="00234F66" w:rsidRPr="00234F66" w:rsidRDefault="00234F66" w:rsidP="00234F66">
      <w:pPr>
        <w:rPr>
          <w:lang w:val="en-US"/>
        </w:rPr>
      </w:pPr>
      <w:r w:rsidRPr="00234F66">
        <w:rPr>
          <w:lang w:val="en-US"/>
        </w:rPr>
        <w:t xml:space="preserve">Álvarez-Gutiérrez, F.J., Stone, D.L., Castaño, A.M. and García-Izquierdo, A.L. (2022) ‘Human resources analytics: A systematic review from a sustainable management approach’, </w:t>
      </w:r>
      <w:r w:rsidRPr="00234F66">
        <w:rPr>
          <w:i/>
          <w:iCs/>
          <w:lang w:val="en-US"/>
        </w:rPr>
        <w:t>Journal of Work and Organizational Psychology</w:t>
      </w:r>
      <w:r w:rsidRPr="00234F66">
        <w:rPr>
          <w:lang w:val="en-US"/>
        </w:rPr>
        <w:t>, 38(3), pp. 129–147. Available at: https://doi.org/10.5093/jwop2022a18</w:t>
      </w:r>
    </w:p>
    <w:p w14:paraId="0FBDAB5D" w14:textId="77777777" w:rsidR="00234F66" w:rsidRPr="00234F66" w:rsidRDefault="00234F66" w:rsidP="00234F66">
      <w:pPr>
        <w:rPr>
          <w:lang w:val="en-US"/>
        </w:rPr>
      </w:pPr>
      <w:r w:rsidRPr="00234F66">
        <w:rPr>
          <w:lang w:val="en-US"/>
        </w:rPr>
        <w:t xml:space="preserve">Armstrong, M. and Taylor, S. (2023) </w:t>
      </w:r>
      <w:r w:rsidRPr="00234F66">
        <w:rPr>
          <w:i/>
          <w:iCs/>
          <w:lang w:val="en-US"/>
        </w:rPr>
        <w:t>Armstrong’s handbook of human resource management practice: A guide to the theory and practice of people management</w:t>
      </w:r>
      <w:r w:rsidRPr="00234F66">
        <w:rPr>
          <w:lang w:val="en-US"/>
        </w:rPr>
        <w:t xml:space="preserve">. 16th </w:t>
      </w:r>
      <w:proofErr w:type="spellStart"/>
      <w:r w:rsidRPr="00234F66">
        <w:rPr>
          <w:lang w:val="en-US"/>
        </w:rPr>
        <w:t>edn</w:t>
      </w:r>
      <w:proofErr w:type="spellEnd"/>
      <w:r w:rsidRPr="00234F66">
        <w:rPr>
          <w:lang w:val="en-US"/>
        </w:rPr>
        <w:t xml:space="preserve">. London: Kogan Page. Available at: </w:t>
      </w:r>
      <w:hyperlink r:id="rId8" w:tgtFrame="_new" w:history="1">
        <w:r w:rsidRPr="00234F66">
          <w:rPr>
            <w:rStyle w:val="Hyperlink"/>
            <w:lang w:val="en-US"/>
          </w:rPr>
          <w:t>https://www.koganpage.com/hr-learning-development/armstrong-s-handbook-of-human-resource-management-practice-9781398606630</w:t>
        </w:r>
      </w:hyperlink>
      <w:r w:rsidRPr="00234F66">
        <w:rPr>
          <w:lang w:val="en-US"/>
        </w:rPr>
        <w:t xml:space="preserve"> (Accessed: 6 June 2026).</w:t>
      </w:r>
    </w:p>
    <w:p w14:paraId="7A63D657" w14:textId="77777777" w:rsidR="00234F66" w:rsidRPr="00234F66" w:rsidRDefault="00234F66" w:rsidP="00234F66">
      <w:pPr>
        <w:rPr>
          <w:lang w:val="en-US"/>
        </w:rPr>
      </w:pPr>
      <w:r w:rsidRPr="00234F66">
        <w:rPr>
          <w:lang w:val="en-US"/>
        </w:rPr>
        <w:t xml:space="preserve">Basu, S., Majumdar, B., Mukherjee, K., Munjal, S. and Palaksha, C. (2023) ‘Artificial intelligence–HRM interactions and outcomes: A systematic review and causal configurational explanation’, </w:t>
      </w:r>
      <w:r w:rsidRPr="00234F66">
        <w:rPr>
          <w:i/>
          <w:iCs/>
          <w:lang w:val="en-US"/>
        </w:rPr>
        <w:t>Human Resource Management Review</w:t>
      </w:r>
      <w:r w:rsidRPr="00234F66">
        <w:rPr>
          <w:lang w:val="en-US"/>
        </w:rPr>
        <w:t xml:space="preserve">, 33(1), article 100893. Available at: </w:t>
      </w:r>
      <w:hyperlink r:id="rId9" w:tgtFrame="_new" w:history="1">
        <w:r w:rsidRPr="00234F66">
          <w:rPr>
            <w:rStyle w:val="Hyperlink"/>
            <w:lang w:val="en-US"/>
          </w:rPr>
          <w:t>https://doi.org/10.1016/j.hrmr.2022.100893</w:t>
        </w:r>
      </w:hyperlink>
    </w:p>
    <w:p w14:paraId="6322B35A" w14:textId="77777777" w:rsidR="00234F66" w:rsidRPr="00234F66" w:rsidRDefault="00234F66" w:rsidP="00234F66">
      <w:pPr>
        <w:rPr>
          <w:lang w:val="en-US"/>
        </w:rPr>
      </w:pPr>
      <w:proofErr w:type="spellStart"/>
      <w:r w:rsidRPr="00234F66">
        <w:rPr>
          <w:lang w:val="en-US"/>
        </w:rPr>
        <w:t>Budhwar</w:t>
      </w:r>
      <w:proofErr w:type="spellEnd"/>
      <w:r w:rsidRPr="00234F66">
        <w:rPr>
          <w:lang w:val="en-US"/>
        </w:rPr>
        <w:t xml:space="preserve">, P., Malik, A., De Silva, M.T.T. and </w:t>
      </w:r>
      <w:proofErr w:type="spellStart"/>
      <w:r w:rsidRPr="00234F66">
        <w:rPr>
          <w:lang w:val="en-US"/>
        </w:rPr>
        <w:t>Thevisuthan</w:t>
      </w:r>
      <w:proofErr w:type="spellEnd"/>
      <w:r w:rsidRPr="00234F66">
        <w:rPr>
          <w:lang w:val="en-US"/>
        </w:rPr>
        <w:t xml:space="preserve">, P. (2022) ‘Artificial intelligence – challenges and opportunities for international HRM: A review and research agenda’, </w:t>
      </w:r>
      <w:r w:rsidRPr="00234F66">
        <w:rPr>
          <w:i/>
          <w:iCs/>
          <w:lang w:val="en-US"/>
        </w:rPr>
        <w:t>The International Journal of Human Resource Management</w:t>
      </w:r>
      <w:r w:rsidRPr="00234F66">
        <w:rPr>
          <w:lang w:val="en-US"/>
        </w:rPr>
        <w:t xml:space="preserve">, 33(6), pp. 1065–1097. Available at: </w:t>
      </w:r>
      <w:hyperlink r:id="rId10" w:tgtFrame="_new" w:history="1">
        <w:r w:rsidRPr="00234F66">
          <w:rPr>
            <w:rStyle w:val="Hyperlink"/>
            <w:lang w:val="en-US"/>
          </w:rPr>
          <w:t>https://doi.org/10.1080/09585192.2022.2035161</w:t>
        </w:r>
      </w:hyperlink>
    </w:p>
    <w:p w14:paraId="45476554" w14:textId="77777777" w:rsidR="00234F66" w:rsidRPr="00234F66" w:rsidRDefault="00234F66" w:rsidP="00234F66">
      <w:pPr>
        <w:rPr>
          <w:lang w:val="en-US"/>
        </w:rPr>
      </w:pPr>
      <w:r w:rsidRPr="00234F66">
        <w:rPr>
          <w:lang w:val="en-US"/>
        </w:rPr>
        <w:t xml:space="preserve">Chartered Institute of Personnel and Development [CIPD] (2025a) </w:t>
      </w:r>
      <w:r w:rsidRPr="00234F66">
        <w:rPr>
          <w:i/>
          <w:iCs/>
          <w:lang w:val="en-US"/>
        </w:rPr>
        <w:t>Employee engagement and motivation</w:t>
      </w:r>
      <w:r w:rsidRPr="00234F66">
        <w:rPr>
          <w:lang w:val="en-US"/>
        </w:rPr>
        <w:t xml:space="preserve">. Available at: </w:t>
      </w:r>
      <w:hyperlink r:id="rId11" w:tgtFrame="_new" w:history="1">
        <w:r w:rsidRPr="00234F66">
          <w:rPr>
            <w:rStyle w:val="Hyperlink"/>
            <w:lang w:val="en-US"/>
          </w:rPr>
          <w:t>https://www.cipd.org/en/knowledge/factsheets/engagement-factsheet/</w:t>
        </w:r>
      </w:hyperlink>
      <w:r w:rsidRPr="00234F66">
        <w:rPr>
          <w:lang w:val="en-US"/>
        </w:rPr>
        <w:t xml:space="preserve"> (Accessed: 6 June 2026).</w:t>
      </w:r>
    </w:p>
    <w:p w14:paraId="5F0714FD" w14:textId="77777777" w:rsidR="00234F66" w:rsidRPr="00234F66" w:rsidRDefault="00234F66" w:rsidP="00234F66">
      <w:pPr>
        <w:rPr>
          <w:lang w:val="en-US"/>
        </w:rPr>
      </w:pPr>
      <w:r w:rsidRPr="00234F66">
        <w:rPr>
          <w:lang w:val="en-US"/>
        </w:rPr>
        <w:t xml:space="preserve">Chartered Institute of Personnel and Development [CIPD] (2025b) </w:t>
      </w:r>
      <w:r w:rsidRPr="00234F66">
        <w:rPr>
          <w:i/>
          <w:iCs/>
          <w:lang w:val="en-US"/>
        </w:rPr>
        <w:t>Resetting EDI and reaffirming inclusion</w:t>
      </w:r>
      <w:r w:rsidRPr="00234F66">
        <w:rPr>
          <w:lang w:val="en-US"/>
        </w:rPr>
        <w:t xml:space="preserve">. Available at: </w:t>
      </w:r>
      <w:hyperlink r:id="rId12" w:tgtFrame="_new" w:history="1">
        <w:r w:rsidRPr="00234F66">
          <w:rPr>
            <w:rStyle w:val="Hyperlink"/>
            <w:lang w:val="en-US"/>
          </w:rPr>
          <w:t>https://www.cipd.org/uk/knowledge/reports/Resetting-EDI-reaffirming-inclusion/</w:t>
        </w:r>
      </w:hyperlink>
      <w:r w:rsidRPr="00234F66">
        <w:rPr>
          <w:lang w:val="en-US"/>
        </w:rPr>
        <w:t xml:space="preserve"> (Accessed: 6 June 2026).</w:t>
      </w:r>
    </w:p>
    <w:p w14:paraId="2DBD2712" w14:textId="77777777" w:rsidR="00234F66" w:rsidRPr="00234F66" w:rsidRDefault="00234F66" w:rsidP="00234F66">
      <w:pPr>
        <w:rPr>
          <w:lang w:val="en-US"/>
        </w:rPr>
      </w:pPr>
      <w:r w:rsidRPr="00234F66">
        <w:rPr>
          <w:lang w:val="en-US"/>
        </w:rPr>
        <w:t xml:space="preserve">Chartered Institute of Personnel and Development [CIPD] (2026a) </w:t>
      </w:r>
      <w:r w:rsidRPr="00234F66">
        <w:rPr>
          <w:i/>
          <w:iCs/>
          <w:lang w:val="en-US"/>
        </w:rPr>
        <w:t>Equality, diversity and inclusion in the workplace</w:t>
      </w:r>
      <w:r w:rsidRPr="00234F66">
        <w:rPr>
          <w:lang w:val="en-US"/>
        </w:rPr>
        <w:t xml:space="preserve">. Available at: </w:t>
      </w:r>
      <w:hyperlink r:id="rId13" w:tgtFrame="_new" w:history="1">
        <w:r w:rsidRPr="00234F66">
          <w:rPr>
            <w:rStyle w:val="Hyperlink"/>
            <w:lang w:val="en-US"/>
          </w:rPr>
          <w:t>https://www.cipd.org/en/knowledge/factsheets/diversity-factsheet/</w:t>
        </w:r>
      </w:hyperlink>
      <w:r w:rsidRPr="00234F66">
        <w:rPr>
          <w:lang w:val="en-US"/>
        </w:rPr>
        <w:t xml:space="preserve"> (Accessed: 6 June 2026).</w:t>
      </w:r>
    </w:p>
    <w:p w14:paraId="4C90AC5D" w14:textId="77777777" w:rsidR="00234F66" w:rsidRPr="00234F66" w:rsidRDefault="00234F66" w:rsidP="00234F66">
      <w:pPr>
        <w:rPr>
          <w:lang w:val="en-US"/>
        </w:rPr>
      </w:pPr>
      <w:r w:rsidRPr="00234F66">
        <w:rPr>
          <w:lang w:val="en-US"/>
        </w:rPr>
        <w:t xml:space="preserve">Chartered Institute of Personnel and Development [CIPD] (2026b) </w:t>
      </w:r>
      <w:proofErr w:type="spellStart"/>
      <w:r w:rsidRPr="00234F66">
        <w:rPr>
          <w:i/>
          <w:iCs/>
          <w:lang w:val="en-US"/>
        </w:rPr>
        <w:t>Labour</w:t>
      </w:r>
      <w:proofErr w:type="spellEnd"/>
      <w:r w:rsidRPr="00234F66">
        <w:rPr>
          <w:i/>
          <w:iCs/>
          <w:lang w:val="en-US"/>
        </w:rPr>
        <w:t xml:space="preserve"> Market Outlook</w:t>
      </w:r>
      <w:r w:rsidRPr="00234F66">
        <w:rPr>
          <w:lang w:val="en-US"/>
        </w:rPr>
        <w:t xml:space="preserve">. Available at: </w:t>
      </w:r>
      <w:hyperlink r:id="rId14" w:tgtFrame="_new" w:history="1">
        <w:r w:rsidRPr="00234F66">
          <w:rPr>
            <w:rStyle w:val="Hyperlink"/>
            <w:lang w:val="en-US"/>
          </w:rPr>
          <w:t>https://www.cipd.org/en/knowledge/reports/labour-market-outlook/</w:t>
        </w:r>
      </w:hyperlink>
      <w:r w:rsidRPr="00234F66">
        <w:rPr>
          <w:lang w:val="en-US"/>
        </w:rPr>
        <w:t xml:space="preserve"> (Accessed: 6 June 2026).</w:t>
      </w:r>
    </w:p>
    <w:p w14:paraId="653148EB" w14:textId="77777777" w:rsidR="00234F66" w:rsidRPr="00234F66" w:rsidRDefault="00234F66" w:rsidP="00234F66">
      <w:pPr>
        <w:rPr>
          <w:lang w:val="en-US"/>
        </w:rPr>
      </w:pPr>
      <w:r w:rsidRPr="00234F66">
        <w:rPr>
          <w:lang w:val="en-US"/>
        </w:rPr>
        <w:t xml:space="preserve">Chowdhury, S., Dey, P., Joel-Edgar, S., Bhattacharya, S., Rodriguez-Espindola, O., Abadie, A. and Truong, L. (2023) ‘Unlocking the value of artificial intelligence in human resource </w:t>
      </w:r>
      <w:r w:rsidRPr="00234F66">
        <w:rPr>
          <w:lang w:val="en-US"/>
        </w:rPr>
        <w:lastRenderedPageBreak/>
        <w:t xml:space="preserve">management through AI capability framework’, </w:t>
      </w:r>
      <w:r w:rsidRPr="00234F66">
        <w:rPr>
          <w:i/>
          <w:iCs/>
          <w:lang w:val="en-US"/>
        </w:rPr>
        <w:t>Human Resource Management Review</w:t>
      </w:r>
      <w:r w:rsidRPr="00234F66">
        <w:rPr>
          <w:lang w:val="en-US"/>
        </w:rPr>
        <w:t xml:space="preserve">, 33(1), article 100899. Available at: </w:t>
      </w:r>
      <w:hyperlink r:id="rId15" w:tgtFrame="_new" w:history="1">
        <w:r w:rsidRPr="00234F66">
          <w:rPr>
            <w:rStyle w:val="Hyperlink"/>
            <w:lang w:val="en-US"/>
          </w:rPr>
          <w:t>https://doi.org/10.1016/j.hrmr.2022.100899</w:t>
        </w:r>
      </w:hyperlink>
    </w:p>
    <w:p w14:paraId="2EC7571C" w14:textId="77777777" w:rsidR="00234F66" w:rsidRPr="00234F66" w:rsidRDefault="00234F66" w:rsidP="00234F66">
      <w:pPr>
        <w:rPr>
          <w:lang w:val="en-US"/>
        </w:rPr>
      </w:pPr>
      <w:r w:rsidRPr="00234F66">
        <w:rPr>
          <w:lang w:val="en-US"/>
        </w:rPr>
        <w:t xml:space="preserve">Jotabá, M.N., Fernandes, C.I., Gunkel, M. and Kraus, S. (2022) ‘Innovation and human resource management: A systematic literature review’, </w:t>
      </w:r>
      <w:r w:rsidRPr="00234F66">
        <w:rPr>
          <w:i/>
          <w:iCs/>
          <w:lang w:val="en-US"/>
        </w:rPr>
        <w:t>European Journal of Innovation Management</w:t>
      </w:r>
      <w:r w:rsidRPr="00234F66">
        <w:rPr>
          <w:lang w:val="en-US"/>
        </w:rPr>
        <w:t>, 25(6), pp. 1–18. Available at: https://doi.org/10.1108/EJIM-07-2021-0330</w:t>
      </w:r>
    </w:p>
    <w:p w14:paraId="30658AB0" w14:textId="77777777" w:rsidR="00234F66" w:rsidRPr="00234F66" w:rsidRDefault="00234F66" w:rsidP="00234F66">
      <w:pPr>
        <w:rPr>
          <w:lang w:val="en-US"/>
        </w:rPr>
      </w:pPr>
      <w:r w:rsidRPr="00234F66">
        <w:rPr>
          <w:lang w:val="en-US"/>
        </w:rPr>
        <w:t xml:space="preserve">Lee, J.Y. and Lee, Y. (2024) ‘Integrative literature review on people analytics and implications from the perspective of human resource development’, </w:t>
      </w:r>
      <w:r w:rsidRPr="00234F66">
        <w:rPr>
          <w:i/>
          <w:iCs/>
          <w:lang w:val="en-US"/>
        </w:rPr>
        <w:t>Human Resource Development Review</w:t>
      </w:r>
      <w:r w:rsidRPr="00234F66">
        <w:rPr>
          <w:lang w:val="en-US"/>
        </w:rPr>
        <w:t xml:space="preserve">, 23(1), pp. 58–87. Available at: </w:t>
      </w:r>
      <w:hyperlink r:id="rId16" w:tgtFrame="_new" w:history="1">
        <w:r w:rsidRPr="00234F66">
          <w:rPr>
            <w:rStyle w:val="Hyperlink"/>
            <w:lang w:val="en-US"/>
          </w:rPr>
          <w:t>https://doi.org/10.1177/15344843231217181</w:t>
        </w:r>
      </w:hyperlink>
    </w:p>
    <w:p w14:paraId="428660A6" w14:textId="77777777" w:rsidR="00234F66" w:rsidRPr="00234F66" w:rsidRDefault="00234F66" w:rsidP="00234F66">
      <w:pPr>
        <w:rPr>
          <w:lang w:val="en-US"/>
        </w:rPr>
      </w:pPr>
      <w:proofErr w:type="spellStart"/>
      <w:r w:rsidRPr="00234F66">
        <w:rPr>
          <w:lang w:val="en-US"/>
        </w:rPr>
        <w:t>Organisation</w:t>
      </w:r>
      <w:proofErr w:type="spellEnd"/>
      <w:r w:rsidRPr="00234F66">
        <w:rPr>
          <w:lang w:val="en-US"/>
        </w:rPr>
        <w:t xml:space="preserve"> for Economic Co-operation and Development [OECD] (2026) </w:t>
      </w:r>
      <w:r w:rsidRPr="00234F66">
        <w:rPr>
          <w:i/>
          <w:iCs/>
          <w:lang w:val="en-US"/>
        </w:rPr>
        <w:t xml:space="preserve">Addressing </w:t>
      </w:r>
      <w:proofErr w:type="spellStart"/>
      <w:r w:rsidRPr="00234F66">
        <w:rPr>
          <w:i/>
          <w:iCs/>
          <w:lang w:val="en-US"/>
        </w:rPr>
        <w:t>labour</w:t>
      </w:r>
      <w:proofErr w:type="spellEnd"/>
      <w:r w:rsidRPr="00234F66">
        <w:rPr>
          <w:i/>
          <w:iCs/>
          <w:lang w:val="en-US"/>
        </w:rPr>
        <w:t xml:space="preserve"> and skills shortages in Europe’s retail sector</w:t>
      </w:r>
      <w:r w:rsidRPr="00234F66">
        <w:rPr>
          <w:lang w:val="en-US"/>
        </w:rPr>
        <w:t xml:space="preserve">. Available at: </w:t>
      </w:r>
      <w:hyperlink r:id="rId17" w:tgtFrame="_new" w:history="1">
        <w:r w:rsidRPr="00234F66">
          <w:rPr>
            <w:rStyle w:val="Hyperlink"/>
            <w:lang w:val="en-US"/>
          </w:rPr>
          <w:t>https://www.oecd.org/en/publications/local-retail-global-trends_55e2edec-en/full-report/addressing-labour-and-skills-shortages-in-europe-s-retail-sector_c8c47e14.html</w:t>
        </w:r>
      </w:hyperlink>
      <w:r w:rsidRPr="00234F66">
        <w:rPr>
          <w:lang w:val="en-US"/>
        </w:rPr>
        <w:t xml:space="preserve"> (Accessed: 6 June 2026).</w:t>
      </w:r>
    </w:p>
    <w:p w14:paraId="38368A8F" w14:textId="77777777" w:rsidR="00234F66" w:rsidRPr="00234F66" w:rsidRDefault="00234F66" w:rsidP="00234F66">
      <w:pPr>
        <w:rPr>
          <w:lang w:val="en-US"/>
        </w:rPr>
      </w:pPr>
      <w:r w:rsidRPr="00234F66">
        <w:rPr>
          <w:lang w:val="en-US"/>
        </w:rPr>
        <w:t xml:space="preserve">Office for National Statistics [ONS] (2026) </w:t>
      </w:r>
      <w:proofErr w:type="spellStart"/>
      <w:r w:rsidRPr="00234F66">
        <w:rPr>
          <w:i/>
          <w:iCs/>
          <w:lang w:val="en-US"/>
        </w:rPr>
        <w:t>Labour</w:t>
      </w:r>
      <w:proofErr w:type="spellEnd"/>
      <w:r w:rsidRPr="00234F66">
        <w:rPr>
          <w:i/>
          <w:iCs/>
          <w:lang w:val="en-US"/>
        </w:rPr>
        <w:t xml:space="preserve"> market overview, UK: May 2026</w:t>
      </w:r>
      <w:r w:rsidRPr="00234F66">
        <w:rPr>
          <w:lang w:val="en-US"/>
        </w:rPr>
        <w:t xml:space="preserve">. Available at: </w:t>
      </w:r>
      <w:hyperlink r:id="rId18" w:tgtFrame="_new" w:history="1">
        <w:r w:rsidRPr="00234F66">
          <w:rPr>
            <w:rStyle w:val="Hyperlink"/>
            <w:lang w:val="en-US"/>
          </w:rPr>
          <w:t>https://www.ons.gov.uk/employmentandlabourmarket/peopleinwork/employmentandemployeetypes/bulletins/uklabourmarket/may2026</w:t>
        </w:r>
      </w:hyperlink>
      <w:r w:rsidRPr="00234F66">
        <w:rPr>
          <w:lang w:val="en-US"/>
        </w:rPr>
        <w:t xml:space="preserve"> (Accessed: 6 June 2026).</w:t>
      </w:r>
    </w:p>
    <w:p w14:paraId="1F6E6A04" w14:textId="77777777" w:rsidR="00234F66" w:rsidRPr="00234F66" w:rsidRDefault="00234F66" w:rsidP="00234F66">
      <w:pPr>
        <w:rPr>
          <w:lang w:val="en-US"/>
        </w:rPr>
      </w:pPr>
      <w:r w:rsidRPr="00234F66">
        <w:rPr>
          <w:lang w:val="en-US"/>
        </w:rPr>
        <w:t xml:space="preserve">Palos-Sánchez, P.R., Baena-Luna, P., </w:t>
      </w:r>
      <w:proofErr w:type="spellStart"/>
      <w:r w:rsidRPr="00234F66">
        <w:rPr>
          <w:lang w:val="en-US"/>
        </w:rPr>
        <w:t>Badicu</w:t>
      </w:r>
      <w:proofErr w:type="spellEnd"/>
      <w:r w:rsidRPr="00234F66">
        <w:rPr>
          <w:lang w:val="en-US"/>
        </w:rPr>
        <w:t xml:space="preserve">, A. and Infante-Moro, J.C. (2022) ‘Artificial intelligence and human resources management: A bibliometric analysis’, </w:t>
      </w:r>
      <w:r w:rsidRPr="00234F66">
        <w:rPr>
          <w:i/>
          <w:iCs/>
          <w:lang w:val="en-US"/>
        </w:rPr>
        <w:t>Applied Artificial Intelligence</w:t>
      </w:r>
      <w:r w:rsidRPr="00234F66">
        <w:rPr>
          <w:lang w:val="en-US"/>
        </w:rPr>
        <w:t>, 36(1), article 2145631. Available at: https://doi.org/10.1080/08839514.2022.2145631</w:t>
      </w:r>
    </w:p>
    <w:p w14:paraId="69E5DBAA" w14:textId="77777777" w:rsidR="00234F66" w:rsidRPr="00234F66" w:rsidRDefault="00234F66" w:rsidP="00234F66">
      <w:pPr>
        <w:rPr>
          <w:lang w:val="en-US"/>
        </w:rPr>
      </w:pPr>
      <w:r w:rsidRPr="00234F66">
        <w:rPr>
          <w:lang w:val="en-US"/>
        </w:rPr>
        <w:t xml:space="preserve">Platania, S., Maggio, C. and </w:t>
      </w:r>
      <w:proofErr w:type="spellStart"/>
      <w:r w:rsidRPr="00234F66">
        <w:rPr>
          <w:lang w:val="en-US"/>
        </w:rPr>
        <w:t>Boccadamo</w:t>
      </w:r>
      <w:proofErr w:type="spellEnd"/>
      <w:r w:rsidRPr="00234F66">
        <w:rPr>
          <w:lang w:val="en-US"/>
        </w:rPr>
        <w:t xml:space="preserve">, M. (2025) ‘The impact of diversity inclusion practices in the workplace context: The effect of inclusive leadership’, </w:t>
      </w:r>
      <w:r w:rsidRPr="00234F66">
        <w:rPr>
          <w:i/>
          <w:iCs/>
          <w:lang w:val="en-US"/>
        </w:rPr>
        <w:t>European Journal of Investigation in Health, Psychology and Education</w:t>
      </w:r>
      <w:r w:rsidRPr="00234F66">
        <w:rPr>
          <w:lang w:val="en-US"/>
        </w:rPr>
        <w:t>, 15(7), article 121. Available at: https://doi.org/10.3390/ejihpe15070121</w:t>
      </w:r>
    </w:p>
    <w:p w14:paraId="3228FC26" w14:textId="77777777" w:rsidR="00234F66" w:rsidRPr="00234F66" w:rsidRDefault="00234F66" w:rsidP="00234F66">
      <w:pPr>
        <w:rPr>
          <w:lang w:val="en-US"/>
        </w:rPr>
      </w:pPr>
      <w:r w:rsidRPr="00234F66">
        <w:rPr>
          <w:lang w:val="en-US"/>
        </w:rPr>
        <w:t xml:space="preserve">Shahzad, M.F., Martins, J.M., Rita, J., Xu, S. and Mushtaq, H.M. (2024) ‘Assessing the impact of strategic HR practices on talent retention through job satisfaction and work engagement: Moderating role of psychological empowerment’, </w:t>
      </w:r>
      <w:r w:rsidRPr="00234F66">
        <w:rPr>
          <w:i/>
          <w:iCs/>
          <w:lang w:val="en-US"/>
        </w:rPr>
        <w:t>SAGE Open</w:t>
      </w:r>
      <w:r w:rsidRPr="00234F66">
        <w:rPr>
          <w:lang w:val="en-US"/>
        </w:rPr>
        <w:t xml:space="preserve">, 14(3), article 21582440241281836. Available at: </w:t>
      </w:r>
      <w:hyperlink r:id="rId19" w:tgtFrame="_new" w:history="1">
        <w:r w:rsidRPr="00234F66">
          <w:rPr>
            <w:rStyle w:val="Hyperlink"/>
            <w:lang w:val="en-US"/>
          </w:rPr>
          <w:t>https://doi.org/10.1177/21582440241281836</w:t>
        </w:r>
      </w:hyperlink>
    </w:p>
    <w:p w14:paraId="695E0D27" w14:textId="77777777" w:rsidR="00234F66" w:rsidRPr="00234F66" w:rsidRDefault="00234F66" w:rsidP="00234F66">
      <w:pPr>
        <w:rPr>
          <w:lang w:val="en-US"/>
        </w:rPr>
      </w:pPr>
      <w:r w:rsidRPr="00234F66">
        <w:rPr>
          <w:lang w:val="en-US"/>
        </w:rPr>
        <w:t xml:space="preserve">Tesco PLC (2025a) </w:t>
      </w:r>
      <w:r w:rsidRPr="00234F66">
        <w:rPr>
          <w:i/>
          <w:iCs/>
          <w:lang w:val="en-US"/>
        </w:rPr>
        <w:t>Annual report and financial statements 2025</w:t>
      </w:r>
      <w:r w:rsidRPr="00234F66">
        <w:rPr>
          <w:lang w:val="en-US"/>
        </w:rPr>
        <w:t xml:space="preserve">. Available at: </w:t>
      </w:r>
      <w:hyperlink r:id="rId20" w:tgtFrame="_new" w:history="1">
        <w:r w:rsidRPr="00234F66">
          <w:rPr>
            <w:rStyle w:val="Hyperlink"/>
            <w:lang w:val="en-US"/>
          </w:rPr>
          <w:t>https://www.tescoplc.com/media/ky0bfwpo/tesco_ar25_interactive.pdf</w:t>
        </w:r>
      </w:hyperlink>
      <w:r w:rsidRPr="00234F66">
        <w:rPr>
          <w:lang w:val="en-US"/>
        </w:rPr>
        <w:t xml:space="preserve"> (Accessed: 6 June 2026).</w:t>
      </w:r>
    </w:p>
    <w:p w14:paraId="582B78B8" w14:textId="77777777" w:rsidR="00234F66" w:rsidRPr="00234F66" w:rsidRDefault="00234F66" w:rsidP="00234F66">
      <w:pPr>
        <w:rPr>
          <w:lang w:val="en-US"/>
        </w:rPr>
      </w:pPr>
      <w:r w:rsidRPr="00234F66">
        <w:rPr>
          <w:lang w:val="en-US"/>
        </w:rPr>
        <w:lastRenderedPageBreak/>
        <w:t xml:space="preserve">Tesco PLC (2025b) </w:t>
      </w:r>
      <w:r w:rsidRPr="00234F66">
        <w:rPr>
          <w:i/>
          <w:iCs/>
          <w:lang w:val="en-US"/>
        </w:rPr>
        <w:t>Sustainability report 2024/25</w:t>
      </w:r>
      <w:r w:rsidRPr="00234F66">
        <w:rPr>
          <w:lang w:val="en-US"/>
        </w:rPr>
        <w:t xml:space="preserve">. Available at: </w:t>
      </w:r>
      <w:hyperlink r:id="rId21" w:tgtFrame="_new" w:history="1">
        <w:r w:rsidRPr="00234F66">
          <w:rPr>
            <w:rStyle w:val="Hyperlink"/>
            <w:lang w:val="en-US"/>
          </w:rPr>
          <w:t>https://www.tescoplc.com/media/wvkj1yic/tesco-sustainability-report-2025.pdf</w:t>
        </w:r>
      </w:hyperlink>
      <w:r w:rsidRPr="00234F66">
        <w:rPr>
          <w:lang w:val="en-US"/>
        </w:rPr>
        <w:t xml:space="preserve"> (Accessed: 6 June 2026).</w:t>
      </w:r>
    </w:p>
    <w:p w14:paraId="16C305BC" w14:textId="77777777" w:rsidR="00234F66" w:rsidRPr="00234F66" w:rsidRDefault="00234F66" w:rsidP="00234F66">
      <w:pPr>
        <w:rPr>
          <w:lang w:val="en-US"/>
        </w:rPr>
      </w:pPr>
      <w:r w:rsidRPr="00234F66">
        <w:rPr>
          <w:lang w:val="en-US"/>
        </w:rPr>
        <w:t xml:space="preserve">Tesco PLC (2025c) </w:t>
      </w:r>
      <w:r w:rsidRPr="00234F66">
        <w:rPr>
          <w:i/>
          <w:iCs/>
          <w:lang w:val="en-US"/>
        </w:rPr>
        <w:t>Everyone’s welcome at Tesco report 2025</w:t>
      </w:r>
      <w:r w:rsidRPr="00234F66">
        <w:rPr>
          <w:lang w:val="en-US"/>
        </w:rPr>
        <w:t xml:space="preserve">. Available at: </w:t>
      </w:r>
      <w:hyperlink r:id="rId22" w:tgtFrame="_new" w:history="1">
        <w:r w:rsidRPr="00234F66">
          <w:rPr>
            <w:rStyle w:val="Hyperlink"/>
            <w:lang w:val="en-US"/>
          </w:rPr>
          <w:t>https://digitalcontent.api.tesco.com/v2/media/ourtesco/456a055d-933c-4a42-b432-a2a45cb66322/DEI_Report2025_Tesco_Technology_Krakow_1d3353a06b.pdf</w:t>
        </w:r>
      </w:hyperlink>
      <w:r w:rsidRPr="00234F66">
        <w:rPr>
          <w:lang w:val="en-US"/>
        </w:rPr>
        <w:t xml:space="preserve"> (Accessed: 6 June 2026).</w:t>
      </w:r>
    </w:p>
    <w:p w14:paraId="2848D60B" w14:textId="0DF47294" w:rsidR="00234F66" w:rsidRDefault="00234F66" w:rsidP="00234F66">
      <w:r w:rsidRPr="00234F66">
        <w:t xml:space="preserve">Votto, A.M., Valecha, R., </w:t>
      </w:r>
      <w:proofErr w:type="spellStart"/>
      <w:r w:rsidRPr="00234F66">
        <w:t>Najafirad</w:t>
      </w:r>
      <w:proofErr w:type="spellEnd"/>
      <w:r w:rsidRPr="00234F66">
        <w:t xml:space="preserve">, P. and Rao, H.R. (2021) ‘Artificial intelligence in tactical human resource management: A systematic literature review’, </w:t>
      </w:r>
      <w:r w:rsidRPr="00234F66">
        <w:rPr>
          <w:i/>
          <w:iCs/>
        </w:rPr>
        <w:t>International Journal of Information Management Data Insights</w:t>
      </w:r>
      <w:r w:rsidRPr="00234F66">
        <w:t xml:space="preserve">, 1(2), article 100047. Available at: </w:t>
      </w:r>
      <w:hyperlink r:id="rId23" w:tgtFrame="_new" w:history="1">
        <w:r w:rsidRPr="00234F66">
          <w:rPr>
            <w:rStyle w:val="Hyperlink"/>
          </w:rPr>
          <w:t>https://doi.org/10.1016/j.jjimei.2021.100047</w:t>
        </w:r>
      </w:hyperlink>
    </w:p>
    <w:sectPr w:rsidR="00234F66" w:rsidSect="009929F2">
      <w:footerReference w:type="default" r:id="rId24"/>
      <w:head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62896" w14:textId="77777777" w:rsidR="006B76F0" w:rsidRDefault="006B76F0" w:rsidP="009929F2">
      <w:pPr>
        <w:spacing w:line="240" w:lineRule="auto"/>
      </w:pPr>
      <w:r>
        <w:separator/>
      </w:r>
    </w:p>
  </w:endnote>
  <w:endnote w:type="continuationSeparator" w:id="0">
    <w:p w14:paraId="5F46AE48" w14:textId="77777777" w:rsidR="006B76F0" w:rsidRDefault="006B76F0" w:rsidP="009929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482467"/>
      <w:docPartObj>
        <w:docPartGallery w:val="Page Numbers (Bottom of Page)"/>
        <w:docPartUnique/>
      </w:docPartObj>
    </w:sdtPr>
    <w:sdtEndPr>
      <w:rPr>
        <w:color w:val="7F7F7F" w:themeColor="background1" w:themeShade="7F"/>
        <w:spacing w:val="60"/>
      </w:rPr>
    </w:sdtEndPr>
    <w:sdtContent>
      <w:p w14:paraId="08DE67D2" w14:textId="28BF0272" w:rsidR="009929F2" w:rsidRDefault="009929F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2701A" w:rsidRPr="00A2701A">
          <w:rPr>
            <w:b/>
            <w:bCs/>
            <w:noProof/>
          </w:rPr>
          <w:t>2</w:t>
        </w:r>
        <w:r>
          <w:rPr>
            <w:b/>
            <w:bCs/>
            <w:noProof/>
          </w:rPr>
          <w:fldChar w:fldCharType="end"/>
        </w:r>
        <w:r>
          <w:rPr>
            <w:b/>
            <w:bCs/>
          </w:rPr>
          <w:t xml:space="preserve"> | </w:t>
        </w:r>
        <w:r>
          <w:rPr>
            <w:color w:val="7F7F7F" w:themeColor="background1" w:themeShade="7F"/>
            <w:spacing w:val="60"/>
          </w:rPr>
          <w:t>Page</w:t>
        </w:r>
      </w:p>
    </w:sdtContent>
  </w:sdt>
  <w:p w14:paraId="019CB885" w14:textId="77777777" w:rsidR="009929F2" w:rsidRDefault="00992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7A2DB" w14:textId="77777777" w:rsidR="006B76F0" w:rsidRDefault="006B76F0" w:rsidP="009929F2">
      <w:pPr>
        <w:spacing w:line="240" w:lineRule="auto"/>
      </w:pPr>
      <w:r>
        <w:separator/>
      </w:r>
    </w:p>
  </w:footnote>
  <w:footnote w:type="continuationSeparator" w:id="0">
    <w:p w14:paraId="0633FEDF" w14:textId="77777777" w:rsidR="006B76F0" w:rsidRDefault="006B76F0" w:rsidP="009929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7EE8C" w14:textId="756ECB5A" w:rsidR="009929F2" w:rsidRDefault="009929F2">
    <w:pPr>
      <w:pStyle w:val="Header"/>
    </w:pPr>
    <w:r w:rsidRPr="009F4BEF">
      <w:rPr>
        <w:rFonts w:ascii="Arial" w:hAnsi="Arial" w:cs="Arial"/>
        <w:noProof/>
        <w:sz w:val="20"/>
        <w:szCs w:val="20"/>
        <w:lang w:val="en-US" w:eastAsia="en-US" w:bidi="ar-SA"/>
      </w:rPr>
      <w:drawing>
        <wp:anchor distT="0" distB="0" distL="114300" distR="114300" simplePos="0" relativeHeight="251659264" behindDoc="0" locked="0" layoutInCell="1" allowOverlap="1" wp14:anchorId="367C227F" wp14:editId="1DF68710">
          <wp:simplePos x="0" y="0"/>
          <wp:positionH relativeFrom="column">
            <wp:posOffset>-457200</wp:posOffset>
          </wp:positionH>
          <wp:positionV relativeFrom="paragraph">
            <wp:posOffset>7620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F66"/>
    <w:rsid w:val="00023334"/>
    <w:rsid w:val="00046A01"/>
    <w:rsid w:val="00096108"/>
    <w:rsid w:val="000A0BA0"/>
    <w:rsid w:val="000A4418"/>
    <w:rsid w:val="000F25B0"/>
    <w:rsid w:val="00106812"/>
    <w:rsid w:val="0011777C"/>
    <w:rsid w:val="00120118"/>
    <w:rsid w:val="00183EDB"/>
    <w:rsid w:val="001B1812"/>
    <w:rsid w:val="001F7B42"/>
    <w:rsid w:val="002177A8"/>
    <w:rsid w:val="00234F66"/>
    <w:rsid w:val="00253C97"/>
    <w:rsid w:val="00267B5B"/>
    <w:rsid w:val="00267BFF"/>
    <w:rsid w:val="0028041E"/>
    <w:rsid w:val="002C7966"/>
    <w:rsid w:val="002F4DBA"/>
    <w:rsid w:val="00344103"/>
    <w:rsid w:val="00387623"/>
    <w:rsid w:val="003A65F2"/>
    <w:rsid w:val="003B443A"/>
    <w:rsid w:val="003C296E"/>
    <w:rsid w:val="003D797C"/>
    <w:rsid w:val="003F6D2A"/>
    <w:rsid w:val="00410ACA"/>
    <w:rsid w:val="00484503"/>
    <w:rsid w:val="004A1FD4"/>
    <w:rsid w:val="004A5D9A"/>
    <w:rsid w:val="004A7975"/>
    <w:rsid w:val="004D7D75"/>
    <w:rsid w:val="004E4C0E"/>
    <w:rsid w:val="00522813"/>
    <w:rsid w:val="00542BA5"/>
    <w:rsid w:val="00544694"/>
    <w:rsid w:val="005475B2"/>
    <w:rsid w:val="0055047A"/>
    <w:rsid w:val="0059625A"/>
    <w:rsid w:val="005D36B5"/>
    <w:rsid w:val="006303DF"/>
    <w:rsid w:val="00636C2A"/>
    <w:rsid w:val="006559BE"/>
    <w:rsid w:val="0067591F"/>
    <w:rsid w:val="006B76F0"/>
    <w:rsid w:val="006C2C5E"/>
    <w:rsid w:val="006C69A5"/>
    <w:rsid w:val="006F40ED"/>
    <w:rsid w:val="00720F06"/>
    <w:rsid w:val="00722879"/>
    <w:rsid w:val="00745AEE"/>
    <w:rsid w:val="0075779B"/>
    <w:rsid w:val="00771024"/>
    <w:rsid w:val="00797B58"/>
    <w:rsid w:val="008205D1"/>
    <w:rsid w:val="0083049A"/>
    <w:rsid w:val="008B0499"/>
    <w:rsid w:val="008C7B21"/>
    <w:rsid w:val="008D3FC8"/>
    <w:rsid w:val="008F4BE6"/>
    <w:rsid w:val="00910200"/>
    <w:rsid w:val="00920C96"/>
    <w:rsid w:val="00967631"/>
    <w:rsid w:val="00985425"/>
    <w:rsid w:val="009929F2"/>
    <w:rsid w:val="009E13D9"/>
    <w:rsid w:val="009F4229"/>
    <w:rsid w:val="009F6811"/>
    <w:rsid w:val="00A1719E"/>
    <w:rsid w:val="00A2509C"/>
    <w:rsid w:val="00A2701A"/>
    <w:rsid w:val="00A4691F"/>
    <w:rsid w:val="00A56313"/>
    <w:rsid w:val="00A7510D"/>
    <w:rsid w:val="00A759E6"/>
    <w:rsid w:val="00AC2719"/>
    <w:rsid w:val="00AE3C8E"/>
    <w:rsid w:val="00AF67E8"/>
    <w:rsid w:val="00B06A4D"/>
    <w:rsid w:val="00B51090"/>
    <w:rsid w:val="00BB0F2D"/>
    <w:rsid w:val="00BC4871"/>
    <w:rsid w:val="00BF3DCD"/>
    <w:rsid w:val="00C044EF"/>
    <w:rsid w:val="00C07A19"/>
    <w:rsid w:val="00C20AC7"/>
    <w:rsid w:val="00C20DF6"/>
    <w:rsid w:val="00C321EF"/>
    <w:rsid w:val="00C55A11"/>
    <w:rsid w:val="00C7023F"/>
    <w:rsid w:val="00C81597"/>
    <w:rsid w:val="00CA3124"/>
    <w:rsid w:val="00CD64B2"/>
    <w:rsid w:val="00CF206E"/>
    <w:rsid w:val="00D83587"/>
    <w:rsid w:val="00DA4488"/>
    <w:rsid w:val="00DE2C7E"/>
    <w:rsid w:val="00E85197"/>
    <w:rsid w:val="00E94765"/>
    <w:rsid w:val="00E97448"/>
    <w:rsid w:val="00EC3717"/>
    <w:rsid w:val="00EC6EF0"/>
    <w:rsid w:val="00EE5314"/>
    <w:rsid w:val="00F1076C"/>
    <w:rsid w:val="00F43441"/>
    <w:rsid w:val="00FA70E8"/>
    <w:rsid w:val="00FA7FB6"/>
    <w:rsid w:val="00FE5ED0"/>
    <w:rsid w:val="00FF7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509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10D"/>
    <w:pPr>
      <w:spacing w:after="0" w:line="360" w:lineRule="auto"/>
      <w:jc w:val="both"/>
    </w:pPr>
    <w:rPr>
      <w:rFonts w:ascii="Times New Roman" w:hAnsi="Times New Roman" w:cs="Times New Roman"/>
      <w:kern w:val="0"/>
      <w:lang w:val="en-GB" w:eastAsia="zh-CN" w:bidi="bn-IN"/>
      <w14:ligatures w14:val="none"/>
    </w:rPr>
  </w:style>
  <w:style w:type="paragraph" w:styleId="Heading1">
    <w:name w:val="heading 1"/>
    <w:basedOn w:val="Normal"/>
    <w:next w:val="Normal"/>
    <w:link w:val="Heading1Char"/>
    <w:uiPriority w:val="9"/>
    <w:qFormat/>
    <w:rsid w:val="00CA3124"/>
    <w:pPr>
      <w:keepNext/>
      <w:keepLines/>
      <w:spacing w:before="360" w:after="80"/>
      <w:outlineLvl w:val="0"/>
    </w:pPr>
    <w:rPr>
      <w:rFonts w:eastAsiaTheme="majorEastAsia" w:cstheme="majorBidi"/>
      <w:b/>
      <w:sz w:val="28"/>
      <w:szCs w:val="40"/>
    </w:rPr>
  </w:style>
  <w:style w:type="paragraph" w:styleId="Heading2">
    <w:name w:val="heading 2"/>
    <w:link w:val="Heading2Char"/>
    <w:uiPriority w:val="9"/>
    <w:unhideWhenUsed/>
    <w:qFormat/>
    <w:rsid w:val="003A65F2"/>
    <w:pPr>
      <w:spacing w:before="240" w:after="120" w:line="360" w:lineRule="auto"/>
      <w:outlineLvl w:val="1"/>
    </w:pPr>
    <w:rPr>
      <w:rFonts w:ascii="Times New Roman" w:hAnsi="Times New Roman" w:cs="Arial"/>
      <w:b/>
      <w:bCs/>
      <w:kern w:val="0"/>
      <w:sz w:val="26"/>
      <w:szCs w:val="26"/>
      <w14:ligatures w14:val="none"/>
    </w:rPr>
  </w:style>
  <w:style w:type="paragraph" w:styleId="Heading3">
    <w:name w:val="heading 3"/>
    <w:basedOn w:val="Normal"/>
    <w:next w:val="Normal"/>
    <w:link w:val="Heading3Char"/>
    <w:uiPriority w:val="9"/>
    <w:unhideWhenUsed/>
    <w:qFormat/>
    <w:rsid w:val="00AF67E8"/>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234F66"/>
    <w:pPr>
      <w:keepNext/>
      <w:keepLines/>
      <w:spacing w:before="80" w:after="40"/>
      <w:outlineLvl w:val="3"/>
    </w:pPr>
    <w:rPr>
      <w:rFonts w:asciiTheme="minorHAnsi" w:eastAsiaTheme="majorEastAsia" w:hAnsiTheme="minorHAnsi" w:cstheme="majorBidi"/>
      <w:i/>
      <w:iCs/>
      <w:color w:val="0F4761" w:themeColor="accent1" w:themeShade="BF"/>
      <w:szCs w:val="30"/>
    </w:rPr>
  </w:style>
  <w:style w:type="paragraph" w:styleId="Heading5">
    <w:name w:val="heading 5"/>
    <w:basedOn w:val="Normal"/>
    <w:next w:val="Normal"/>
    <w:link w:val="Heading5Char"/>
    <w:uiPriority w:val="9"/>
    <w:semiHidden/>
    <w:unhideWhenUsed/>
    <w:qFormat/>
    <w:rsid w:val="00234F66"/>
    <w:pPr>
      <w:keepNext/>
      <w:keepLines/>
      <w:spacing w:before="80" w:after="40"/>
      <w:outlineLvl w:val="4"/>
    </w:pPr>
    <w:rPr>
      <w:rFonts w:asciiTheme="minorHAnsi" w:eastAsiaTheme="majorEastAsia" w:hAnsiTheme="minorHAnsi" w:cstheme="majorBidi"/>
      <w:color w:val="0F4761" w:themeColor="accent1" w:themeShade="BF"/>
      <w:szCs w:val="30"/>
    </w:rPr>
  </w:style>
  <w:style w:type="paragraph" w:styleId="Heading6">
    <w:name w:val="heading 6"/>
    <w:basedOn w:val="Normal"/>
    <w:next w:val="Normal"/>
    <w:link w:val="Heading6Char"/>
    <w:uiPriority w:val="9"/>
    <w:semiHidden/>
    <w:unhideWhenUsed/>
    <w:qFormat/>
    <w:rsid w:val="00234F66"/>
    <w:pPr>
      <w:keepNext/>
      <w:keepLines/>
      <w:spacing w:before="40"/>
      <w:outlineLvl w:val="5"/>
    </w:pPr>
    <w:rPr>
      <w:rFonts w:asciiTheme="minorHAnsi" w:eastAsiaTheme="majorEastAsia" w:hAnsiTheme="minorHAnsi" w:cstheme="majorBidi"/>
      <w:i/>
      <w:iCs/>
      <w:color w:val="595959" w:themeColor="text1" w:themeTint="A6"/>
      <w:szCs w:val="30"/>
    </w:rPr>
  </w:style>
  <w:style w:type="paragraph" w:styleId="Heading7">
    <w:name w:val="heading 7"/>
    <w:basedOn w:val="Normal"/>
    <w:next w:val="Normal"/>
    <w:link w:val="Heading7Char"/>
    <w:uiPriority w:val="9"/>
    <w:semiHidden/>
    <w:unhideWhenUsed/>
    <w:qFormat/>
    <w:rsid w:val="00234F66"/>
    <w:pPr>
      <w:keepNext/>
      <w:keepLines/>
      <w:spacing w:before="40"/>
      <w:outlineLvl w:val="6"/>
    </w:pPr>
    <w:rPr>
      <w:rFonts w:asciiTheme="minorHAnsi" w:eastAsiaTheme="majorEastAsia" w:hAnsiTheme="minorHAnsi" w:cstheme="majorBidi"/>
      <w:color w:val="595959" w:themeColor="text1" w:themeTint="A6"/>
      <w:szCs w:val="30"/>
    </w:rPr>
  </w:style>
  <w:style w:type="paragraph" w:styleId="Heading8">
    <w:name w:val="heading 8"/>
    <w:basedOn w:val="Normal"/>
    <w:next w:val="Normal"/>
    <w:link w:val="Heading8Char"/>
    <w:uiPriority w:val="9"/>
    <w:semiHidden/>
    <w:unhideWhenUsed/>
    <w:qFormat/>
    <w:rsid w:val="00234F66"/>
    <w:pPr>
      <w:keepNext/>
      <w:keepLines/>
      <w:outlineLvl w:val="7"/>
    </w:pPr>
    <w:rPr>
      <w:rFonts w:asciiTheme="minorHAnsi" w:eastAsiaTheme="majorEastAsia" w:hAnsiTheme="minorHAnsi" w:cstheme="majorBidi"/>
      <w:i/>
      <w:iCs/>
      <w:color w:val="272727" w:themeColor="text1" w:themeTint="D8"/>
      <w:szCs w:val="30"/>
    </w:rPr>
  </w:style>
  <w:style w:type="paragraph" w:styleId="Heading9">
    <w:name w:val="heading 9"/>
    <w:basedOn w:val="Normal"/>
    <w:next w:val="Normal"/>
    <w:link w:val="Heading9Char"/>
    <w:uiPriority w:val="9"/>
    <w:semiHidden/>
    <w:unhideWhenUsed/>
    <w:qFormat/>
    <w:rsid w:val="00234F66"/>
    <w:pPr>
      <w:keepNext/>
      <w:keepLines/>
      <w:outlineLvl w:val="8"/>
    </w:pPr>
    <w:rPr>
      <w:rFonts w:asciiTheme="minorHAnsi" w:eastAsiaTheme="majorEastAsia" w:hAnsiTheme="minorHAnsi" w:cstheme="majorBidi"/>
      <w:color w:val="272727" w:themeColor="text1" w:themeTint="D8"/>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12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A65F2"/>
    <w:rPr>
      <w:rFonts w:ascii="Times New Roman" w:hAnsi="Times New Roman" w:cs="Arial"/>
      <w:b/>
      <w:bCs/>
      <w:kern w:val="0"/>
      <w:sz w:val="26"/>
      <w:szCs w:val="26"/>
      <w14:ligatures w14:val="none"/>
    </w:rPr>
  </w:style>
  <w:style w:type="character" w:customStyle="1" w:styleId="Heading3Char">
    <w:name w:val="Heading 3 Char"/>
    <w:basedOn w:val="DefaultParagraphFont"/>
    <w:link w:val="Heading3"/>
    <w:uiPriority w:val="9"/>
    <w:rsid w:val="00AF67E8"/>
    <w:rPr>
      <w:rFonts w:ascii="Times New Roman" w:eastAsiaTheme="majorEastAsia" w:hAnsi="Times New Roman" w:cstheme="majorBidi"/>
      <w:b/>
      <w:i/>
      <w:sz w:val="26"/>
      <w:szCs w:val="28"/>
    </w:rPr>
  </w:style>
  <w:style w:type="character" w:customStyle="1" w:styleId="Heading4Char">
    <w:name w:val="Heading 4 Char"/>
    <w:basedOn w:val="DefaultParagraphFont"/>
    <w:link w:val="Heading4"/>
    <w:uiPriority w:val="9"/>
    <w:semiHidden/>
    <w:rsid w:val="00234F66"/>
    <w:rPr>
      <w:rFonts w:eastAsiaTheme="majorEastAsia" w:cstheme="majorBidi"/>
      <w:i/>
      <w:iCs/>
      <w:color w:val="0F4761" w:themeColor="accent1" w:themeShade="BF"/>
      <w:kern w:val="0"/>
      <w:szCs w:val="30"/>
      <w:lang w:val="en-GB" w:eastAsia="zh-CN" w:bidi="bn-IN"/>
      <w14:ligatures w14:val="none"/>
    </w:rPr>
  </w:style>
  <w:style w:type="character" w:customStyle="1" w:styleId="Heading5Char">
    <w:name w:val="Heading 5 Char"/>
    <w:basedOn w:val="DefaultParagraphFont"/>
    <w:link w:val="Heading5"/>
    <w:uiPriority w:val="9"/>
    <w:semiHidden/>
    <w:rsid w:val="00234F66"/>
    <w:rPr>
      <w:rFonts w:eastAsiaTheme="majorEastAsia" w:cstheme="majorBidi"/>
      <w:color w:val="0F4761" w:themeColor="accent1" w:themeShade="BF"/>
      <w:kern w:val="0"/>
      <w:szCs w:val="30"/>
      <w:lang w:val="en-GB" w:eastAsia="zh-CN" w:bidi="bn-IN"/>
      <w14:ligatures w14:val="none"/>
    </w:rPr>
  </w:style>
  <w:style w:type="character" w:customStyle="1" w:styleId="Heading6Char">
    <w:name w:val="Heading 6 Char"/>
    <w:basedOn w:val="DefaultParagraphFont"/>
    <w:link w:val="Heading6"/>
    <w:uiPriority w:val="9"/>
    <w:semiHidden/>
    <w:rsid w:val="00234F66"/>
    <w:rPr>
      <w:rFonts w:eastAsiaTheme="majorEastAsia" w:cstheme="majorBidi"/>
      <w:i/>
      <w:iCs/>
      <w:color w:val="595959" w:themeColor="text1" w:themeTint="A6"/>
      <w:kern w:val="0"/>
      <w:szCs w:val="30"/>
      <w:lang w:val="en-GB" w:eastAsia="zh-CN" w:bidi="bn-IN"/>
      <w14:ligatures w14:val="none"/>
    </w:rPr>
  </w:style>
  <w:style w:type="character" w:customStyle="1" w:styleId="Heading7Char">
    <w:name w:val="Heading 7 Char"/>
    <w:basedOn w:val="DefaultParagraphFont"/>
    <w:link w:val="Heading7"/>
    <w:uiPriority w:val="9"/>
    <w:semiHidden/>
    <w:rsid w:val="00234F66"/>
    <w:rPr>
      <w:rFonts w:eastAsiaTheme="majorEastAsia" w:cstheme="majorBidi"/>
      <w:color w:val="595959" w:themeColor="text1" w:themeTint="A6"/>
      <w:kern w:val="0"/>
      <w:szCs w:val="30"/>
      <w:lang w:val="en-GB" w:eastAsia="zh-CN" w:bidi="bn-IN"/>
      <w14:ligatures w14:val="none"/>
    </w:rPr>
  </w:style>
  <w:style w:type="character" w:customStyle="1" w:styleId="Heading8Char">
    <w:name w:val="Heading 8 Char"/>
    <w:basedOn w:val="DefaultParagraphFont"/>
    <w:link w:val="Heading8"/>
    <w:uiPriority w:val="9"/>
    <w:semiHidden/>
    <w:rsid w:val="00234F66"/>
    <w:rPr>
      <w:rFonts w:eastAsiaTheme="majorEastAsia" w:cstheme="majorBidi"/>
      <w:i/>
      <w:iCs/>
      <w:color w:val="272727" w:themeColor="text1" w:themeTint="D8"/>
      <w:kern w:val="0"/>
      <w:szCs w:val="30"/>
      <w:lang w:val="en-GB" w:eastAsia="zh-CN" w:bidi="bn-IN"/>
      <w14:ligatures w14:val="none"/>
    </w:rPr>
  </w:style>
  <w:style w:type="character" w:customStyle="1" w:styleId="Heading9Char">
    <w:name w:val="Heading 9 Char"/>
    <w:basedOn w:val="DefaultParagraphFont"/>
    <w:link w:val="Heading9"/>
    <w:uiPriority w:val="9"/>
    <w:semiHidden/>
    <w:rsid w:val="00234F66"/>
    <w:rPr>
      <w:rFonts w:eastAsiaTheme="majorEastAsia" w:cstheme="majorBidi"/>
      <w:color w:val="272727" w:themeColor="text1" w:themeTint="D8"/>
      <w:kern w:val="0"/>
      <w:szCs w:val="30"/>
      <w:lang w:val="en-GB" w:eastAsia="zh-CN" w:bidi="bn-IN"/>
      <w14:ligatures w14:val="none"/>
    </w:rPr>
  </w:style>
  <w:style w:type="paragraph" w:styleId="Title">
    <w:name w:val="Title"/>
    <w:basedOn w:val="Normal"/>
    <w:next w:val="Normal"/>
    <w:link w:val="TitleChar"/>
    <w:uiPriority w:val="10"/>
    <w:qFormat/>
    <w:rsid w:val="00234F6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34F66"/>
    <w:rPr>
      <w:rFonts w:asciiTheme="majorHAnsi" w:eastAsiaTheme="majorEastAsia" w:hAnsiTheme="majorHAnsi" w:cstheme="majorBidi"/>
      <w:spacing w:val="-10"/>
      <w:kern w:val="28"/>
      <w:sz w:val="56"/>
      <w:szCs w:val="71"/>
      <w:lang w:val="en-GB" w:eastAsia="zh-CN" w:bidi="bn-IN"/>
      <w14:ligatures w14:val="none"/>
    </w:rPr>
  </w:style>
  <w:style w:type="paragraph" w:styleId="Subtitle">
    <w:name w:val="Subtitle"/>
    <w:basedOn w:val="Normal"/>
    <w:next w:val="Normal"/>
    <w:link w:val="SubtitleChar"/>
    <w:uiPriority w:val="11"/>
    <w:qFormat/>
    <w:rsid w:val="00234F66"/>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34F66"/>
    <w:rPr>
      <w:rFonts w:eastAsiaTheme="majorEastAsia" w:cstheme="majorBidi"/>
      <w:color w:val="595959" w:themeColor="text1" w:themeTint="A6"/>
      <w:spacing w:val="15"/>
      <w:kern w:val="0"/>
      <w:sz w:val="28"/>
      <w:szCs w:val="35"/>
      <w:lang w:val="en-GB" w:eastAsia="zh-CN" w:bidi="bn-IN"/>
      <w14:ligatures w14:val="none"/>
    </w:rPr>
  </w:style>
  <w:style w:type="paragraph" w:styleId="Quote">
    <w:name w:val="Quote"/>
    <w:basedOn w:val="Normal"/>
    <w:next w:val="Normal"/>
    <w:link w:val="QuoteChar"/>
    <w:uiPriority w:val="29"/>
    <w:qFormat/>
    <w:rsid w:val="00234F66"/>
    <w:pPr>
      <w:spacing w:before="160" w:after="160"/>
      <w:jc w:val="center"/>
    </w:pPr>
    <w:rPr>
      <w:i/>
      <w:iCs/>
      <w:color w:val="404040" w:themeColor="text1" w:themeTint="BF"/>
      <w:szCs w:val="30"/>
    </w:rPr>
  </w:style>
  <w:style w:type="character" w:customStyle="1" w:styleId="QuoteChar">
    <w:name w:val="Quote Char"/>
    <w:basedOn w:val="DefaultParagraphFont"/>
    <w:link w:val="Quote"/>
    <w:uiPriority w:val="29"/>
    <w:rsid w:val="00234F66"/>
    <w:rPr>
      <w:rFonts w:ascii="Times New Roman" w:hAnsi="Times New Roman" w:cs="Times New Roman"/>
      <w:i/>
      <w:iCs/>
      <w:color w:val="404040" w:themeColor="text1" w:themeTint="BF"/>
      <w:kern w:val="0"/>
      <w:szCs w:val="30"/>
      <w:lang w:val="en-GB" w:eastAsia="zh-CN" w:bidi="bn-IN"/>
      <w14:ligatures w14:val="none"/>
    </w:rPr>
  </w:style>
  <w:style w:type="paragraph" w:styleId="ListParagraph">
    <w:name w:val="List Paragraph"/>
    <w:basedOn w:val="Normal"/>
    <w:uiPriority w:val="34"/>
    <w:qFormat/>
    <w:rsid w:val="00234F66"/>
    <w:pPr>
      <w:ind w:left="720"/>
      <w:contextualSpacing/>
    </w:pPr>
    <w:rPr>
      <w:szCs w:val="30"/>
    </w:rPr>
  </w:style>
  <w:style w:type="character" w:styleId="IntenseEmphasis">
    <w:name w:val="Intense Emphasis"/>
    <w:basedOn w:val="DefaultParagraphFont"/>
    <w:uiPriority w:val="21"/>
    <w:qFormat/>
    <w:rsid w:val="00234F66"/>
    <w:rPr>
      <w:i/>
      <w:iCs/>
      <w:color w:val="0F4761" w:themeColor="accent1" w:themeShade="BF"/>
    </w:rPr>
  </w:style>
  <w:style w:type="paragraph" w:styleId="IntenseQuote">
    <w:name w:val="Intense Quote"/>
    <w:basedOn w:val="Normal"/>
    <w:next w:val="Normal"/>
    <w:link w:val="IntenseQuoteChar"/>
    <w:uiPriority w:val="30"/>
    <w:qFormat/>
    <w:rsid w:val="00234F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30"/>
    </w:rPr>
  </w:style>
  <w:style w:type="character" w:customStyle="1" w:styleId="IntenseQuoteChar">
    <w:name w:val="Intense Quote Char"/>
    <w:basedOn w:val="DefaultParagraphFont"/>
    <w:link w:val="IntenseQuote"/>
    <w:uiPriority w:val="30"/>
    <w:rsid w:val="00234F66"/>
    <w:rPr>
      <w:rFonts w:ascii="Times New Roman" w:hAnsi="Times New Roman" w:cs="Times New Roman"/>
      <w:i/>
      <w:iCs/>
      <w:color w:val="0F4761" w:themeColor="accent1" w:themeShade="BF"/>
      <w:kern w:val="0"/>
      <w:szCs w:val="30"/>
      <w:lang w:val="en-GB" w:eastAsia="zh-CN" w:bidi="bn-IN"/>
      <w14:ligatures w14:val="none"/>
    </w:rPr>
  </w:style>
  <w:style w:type="character" w:styleId="IntenseReference">
    <w:name w:val="Intense Reference"/>
    <w:basedOn w:val="DefaultParagraphFont"/>
    <w:uiPriority w:val="32"/>
    <w:qFormat/>
    <w:rsid w:val="00234F66"/>
    <w:rPr>
      <w:b/>
      <w:bCs/>
      <w:smallCaps/>
      <w:color w:val="0F4761" w:themeColor="accent1" w:themeShade="BF"/>
      <w:spacing w:val="5"/>
    </w:rPr>
  </w:style>
  <w:style w:type="character" w:styleId="Hyperlink">
    <w:name w:val="Hyperlink"/>
    <w:basedOn w:val="DefaultParagraphFont"/>
    <w:uiPriority w:val="99"/>
    <w:unhideWhenUsed/>
    <w:rsid w:val="00234F66"/>
    <w:rPr>
      <w:color w:val="467886" w:themeColor="hyperlink"/>
      <w:u w:val="single"/>
    </w:rPr>
  </w:style>
  <w:style w:type="character" w:customStyle="1" w:styleId="UnresolvedMention1">
    <w:name w:val="Unresolved Mention1"/>
    <w:basedOn w:val="DefaultParagraphFont"/>
    <w:uiPriority w:val="99"/>
    <w:semiHidden/>
    <w:unhideWhenUsed/>
    <w:rsid w:val="00234F66"/>
    <w:rPr>
      <w:color w:val="605E5C"/>
      <w:shd w:val="clear" w:color="auto" w:fill="E1DFDD"/>
    </w:rPr>
  </w:style>
  <w:style w:type="paragraph" w:styleId="NoSpacing">
    <w:name w:val="No Spacing"/>
    <w:uiPriority w:val="1"/>
    <w:qFormat/>
    <w:rsid w:val="00E94765"/>
    <w:pPr>
      <w:spacing w:after="0" w:line="240" w:lineRule="auto"/>
      <w:jc w:val="both"/>
    </w:pPr>
    <w:rPr>
      <w:rFonts w:ascii="Times New Roman" w:hAnsi="Times New Roman" w:cs="Times New Roman"/>
      <w:kern w:val="0"/>
      <w:szCs w:val="30"/>
      <w:lang w:val="en-GB" w:eastAsia="zh-CN" w:bidi="bn-IN"/>
      <w14:ligatures w14:val="none"/>
    </w:rPr>
  </w:style>
  <w:style w:type="table" w:styleId="TableGrid">
    <w:name w:val="Table Grid"/>
    <w:basedOn w:val="TableNormal"/>
    <w:uiPriority w:val="39"/>
    <w:rsid w:val="00722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29F2"/>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9929F2"/>
    <w:rPr>
      <w:rFonts w:ascii="Times New Roman" w:hAnsi="Times New Roman" w:cs="Times New Roman"/>
      <w:kern w:val="0"/>
      <w:szCs w:val="30"/>
      <w:lang w:val="en-GB" w:eastAsia="zh-CN" w:bidi="bn-IN"/>
      <w14:ligatures w14:val="none"/>
    </w:rPr>
  </w:style>
  <w:style w:type="paragraph" w:styleId="Footer">
    <w:name w:val="footer"/>
    <w:basedOn w:val="Normal"/>
    <w:link w:val="FooterChar"/>
    <w:uiPriority w:val="99"/>
    <w:unhideWhenUsed/>
    <w:rsid w:val="009929F2"/>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9929F2"/>
    <w:rPr>
      <w:rFonts w:ascii="Times New Roman" w:hAnsi="Times New Roman" w:cs="Times New Roman"/>
      <w:kern w:val="0"/>
      <w:szCs w:val="30"/>
      <w:lang w:val="en-GB" w:eastAsia="zh-CN" w:bidi="bn-IN"/>
      <w14:ligatures w14:val="none"/>
    </w:rPr>
  </w:style>
  <w:style w:type="paragraph" w:styleId="TOCHeading">
    <w:name w:val="TOC Heading"/>
    <w:basedOn w:val="Heading1"/>
    <w:next w:val="Normal"/>
    <w:uiPriority w:val="39"/>
    <w:unhideWhenUsed/>
    <w:qFormat/>
    <w:rsid w:val="009929F2"/>
    <w:pPr>
      <w:spacing w:before="240" w:after="0" w:line="259" w:lineRule="auto"/>
      <w:jc w:val="left"/>
      <w:outlineLvl w:val="9"/>
    </w:pPr>
    <w:rPr>
      <w:rFonts w:asciiTheme="majorHAnsi" w:hAnsiTheme="majorHAnsi"/>
      <w:b w:val="0"/>
      <w:color w:val="0F4761" w:themeColor="accent1" w:themeShade="BF"/>
      <w:sz w:val="32"/>
      <w:szCs w:val="32"/>
      <w:lang w:val="en-US" w:eastAsia="en-US" w:bidi="ar-SA"/>
    </w:rPr>
  </w:style>
  <w:style w:type="paragraph" w:styleId="TOC1">
    <w:name w:val="toc 1"/>
    <w:basedOn w:val="Normal"/>
    <w:next w:val="Normal"/>
    <w:autoRedefine/>
    <w:uiPriority w:val="39"/>
    <w:unhideWhenUsed/>
    <w:rsid w:val="009929F2"/>
    <w:pPr>
      <w:spacing w:after="100"/>
    </w:pPr>
    <w:rPr>
      <w:szCs w:val="30"/>
    </w:rPr>
  </w:style>
  <w:style w:type="paragraph" w:styleId="TOC2">
    <w:name w:val="toc 2"/>
    <w:basedOn w:val="Normal"/>
    <w:next w:val="Normal"/>
    <w:autoRedefine/>
    <w:uiPriority w:val="39"/>
    <w:unhideWhenUsed/>
    <w:rsid w:val="009929F2"/>
    <w:pPr>
      <w:spacing w:after="100"/>
      <w:ind w:left="24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58196">
      <w:bodyDiv w:val="1"/>
      <w:marLeft w:val="0"/>
      <w:marRight w:val="0"/>
      <w:marTop w:val="0"/>
      <w:marBottom w:val="0"/>
      <w:divBdr>
        <w:top w:val="none" w:sz="0" w:space="0" w:color="auto"/>
        <w:left w:val="none" w:sz="0" w:space="0" w:color="auto"/>
        <w:bottom w:val="none" w:sz="0" w:space="0" w:color="auto"/>
        <w:right w:val="none" w:sz="0" w:space="0" w:color="auto"/>
      </w:divBdr>
    </w:div>
    <w:div w:id="312225660">
      <w:bodyDiv w:val="1"/>
      <w:marLeft w:val="0"/>
      <w:marRight w:val="0"/>
      <w:marTop w:val="0"/>
      <w:marBottom w:val="0"/>
      <w:divBdr>
        <w:top w:val="none" w:sz="0" w:space="0" w:color="auto"/>
        <w:left w:val="none" w:sz="0" w:space="0" w:color="auto"/>
        <w:bottom w:val="none" w:sz="0" w:space="0" w:color="auto"/>
        <w:right w:val="none" w:sz="0" w:space="0" w:color="auto"/>
      </w:divBdr>
    </w:div>
    <w:div w:id="575285899">
      <w:bodyDiv w:val="1"/>
      <w:marLeft w:val="0"/>
      <w:marRight w:val="0"/>
      <w:marTop w:val="0"/>
      <w:marBottom w:val="0"/>
      <w:divBdr>
        <w:top w:val="none" w:sz="0" w:space="0" w:color="auto"/>
        <w:left w:val="none" w:sz="0" w:space="0" w:color="auto"/>
        <w:bottom w:val="none" w:sz="0" w:space="0" w:color="auto"/>
        <w:right w:val="none" w:sz="0" w:space="0" w:color="auto"/>
      </w:divBdr>
    </w:div>
    <w:div w:id="643856393">
      <w:bodyDiv w:val="1"/>
      <w:marLeft w:val="0"/>
      <w:marRight w:val="0"/>
      <w:marTop w:val="0"/>
      <w:marBottom w:val="0"/>
      <w:divBdr>
        <w:top w:val="none" w:sz="0" w:space="0" w:color="auto"/>
        <w:left w:val="none" w:sz="0" w:space="0" w:color="auto"/>
        <w:bottom w:val="none" w:sz="0" w:space="0" w:color="auto"/>
        <w:right w:val="none" w:sz="0" w:space="0" w:color="auto"/>
      </w:divBdr>
    </w:div>
    <w:div w:id="651374092">
      <w:bodyDiv w:val="1"/>
      <w:marLeft w:val="0"/>
      <w:marRight w:val="0"/>
      <w:marTop w:val="0"/>
      <w:marBottom w:val="0"/>
      <w:divBdr>
        <w:top w:val="none" w:sz="0" w:space="0" w:color="auto"/>
        <w:left w:val="none" w:sz="0" w:space="0" w:color="auto"/>
        <w:bottom w:val="none" w:sz="0" w:space="0" w:color="auto"/>
        <w:right w:val="none" w:sz="0" w:space="0" w:color="auto"/>
      </w:divBdr>
    </w:div>
    <w:div w:id="817693478">
      <w:bodyDiv w:val="1"/>
      <w:marLeft w:val="0"/>
      <w:marRight w:val="0"/>
      <w:marTop w:val="0"/>
      <w:marBottom w:val="0"/>
      <w:divBdr>
        <w:top w:val="none" w:sz="0" w:space="0" w:color="auto"/>
        <w:left w:val="none" w:sz="0" w:space="0" w:color="auto"/>
        <w:bottom w:val="none" w:sz="0" w:space="0" w:color="auto"/>
        <w:right w:val="none" w:sz="0" w:space="0" w:color="auto"/>
      </w:divBdr>
    </w:div>
    <w:div w:id="822237778">
      <w:bodyDiv w:val="1"/>
      <w:marLeft w:val="0"/>
      <w:marRight w:val="0"/>
      <w:marTop w:val="0"/>
      <w:marBottom w:val="0"/>
      <w:divBdr>
        <w:top w:val="none" w:sz="0" w:space="0" w:color="auto"/>
        <w:left w:val="none" w:sz="0" w:space="0" w:color="auto"/>
        <w:bottom w:val="none" w:sz="0" w:space="0" w:color="auto"/>
        <w:right w:val="none" w:sz="0" w:space="0" w:color="auto"/>
      </w:divBdr>
    </w:div>
    <w:div w:id="938953392">
      <w:bodyDiv w:val="1"/>
      <w:marLeft w:val="0"/>
      <w:marRight w:val="0"/>
      <w:marTop w:val="0"/>
      <w:marBottom w:val="0"/>
      <w:divBdr>
        <w:top w:val="none" w:sz="0" w:space="0" w:color="auto"/>
        <w:left w:val="none" w:sz="0" w:space="0" w:color="auto"/>
        <w:bottom w:val="none" w:sz="0" w:space="0" w:color="auto"/>
        <w:right w:val="none" w:sz="0" w:space="0" w:color="auto"/>
      </w:divBdr>
    </w:div>
    <w:div w:id="1412040619">
      <w:bodyDiv w:val="1"/>
      <w:marLeft w:val="0"/>
      <w:marRight w:val="0"/>
      <w:marTop w:val="0"/>
      <w:marBottom w:val="0"/>
      <w:divBdr>
        <w:top w:val="none" w:sz="0" w:space="0" w:color="auto"/>
        <w:left w:val="none" w:sz="0" w:space="0" w:color="auto"/>
        <w:bottom w:val="none" w:sz="0" w:space="0" w:color="auto"/>
        <w:right w:val="none" w:sz="0" w:space="0" w:color="auto"/>
      </w:divBdr>
    </w:div>
    <w:div w:id="1502817304">
      <w:bodyDiv w:val="1"/>
      <w:marLeft w:val="0"/>
      <w:marRight w:val="0"/>
      <w:marTop w:val="0"/>
      <w:marBottom w:val="0"/>
      <w:divBdr>
        <w:top w:val="none" w:sz="0" w:space="0" w:color="auto"/>
        <w:left w:val="none" w:sz="0" w:space="0" w:color="auto"/>
        <w:bottom w:val="none" w:sz="0" w:space="0" w:color="auto"/>
        <w:right w:val="none" w:sz="0" w:space="0" w:color="auto"/>
      </w:divBdr>
    </w:div>
    <w:div w:id="1881283127">
      <w:bodyDiv w:val="1"/>
      <w:marLeft w:val="0"/>
      <w:marRight w:val="0"/>
      <w:marTop w:val="0"/>
      <w:marBottom w:val="0"/>
      <w:divBdr>
        <w:top w:val="none" w:sz="0" w:space="0" w:color="auto"/>
        <w:left w:val="none" w:sz="0" w:space="0" w:color="auto"/>
        <w:bottom w:val="none" w:sz="0" w:space="0" w:color="auto"/>
        <w:right w:val="none" w:sz="0" w:space="0" w:color="auto"/>
      </w:divBdr>
    </w:div>
    <w:div w:id="193397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oganpage.com/hr-learning-development/armstrong-s-handbook-of-human-resource-management-practice-9781398606630?utm_source=chatgpt.com" TargetMode="External"/><Relationship Id="rId13" Type="http://schemas.openxmlformats.org/officeDocument/2006/relationships/hyperlink" Target="https://www.cipd.org/en/knowledge/factsheets/diversity-factsheet/?utm_source=chatgpt.com" TargetMode="External"/><Relationship Id="rId18" Type="http://schemas.openxmlformats.org/officeDocument/2006/relationships/hyperlink" Target="https://www.ons.gov.uk/employmentandlabourmarket/peopleinwork/employmentandemployeetypes/bulletins/uklabourmarket/may2026?utm_source=chatgpt.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scoplc.com/media/wvkj1yic/tesco-sustainability-report-2025.pdf?utm_source=chatgpt.com" TargetMode="External"/><Relationship Id="rId7" Type="http://schemas.openxmlformats.org/officeDocument/2006/relationships/image" Target="media/image1.jpeg"/><Relationship Id="rId12" Type="http://schemas.openxmlformats.org/officeDocument/2006/relationships/hyperlink" Target="https://www.cipd.org/uk/knowledge/reports/Resetting-EDI-reaffirming-inclusion/?utm_source=chatgpt.com" TargetMode="External"/><Relationship Id="rId17" Type="http://schemas.openxmlformats.org/officeDocument/2006/relationships/hyperlink" Target="https://www.oecd.org/en/publications/local-retail-global-trends_55e2edec-en/full-report/addressing-labour-and-skills-shortages-in-europe-s-retail-sector_c8c47e14.html?utm_source=chatgpt.co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177/15344843231217181" TargetMode="External"/><Relationship Id="rId20" Type="http://schemas.openxmlformats.org/officeDocument/2006/relationships/hyperlink" Target="https://www.tescoplc.com/media/ky0bfwpo/tesco_ar25_interactive.pdf?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org/en/knowledge/factsheets/engagement-factsheet/?utm_source=chatgpt.co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16/j.hrmr.2022.100899" TargetMode="External"/><Relationship Id="rId23" Type="http://schemas.openxmlformats.org/officeDocument/2006/relationships/hyperlink" Target="https://doi.org/10.1016/j.jjimei.2021.100047" TargetMode="External"/><Relationship Id="rId10" Type="http://schemas.openxmlformats.org/officeDocument/2006/relationships/hyperlink" Target="https://doi.org/10.1080/09585192.2022.2035161" TargetMode="External"/><Relationship Id="rId19" Type="http://schemas.openxmlformats.org/officeDocument/2006/relationships/hyperlink" Target="https://doi.org/10.1177/21582440241281836" TargetMode="External"/><Relationship Id="rId4" Type="http://schemas.openxmlformats.org/officeDocument/2006/relationships/webSettings" Target="webSettings.xml"/><Relationship Id="rId9" Type="http://schemas.openxmlformats.org/officeDocument/2006/relationships/hyperlink" Target="https://doi.org/10.1016/j.hrmr.2022.100893" TargetMode="External"/><Relationship Id="rId14" Type="http://schemas.openxmlformats.org/officeDocument/2006/relationships/hyperlink" Target="https://www.cipd.org/en/knowledge/reports/labour-market-outlook/?utm_source=chatgpt.com" TargetMode="External"/><Relationship Id="rId22" Type="http://schemas.openxmlformats.org/officeDocument/2006/relationships/hyperlink" Target="https://digitalcontent.api.tesco.com/v2/media/ourtesco/456a055d-933c-4a42-b432-a2a45cb66322/DEI_Report2025_Tesco_Technology_Krakow_1d3353a06b.pdf?utm_source=chatgpt.co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73DD8A-AADA-494C-8A6A-0EA2DC6D3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3632</Words>
  <Characters>20708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2026-06-17T04:03:00Z</dcterms:created>
  <dcterms:modified xsi:type="dcterms:W3CDTF">2026-06-17T04:03:00Z</dcterms:modified>
</cp:coreProperties>
</file>