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STUDENT NAME:COSMIN BLAJ</w:t>
      </w: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STUDENT ID:2124188</w:t>
      </w: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TUTOR'S NAME:PHILIPPA FITZER</w:t>
      </w: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Planning and Delivering an International Meeting/Event</w:t>
      </w: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International Meetings Management BMIH6007</w:t>
      </w: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32"/>
          <w:shd w:fill="auto" w:val="clear"/>
        </w:rPr>
        <w:t xml:space="preserve">Introduction</w:t>
      </w:r>
      <w:r>
        <w:rPr>
          <w:rFonts w:ascii="Times New Roman" w:hAnsi="Times New Roman" w:cs="Times New Roman" w:eastAsia="Times New Roman"/>
          <w:color w:val="2F5496"/>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Royal Horticultural Halls will play host to an occasion that unites agriculture sweethearts, specialists, and experts to organize, sharing data, and displaying new items and administrations. The scene's rich history, which extends as far as possible back to the nineteenth 100 years, establishes the fitting vibe for the occasion and supplements its subject wonderfully (Mathis et al., 2023). The scene's ideal spot in the core of London makes it an appealing host site for visitors bridging the UK and then some. Its versatile rooms can have many occasions, from introductions and displays to workshops and systems administration meetings, giving organizers the opportunity to take special care of participants' singular advantages. The Regal Plant Lobbies give a tastefully shocking setting that hoists the experience thanks to its delightful insides, bountiful regular light, and verdant environs (Hitt, Xu and Carnes, 2016). Additionally, the Royal Horticultural Halls alliance with the site raises the occasion's profile, which thusly attracts noticeable speakers, exhibitors, and participants. Taking everything into account, The Royal Horticultural Halls have been chosen for the event because of their verifiable significance, ideal place, versatile rooms, visual appeal, and heavenly standing, which will improve the get-together's all's prosperity and impact.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its opening in 1904 under its original name, the Old Hall, the Lindley Hall has provided unparalleled beauty. This multi-use venue originally hosted botanic art exhibitions for the Royal Horticultural Society, but now days it plays host to anything from weddings to London Fashion Week and beyond. Lawrence Hall, formerly the New Hall, was constructed across the street in 1925 as an additional venue to accommodate the expanding demand for the charity's grander flower show displays. In recognition of its striking, almost brutalist, design, the Royal Institution of British Architects has bestowed a gold medal upon this Hall (Shone and Parry, 2019).</w:t>
      </w:r>
    </w:p>
    <w:p>
      <w:pPr>
        <w:spacing w:before="0" w:after="160" w:line="360"/>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360"/>
        <w:ind w:right="0" w:left="0" w:firstLine="0"/>
        <w:jc w:val="left"/>
        <w:rPr>
          <w:rFonts w:ascii="Times New Roman" w:hAnsi="Times New Roman" w:cs="Times New Roman" w:eastAsia="Times New Roman"/>
          <w:color w:val="2F5496"/>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The Event Cycle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five stages in the occasion cycle: arranging, putting together, estimating, dissecting, and sharing. Each step is vital to the progress of an occasion, and the Illustrious Green Corridor is the ideal spot to consolidate every one of them easily.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5365" w:dyaOrig="3705">
          <v:rect xmlns:o="urn:schemas-microsoft-com:office:office" xmlns:v="urn:schemas-microsoft-com:vml" id="rectole0000000000" style="width:268.250000pt;height:185.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Figure1: Event Cycle (Kaunisto,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w:t>
      </w:r>
      <w:r>
        <w:rPr>
          <w:rFonts w:ascii="Times New Roman" w:hAnsi="Times New Roman" w:cs="Times New Roman" w:eastAsia="Times New Roman"/>
          <w:b/>
          <w:color w:val="auto"/>
          <w:spacing w:val="0"/>
          <w:position w:val="0"/>
          <w:sz w:val="24"/>
          <w:shd w:fill="auto" w:val="clear"/>
        </w:rPr>
        <w:t xml:space="preserve">Plan</w:t>
      </w:r>
      <w:r>
        <w:rPr>
          <w:rFonts w:ascii="Times New Roman" w:hAnsi="Times New Roman" w:cs="Times New Roman" w:eastAsia="Times New Roman"/>
          <w:color w:val="auto"/>
          <w:spacing w:val="0"/>
          <w:position w:val="0"/>
          <w:sz w:val="24"/>
          <w:shd w:fill="auto" w:val="clear"/>
        </w:rPr>
        <w:t xml:space="preserve">: The Royal Horticultural Halls authentic significance and versatile spaces are painstakingly considered by occasion organizers as they set up every single detail of the occasion. To have an efficient social occasion, they spread out objectives, plan exercises, and convey assets (Reid and Sanders,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w:t>
      </w:r>
      <w:r>
        <w:rPr>
          <w:rFonts w:ascii="Times New Roman" w:hAnsi="Times New Roman" w:cs="Times New Roman" w:eastAsia="Times New Roman"/>
          <w:b/>
          <w:color w:val="auto"/>
          <w:spacing w:val="0"/>
          <w:position w:val="0"/>
          <w:sz w:val="24"/>
          <w:shd w:fill="auto" w:val="clear"/>
        </w:rPr>
        <w:t xml:space="preserve">Organize</w:t>
      </w:r>
      <w:r>
        <w:rPr>
          <w:rFonts w:ascii="Times New Roman" w:hAnsi="Times New Roman" w:cs="Times New Roman" w:eastAsia="Times New Roman"/>
          <w:color w:val="auto"/>
          <w:spacing w:val="0"/>
          <w:position w:val="0"/>
          <w:sz w:val="24"/>
          <w:shd w:fill="auto" w:val="clear"/>
        </w:rPr>
        <w:t xml:space="preserve">: The Royal Horticultural Halls is an incredible spot to organize strategies as a result of its focal area and tasteful allure. To give an intuitive setting to members, they coordinate participant enlistment, set up show spaces, and arrange show seats (Austin,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w:t>
      </w:r>
      <w:r>
        <w:rPr>
          <w:rFonts w:ascii="Times New Roman" w:hAnsi="Times New Roman" w:cs="Times New Roman" w:eastAsia="Times New Roman"/>
          <w:b/>
          <w:color w:val="auto"/>
          <w:spacing w:val="0"/>
          <w:position w:val="0"/>
          <w:sz w:val="24"/>
          <w:shd w:fill="auto" w:val="clear"/>
        </w:rPr>
        <w:t xml:space="preserve">Measure</w:t>
      </w:r>
      <w:r>
        <w:rPr>
          <w:rFonts w:ascii="Times New Roman" w:hAnsi="Times New Roman" w:cs="Times New Roman" w:eastAsia="Times New Roman"/>
          <w:color w:val="auto"/>
          <w:spacing w:val="0"/>
          <w:position w:val="0"/>
          <w:sz w:val="24"/>
          <w:shd w:fill="auto" w:val="clear"/>
        </w:rPr>
        <w:t xml:space="preserve">: At the Royal Horticultural Halls, measuring things like the quantity of participants, the degree of interest, and the remarks and ideas made by the individuals who joined in. Involving the setting's heavenly standing as a measuring stick, coordinators break down this information to decide how well the occasion went and where they could make upgrades.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 </w:t>
      </w:r>
      <w:r>
        <w:rPr>
          <w:rFonts w:ascii="Times New Roman" w:hAnsi="Times New Roman" w:cs="Times New Roman" w:eastAsia="Times New Roman"/>
          <w:b/>
          <w:color w:val="auto"/>
          <w:spacing w:val="0"/>
          <w:position w:val="0"/>
          <w:sz w:val="24"/>
          <w:shd w:fill="auto" w:val="clear"/>
        </w:rPr>
        <w:t xml:space="preserve">Analyse</w:t>
      </w:r>
      <w:r>
        <w:rPr>
          <w:rFonts w:ascii="Times New Roman" w:hAnsi="Times New Roman" w:cs="Times New Roman" w:eastAsia="Times New Roman"/>
          <w:color w:val="auto"/>
          <w:spacing w:val="0"/>
          <w:position w:val="0"/>
          <w:sz w:val="24"/>
          <w:shd w:fill="auto" w:val="clear"/>
        </w:rPr>
        <w:t xml:space="preserve">: The fourth step is to break down the information gathered after the occasion. This will assist the coordinators with understanding the inclinations of the participants and how viable the occasion was generally speaking. To capitalize on the Royal Horticultural Halls standing, they evaluate what the occasion meant for the two participants and the cultivation local area overall.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 </w:t>
      </w:r>
      <w:r>
        <w:rPr>
          <w:rFonts w:ascii="Times New Roman" w:hAnsi="Times New Roman" w:cs="Times New Roman" w:eastAsia="Times New Roman"/>
          <w:b/>
          <w:color w:val="auto"/>
          <w:spacing w:val="0"/>
          <w:position w:val="0"/>
          <w:sz w:val="24"/>
          <w:shd w:fill="auto" w:val="clear"/>
        </w:rPr>
        <w:t xml:space="preserve">Share</w:t>
      </w:r>
      <w:r>
        <w:rPr>
          <w:rFonts w:ascii="Times New Roman" w:hAnsi="Times New Roman" w:cs="Times New Roman" w:eastAsia="Times New Roman"/>
          <w:color w:val="auto"/>
          <w:spacing w:val="0"/>
          <w:position w:val="0"/>
          <w:sz w:val="24"/>
          <w:shd w:fill="auto" w:val="clear"/>
        </w:rPr>
        <w:t xml:space="preserve">: Utilizing the Royal Horticultural Halls association with the Illustrious Green Society to widen the effect of the occasion's outcomes, coordinators convey the occasion's discoveries and significant focus points to partners. They urge agriculture experts to remain involved and cooperate through the scene's organizing occasions, online entertainment, and distributions.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light of everything, the Royal Horticultural Halls assume a significant part in the occasion cycle by offering a reasonable setting for the commencement, planning, execution, evaluation, and continuation of agricultural and herbal science related occasions.</w:t>
      </w:r>
    </w:p>
    <w:p>
      <w:pPr>
        <w:keepNext w:val="true"/>
        <w:keepLines w:val="true"/>
        <w:spacing w:before="240" w:after="0" w:line="360"/>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Event Concept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magnificence, resourcefulness, and meaning of agriculture are praised at the gathering/occasion at the Royal Horticultural Halls. At the point when visitors show up, they will be welcomed with the setting's enchanting organic air (Bladen et al., 2022). To start off the day of learning and investigation, a popular horticulturalist will convey an inspiring feature discourse. After the featured discussion, participants will get the opportunity to participate in various fascinating workshops and meetings directed by unmistakable figures in the field. Everything from eco-accommodating cultivating techniques to state-of-the-art research in plant sciences and it be covered to scene will. At noontime, guests might relish a flavourful feast ready with occasional fortes and fixings bought locally. The Royal Horticultural Halls give a pleasant setting to systems administration prospects (Allen, Harris and Jago,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early evening, there will be a breath-taking display of cutting-edge plant things, innovation, and plans for members to examine. Simultaneously, synchronised studios will address many interests and expertise levels by digging further into explicit subjects. A deterring service will cover the day by respecting cultivation's most recognized individuals and empowering those in participation to continue investigating new wildernesses and carrying new plans to the business (Hitt, Xu and Carnes, 2016). Guests will leave with something other than a superior comprehension of the climate; they will likewise have caused an extraordinary new companion and will to feel much more empowered to safeguard it.</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Here is the itinerary:</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Welcome and Enlistment: 9:00 AM - 9:30 AM</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Opening Ceremony: 9:30 AM- 10:00 AM</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Keynote presenter: 10:00 AM- 11:00 AM</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Studio Meetings-11 AM - 12:30 PM</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Lunch and presentation: 12:30 to 2:00 PM</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Specific Sessions: 2:00 to 3:30 PM</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End service: .3:30 to 4:00 PM</w:t>
      </w:r>
    </w:p>
    <w:p>
      <w:pPr>
        <w:numPr>
          <w:ilvl w:val="0"/>
          <w:numId w:val="13"/>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Organizing Gathering: 4:00 PM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participants are ensured to have a useful and extraordinary involvement with the Royal Horticultural Halls because of this schedule's fair blend of instructive meetings, intelligent studios, organizing open doors, and active exercises (Krajewski, Malhotra and Ritzman, 2022).</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Aim and Objectives of the Meeting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essential goal for this social event at the Royal Horticultural Halls is to empower imagination, maintainability, and authority in the cultivation business through the sharing of information and the sharing of encounters. The accompanying Savvy objectives have been laid out in light of this reason: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w:t>
      </w:r>
      <w:r>
        <w:rPr>
          <w:rFonts w:ascii="Times New Roman" w:hAnsi="Times New Roman" w:cs="Times New Roman" w:eastAsia="Times New Roman"/>
          <w:b/>
          <w:color w:val="auto"/>
          <w:spacing w:val="0"/>
          <w:position w:val="0"/>
          <w:sz w:val="24"/>
          <w:shd w:fill="auto" w:val="clear"/>
        </w:rPr>
        <w:t xml:space="preserve">Improve Information and Consciousness</w:t>
      </w:r>
      <w:r>
        <w:rPr>
          <w:rFonts w:ascii="Times New Roman" w:hAnsi="Times New Roman" w:cs="Times New Roman" w:eastAsia="Times New Roman"/>
          <w:color w:val="auto"/>
          <w:spacing w:val="0"/>
          <w:position w:val="0"/>
          <w:sz w:val="24"/>
          <w:shd w:fill="auto" w:val="clear"/>
        </w:rPr>
        <w:t xml:space="preserve">: In light of results from pre-and post-occasion studies, the event says with certainty that participants will leave the occasion with a 20% better comprehension of the job cultivation plays in economical turn of events and natural protection (Scott and Montie,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w:t>
      </w:r>
      <w:r>
        <w:rPr>
          <w:rFonts w:ascii="Times New Roman" w:hAnsi="Times New Roman" w:cs="Times New Roman" w:eastAsia="Times New Roman"/>
          <w:b/>
          <w:color w:val="auto"/>
          <w:spacing w:val="0"/>
          <w:position w:val="0"/>
          <w:sz w:val="24"/>
          <w:shd w:fill="auto" w:val="clear"/>
        </w:rPr>
        <w:t xml:space="preserve">Encourage Systems administration and Collaboration</w:t>
      </w:r>
      <w:r>
        <w:rPr>
          <w:rFonts w:ascii="Times New Roman" w:hAnsi="Times New Roman" w:cs="Times New Roman" w:eastAsia="Times New Roman"/>
          <w:color w:val="auto"/>
          <w:spacing w:val="0"/>
          <w:position w:val="0"/>
          <w:sz w:val="24"/>
          <w:shd w:fill="auto" w:val="clear"/>
        </w:rPr>
        <w:t xml:space="preserve">: The event wants to help industry specialists, scientists, and specialists associate with one another and cooperate all the more successfully through intelligent studios and organized systems administration meetings. The event wants to have 30% more individuals who go to the occasion report beginning new expert connections or joint drives by the end.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b/>
          <w:color w:val="auto"/>
          <w:spacing w:val="0"/>
          <w:position w:val="0"/>
          <w:sz w:val="24"/>
          <w:shd w:fill="auto" w:val="clear"/>
        </w:rPr>
        <w:t xml:space="preserve">. Promote innovation and good practices</w:t>
      </w:r>
      <w:r>
        <w:rPr>
          <w:rFonts w:ascii="Times New Roman" w:hAnsi="Times New Roman" w:cs="Times New Roman" w:eastAsia="Times New Roman"/>
          <w:color w:val="auto"/>
          <w:spacing w:val="0"/>
          <w:position w:val="0"/>
          <w:sz w:val="24"/>
          <w:shd w:fill="auto" w:val="clear"/>
        </w:rPr>
        <w:t xml:space="preserve">: The event needs to urge participants to integrate economical arrangements into their own callings and networks by introducing the latest thoughts, advancements, and best practices in cultivation. As per the consequences of the post-occasion surveys and ensuing correspondence, the Savvy objective is to have the vast majority of the participants express their longing to carry out a solitary supportable planting practice or development in something like a half year after the show (Müller and Gogishvili, 2022).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gathering or occasion at the Royal Horticultural Halls is intended to propel agriculture through schooling, collaboration, and development; these Brilliant objectives are made to find a place with that greater picture and ensure that there are quantifiable outcomes and an impact in the business and then some.</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Event Operations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meeting or occasion at the Royal Horticultural Halls will possibly go off easily assuming the occasion activities are very much made due. Skills that are fundamental include: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Event Arranging and Coordination:</w:t>
      </w:r>
      <w:r>
        <w:rPr>
          <w:rFonts w:ascii="Times New Roman" w:hAnsi="Times New Roman" w:cs="Times New Roman" w:eastAsia="Times New Roman"/>
          <w:color w:val="auto"/>
          <w:spacing w:val="0"/>
          <w:position w:val="0"/>
          <w:sz w:val="24"/>
          <w:shd w:fill="auto" w:val="clear"/>
        </w:rPr>
        <w:t xml:space="preserve"> One should have broad involvement with making schedules, overseeing planned operations, and organizing with merchants and providers.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Stakeholder The board and Communication:</w:t>
      </w:r>
      <w:r>
        <w:rPr>
          <w:rFonts w:ascii="Times New Roman" w:hAnsi="Times New Roman" w:cs="Times New Roman" w:eastAsia="Times New Roman"/>
          <w:color w:val="auto"/>
          <w:spacing w:val="0"/>
          <w:position w:val="0"/>
          <w:sz w:val="24"/>
          <w:shd w:fill="auto" w:val="clear"/>
        </w:rPr>
        <w:t xml:space="preserve"> Having the option to actually and compactly speak with all gatherings engaged with the occasion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speakers, supporters, exhibitors, and participants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requires phenomenal relational and correspondence capacities (Morgeson, Mitchell and Liu,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Decision-Production and Issue Solving:</w:t>
      </w:r>
      <w:r>
        <w:rPr>
          <w:rFonts w:ascii="Times New Roman" w:hAnsi="Times New Roman" w:cs="Times New Roman" w:eastAsia="Times New Roman"/>
          <w:color w:val="auto"/>
          <w:spacing w:val="0"/>
          <w:position w:val="0"/>
          <w:sz w:val="24"/>
          <w:shd w:fill="auto" w:val="clear"/>
        </w:rPr>
        <w:t xml:space="preserve"> To keep things chugging along as expected during the occasion, it is fundamental to have the option to pursue instructed choices and answer quickly to deterrents.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Give Close Consideration to Detail:</w:t>
      </w:r>
      <w:r>
        <w:rPr>
          <w:rFonts w:ascii="Times New Roman" w:hAnsi="Times New Roman" w:cs="Times New Roman" w:eastAsia="Times New Roman"/>
          <w:color w:val="auto"/>
          <w:spacing w:val="0"/>
          <w:position w:val="0"/>
          <w:sz w:val="24"/>
          <w:shd w:fill="auto" w:val="clear"/>
        </w:rPr>
        <w:t xml:space="preserve"> From the arrangement and signage to the cooking and varying media needs, all aspects of the occasion should be painstakingly observed.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 Team Administration and Management:</w:t>
      </w:r>
      <w:r>
        <w:rPr>
          <w:rFonts w:ascii="Times New Roman" w:hAnsi="Times New Roman" w:cs="Times New Roman" w:eastAsia="Times New Roman"/>
          <w:color w:val="auto"/>
          <w:spacing w:val="0"/>
          <w:position w:val="0"/>
          <w:sz w:val="24"/>
          <w:shd w:fill="auto" w:val="clear"/>
        </w:rPr>
        <w:t xml:space="preserve"> One really want solid initiative capacities to move and direct the occasion's workers and representatives, convey liabilities, and ensure everybody arranges to accomplish the occasion's objectives (Ramadhan and Rosmawati, 2022).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Alongside these capacities, one will require the accompanying resources: </w:t>
      </w:r>
    </w:p>
    <w:p>
      <w:pPr>
        <w:numPr>
          <w:ilvl w:val="0"/>
          <w:numId w:val="1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Spaces and hardware at the setting, including meeting rooms, presentation regions, and varying media gear.</w:t>
      </w:r>
    </w:p>
    <w:p>
      <w:pPr>
        <w:numPr>
          <w:ilvl w:val="0"/>
          <w:numId w:val="1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Occasions that require food and drink can be cooked (Loucks and Van Beek, 2017).</w:t>
      </w:r>
    </w:p>
    <w:p>
      <w:pPr>
        <w:numPr>
          <w:ilvl w:val="0"/>
          <w:numId w:val="1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Exposure and promoting security to get the message out about the occasion and tempt individuals to join in.</w:t>
      </w:r>
    </w:p>
    <w:p>
      <w:pPr>
        <w:numPr>
          <w:ilvl w:val="0"/>
          <w:numId w:val="1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Help with reservations, tickets, and visitor benefits authoritatively.</w:t>
      </w:r>
    </w:p>
    <w:p>
      <w:pPr>
        <w:numPr>
          <w:ilvl w:val="0"/>
          <w:numId w:val="1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Watching spending and designating reserves actually during the arranging stage through financial plan the executives (Shaikh et al.,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ensure gathering or occasion at the Royal Horticultural Halls goes off easily by taking full advantage of these capacities and assets. Like that, each and every individual who goes to will live it up.</w:t>
      </w:r>
    </w:p>
    <w:p>
      <w:pPr>
        <w:keepNext w:val="true"/>
        <w:keepLines w:val="true"/>
        <w:spacing w:before="240" w:after="0" w:line="360"/>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Event Budget </w:t>
      </w:r>
    </w:p>
    <w:tbl>
      <w:tblPr/>
      <w:tblGrid>
        <w:gridCol w:w="2515"/>
        <w:gridCol w:w="4860"/>
        <w:gridCol w:w="1641"/>
      </w:tblGrid>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Particulars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Description </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Amount </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Income sources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8000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Ticket sales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Revenue from ticket sales </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20000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Sponsorship</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Contributions from sponsors</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50000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Exhibition fees</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Fees paid by exhibitors to showcase products </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25000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Grants and donations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Funding from grants and donations </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50000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Total income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153000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Expenditure</w:t>
            </w:r>
            <w:r>
              <w:rPr>
                <w:rFonts w:ascii="Times New Roman" w:hAnsi="Times New Roman" w:cs="Times New Roman" w:eastAsia="Times New Roman"/>
                <w:color w:val="auto"/>
                <w:spacing w:val="0"/>
                <w:position w:val="0"/>
                <w:sz w:val="24"/>
                <w:shd w:fill="auto" w:val="clear"/>
              </w:rPr>
              <w:t xml:space="preserve">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Venue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rental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Rental fee for halls</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35000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Event production</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Costs for audio-visual equipment, signage</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90000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Speakers and talent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Fees and expenses for keynote speakers</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7000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Marketing</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and promotion</w:t>
            </w:r>
            <w:r>
              <w:rPr>
                <w:rFonts w:ascii="Times New Roman" w:hAnsi="Times New Roman" w:cs="Times New Roman" w:eastAsia="Times New Roman"/>
                <w:b/>
                <w:color w:val="auto"/>
                <w:spacing w:val="0"/>
                <w:position w:val="0"/>
                <w:sz w:val="24"/>
                <w:shd w:fill="auto" w:val="clear"/>
              </w:rPr>
              <w:t xml:space="preserve">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Expenses for marketing materials, advertising</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9000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Catering</w:t>
            </w:r>
            <w:r>
              <w:rPr>
                <w:rFonts w:ascii="Times New Roman" w:hAnsi="Times New Roman" w:cs="Times New Roman" w:eastAsia="Times New Roman"/>
                <w:b/>
                <w:color w:val="auto"/>
                <w:spacing w:val="0"/>
                <w:position w:val="0"/>
                <w:sz w:val="24"/>
                <w:shd w:fill="auto" w:val="clear"/>
              </w:rPr>
              <w:t xml:space="preserve">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Expenses for refreshments</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7000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Miscellaneous </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Contingency for unforeseen expenses</w:t>
            </w: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5000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Total expenditure</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153000</w:t>
            </w:r>
          </w:p>
        </w:tc>
      </w:tr>
      <w:tr>
        <w:trPr>
          <w:trHeight w:val="1" w:hRule="atLeast"/>
          <w:jc w:val="left"/>
        </w:trPr>
        <w:tc>
          <w:tcPr>
            <w:tcW w:w="25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Net income</w:t>
            </w:r>
          </w:p>
        </w:tc>
        <w:tc>
          <w:tcPr>
            <w:tcW w:w="48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16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0</w:t>
            </w:r>
          </w:p>
        </w:tc>
      </w:tr>
    </w:tbl>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Table1: Event budget planning.</w:t>
      </w:r>
    </w:p>
    <w:p>
      <w:pPr>
        <w:keepNext w:val="true"/>
        <w:keepLines w:val="true"/>
        <w:spacing w:before="240" w:after="0" w:line="360"/>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Industry Trends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Various critical advancements are changing the substance of the gatherings and occasions area and affecting all parts of get-togethers, from wanting to execution to participation (Mathis et al., 2023). The developing utilization of innovation to further develop cooperation and association sticks out. Gatherings may now contact more individuals than any other time in recent memory, no matter what their area, on account of the brilliant ascent of virtual and cross breed occasions. Because of this pattern, the Royal Horticultural Halls get-together will incorporate virtual parts like live meeting streaming and intelligent web-based systems administration prospects. This will make the occasion open and comprehensive for participants everywhere (Rubinger et al.,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accentuation on maintainability and ecologically mindful ways of behaving is another significant turn of events. Maintainable areas, less garbage, and other green measures are turning out to be more critical to occasion coordinators as they endeavour to be naturally dependable. The occasion is held at the Royal Horticultural Halls, a scene known for its devotion to manageability and its rich natural heritage. The event is focused on displaying the best strategies for earth cognizant occasion arranging while likewise causing to notice the worth of parks and biodiversity in the cultivating area.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Also, it is turning out to be progressively essential to customize the occasion and connect with the participants. Plan customisation, intuitive studios, and vivid innovation are sought after in light of the fact that participants need customized encounters that suit their inclinations and inclinations. The event maintain participants should be effectively engaged with the gathering or occasion, so we're giving an assortment of meeting types, intelligent studios, and opportunities to arrange and cooperate.  plan to give a dynamic and strong experience for all members, whether they are truly present or taking part basically, at the Royal Horticultural Halls by embracing and integrating current industry patterns into the occasion plan (Thomé, Scavarda and Scavarda, 2016).</w:t>
      </w:r>
    </w:p>
    <w:p>
      <w:pPr>
        <w:keepNext w:val="true"/>
        <w:keepLines w:val="true"/>
        <w:spacing w:before="240" w:after="0" w:line="360"/>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Cultural and Situational Considerations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adequacy and impact of social affair in the Royal Horticultural Halls are significantly impacted by more extensive social and relevant elements. Inclusivity, regard, and effective commitment of different individuals rely upon how the event interprets and consideration regarding these issues.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b/>
          <w:color w:val="auto"/>
          <w:spacing w:val="0"/>
          <w:position w:val="0"/>
          <w:sz w:val="24"/>
          <w:shd w:fill="auto" w:val="clear"/>
        </w:rPr>
        <w:t xml:space="preserve">. Cultural diversity</w:t>
      </w:r>
      <w:r>
        <w:rPr>
          <w:rFonts w:ascii="Times New Roman" w:hAnsi="Times New Roman" w:cs="Times New Roman" w:eastAsia="Times New Roman"/>
          <w:color w:val="auto"/>
          <w:spacing w:val="0"/>
          <w:position w:val="0"/>
          <w:sz w:val="24"/>
          <w:shd w:fill="auto" w:val="clear"/>
        </w:rPr>
        <w:t xml:space="preserve">: One significant perspective is the social variety of occasion's participants. Individuals from everywhere the world will be here, and they carry with them exceptional perspectives, talking, and getting things done. To develop an intriguing and comprehensive climate, it is basic to perceive and value these differentiations. To ensure that every individual who goes to feels appreciated and appreciated, the event can integrate socially delicate elements into the occasion like introducing various types of food, having interpretation administrations accessible, and being comprehension of individuals' strict traditions (Ting-Toomey and Dorjee,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w:t>
      </w:r>
      <w:r>
        <w:rPr>
          <w:rFonts w:ascii="Times New Roman" w:hAnsi="Times New Roman" w:cs="Times New Roman" w:eastAsia="Times New Roman"/>
          <w:b/>
          <w:color w:val="auto"/>
          <w:spacing w:val="0"/>
          <w:position w:val="0"/>
          <w:sz w:val="24"/>
          <w:shd w:fill="auto" w:val="clear"/>
        </w:rPr>
        <w:t xml:space="preserve">Situational context:</w:t>
      </w:r>
      <w:r>
        <w:rPr>
          <w:rFonts w:ascii="Times New Roman" w:hAnsi="Times New Roman" w:cs="Times New Roman" w:eastAsia="Times New Roman"/>
          <w:color w:val="auto"/>
          <w:spacing w:val="0"/>
          <w:position w:val="0"/>
          <w:sz w:val="24"/>
          <w:shd w:fill="auto" w:val="clear"/>
        </w:rPr>
        <w:t xml:space="preserve"> The more extensive situational setting, which incorporates things like recent developments, social elements, and monetary circumstances, can likewise influence how gathering or occasion is gotten and the amount of an effect it has. Determined social issues or political pressures, for example, could impact how participants act. To answer delicately to the situational setting, want to keep instructed and versatile. On a case by case basis, the event change informing, programming, and calculated game plans to guarantee they are important and reasonable (Van Velsen,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Accessibility and Inclusivity</w:t>
      </w:r>
      <w:r>
        <w:rPr>
          <w:rFonts w:ascii="Times New Roman" w:hAnsi="Times New Roman" w:cs="Times New Roman" w:eastAsia="Times New Roman"/>
          <w:color w:val="auto"/>
          <w:spacing w:val="0"/>
          <w:position w:val="0"/>
          <w:sz w:val="24"/>
          <w:shd w:fill="auto" w:val="clear"/>
        </w:rPr>
        <w:t xml:space="preserve">: Making guaranteeing that all participants, no matter what their actual capacities, can completely participate in the occasion is of most extreme significance. This includes making fundamental plans to help those with weaknesses, for example, giving wheelchair access, communication via gestures translation, subtitling administrations, and the sky is the limit from there. Along these lines, issues of variety and consideration incorporate portrayal of underestimated gatherings, LGBTQ+ inclusivity, and orientation variety.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devotion to variety, consideration, and regard for individual perspectives and encounters is on full presentation when the event considers these more extensive social and context-oriented components. This makes a more comprehensive and strong local area in the cultivation business, which thusly works on the whole insight and impact of gathering or occasion.</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2F5496"/>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32"/>
          <w:shd w:fill="auto" w:val="clear"/>
        </w:rPr>
        <w:t xml:space="preserve">Conclusion</w:t>
      </w:r>
      <w:r>
        <w:rPr>
          <w:rFonts w:ascii="Times New Roman" w:hAnsi="Times New Roman" w:cs="Times New Roman" w:eastAsia="Times New Roman"/>
          <w:color w:val="2F5496"/>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long last, the Royal Horticultural Halls are ideally suited for our occasion on account of their focal London area, versatile settings, and rich authentic foundation. Via cautiously sorting out all that and being fully informed regarding latest things, our gathering endeavours to empower development, supportability, and collaboration among ranchers (Wolf and Floyd, 2017). The event wants to cultivate a comprehensive space that values fluctuated perspectives and energizes full support from all people by considering social and situational factors. Have an occasion that progresses cultivation information, development, and companionship with characterized goals, equipped occasion tasks, and a commitment to greatness.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F5496"/>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Reference List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Allen, J., Harris, R. and Jago, L. (2020</w:t>
      </w:r>
      <w:r>
        <w:rPr>
          <w:rFonts w:ascii="Times New Roman" w:hAnsi="Times New Roman" w:cs="Times New Roman" w:eastAsia="Times New Roman"/>
          <w:i/>
          <w:color w:val="auto"/>
          <w:spacing w:val="0"/>
          <w:position w:val="0"/>
          <w:sz w:val="24"/>
          <w:shd w:fill="auto" w:val="clear"/>
        </w:rPr>
        <w:t xml:space="preserve">) Festival &amp; special event management, essentials edition</w:t>
      </w:r>
      <w:r>
        <w:rPr>
          <w:rFonts w:ascii="Times New Roman" w:hAnsi="Times New Roman" w:cs="Times New Roman" w:eastAsia="Times New Roman"/>
          <w:color w:val="auto"/>
          <w:spacing w:val="0"/>
          <w:position w:val="0"/>
          <w:sz w:val="24"/>
          <w:shd w:fill="auto" w:val="clear"/>
        </w:rPr>
        <w:t xml:space="preserve">. 6th ed. Milton, QLD, Australia: John Wiley &amp; Sons.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Austin, A. (2023) </w:t>
      </w:r>
      <w:r>
        <w:rPr>
          <w:rFonts w:ascii="Times New Roman" w:hAnsi="Times New Roman" w:cs="Times New Roman" w:eastAsia="Times New Roman"/>
          <w:i/>
          <w:color w:val="auto"/>
          <w:spacing w:val="0"/>
          <w:position w:val="0"/>
          <w:sz w:val="24"/>
          <w:shd w:fill="auto" w:val="clear"/>
        </w:rPr>
        <w:t xml:space="preserve">Event life cycle: Before, during &amp; after an event, Eventbrite Blog</w:t>
      </w:r>
      <w:r>
        <w:rPr>
          <w:rFonts w:ascii="Times New Roman" w:hAnsi="Times New Roman" w:cs="Times New Roman" w:eastAsia="Times New Roman"/>
          <w:color w:val="auto"/>
          <w:spacing w:val="0"/>
          <w:position w:val="0"/>
          <w:sz w:val="24"/>
          <w:shd w:fill="auto" w:val="clear"/>
        </w:rPr>
        <w:t xml:space="preserve">. Eventbrite.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https://www.eventbrite.com/blog/event-life-cycle-ds00/</w:t>
        </w:r>
      </w:hyperlink>
      <w:r>
        <w:rPr>
          <w:rFonts w:ascii="Times New Roman" w:hAnsi="Times New Roman" w:cs="Times New Roman" w:eastAsia="Times New Roman"/>
          <w:color w:val="auto"/>
          <w:spacing w:val="0"/>
          <w:position w:val="0"/>
          <w:sz w:val="24"/>
          <w:shd w:fill="auto" w:val="clear"/>
        </w:rPr>
        <w:t xml:space="preserve"> (Accessed: February 23, 2024).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Bladen, C. et al. (2022) </w:t>
      </w:r>
      <w:r>
        <w:rPr>
          <w:rFonts w:ascii="Times New Roman" w:hAnsi="Times New Roman" w:cs="Times New Roman" w:eastAsia="Times New Roman"/>
          <w:i/>
          <w:color w:val="auto"/>
          <w:spacing w:val="0"/>
          <w:position w:val="0"/>
          <w:sz w:val="24"/>
          <w:shd w:fill="auto" w:val="clear"/>
        </w:rPr>
        <w:t xml:space="preserve">Events management: An introduction</w:t>
      </w:r>
      <w:r>
        <w:rPr>
          <w:rFonts w:ascii="Times New Roman" w:hAnsi="Times New Roman" w:cs="Times New Roman" w:eastAsia="Times New Roman"/>
          <w:color w:val="auto"/>
          <w:spacing w:val="0"/>
          <w:position w:val="0"/>
          <w:sz w:val="24"/>
          <w:shd w:fill="auto" w:val="clear"/>
        </w:rPr>
        <w:t xml:space="preserve">. Taylor &amp; Francis.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Hitt, M. A., Xu, K. and Carnes, C. M. (2016) “Resource based theory in operations management research,” </w:t>
      </w:r>
      <w:r>
        <w:rPr>
          <w:rFonts w:ascii="Times New Roman" w:hAnsi="Times New Roman" w:cs="Times New Roman" w:eastAsia="Times New Roman"/>
          <w:i/>
          <w:color w:val="auto"/>
          <w:spacing w:val="0"/>
          <w:position w:val="0"/>
          <w:sz w:val="24"/>
          <w:shd w:fill="auto" w:val="clear"/>
        </w:rPr>
        <w:t xml:space="preserve">Journal of operations management</w:t>
      </w:r>
      <w:r>
        <w:rPr>
          <w:rFonts w:ascii="Times New Roman" w:hAnsi="Times New Roman" w:cs="Times New Roman" w:eastAsia="Times New Roman"/>
          <w:color w:val="auto"/>
          <w:spacing w:val="0"/>
          <w:position w:val="0"/>
          <w:sz w:val="24"/>
          <w:shd w:fill="auto" w:val="clear"/>
        </w:rPr>
        <w:t xml:space="preserve">, 41(1), pp. 77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94. doi: 10.1016/j.jom.2015.11.002.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Kaunisto, A. (2021) “</w:t>
      </w:r>
      <w:r>
        <w:rPr>
          <w:rFonts w:ascii="Times New Roman" w:hAnsi="Times New Roman" w:cs="Times New Roman" w:eastAsia="Times New Roman"/>
          <w:i/>
          <w:color w:val="auto"/>
          <w:spacing w:val="0"/>
          <w:position w:val="0"/>
          <w:sz w:val="24"/>
          <w:shd w:fill="auto" w:val="clear"/>
        </w:rPr>
        <w:t xml:space="preserve">Introducing the Event Cycle </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 the core of Event Success Management</w:t>
      </w:r>
      <w:r>
        <w:rPr>
          <w:rFonts w:ascii="Times New Roman" w:hAnsi="Times New Roman" w:cs="Times New Roman" w:eastAsia="Times New Roman"/>
          <w:color w:val="auto"/>
          <w:spacing w:val="0"/>
          <w:position w:val="0"/>
          <w:sz w:val="24"/>
          <w:shd w:fill="auto" w:val="clear"/>
        </w:rPr>
        <w:t xml:space="preserve">,” Lyyti.com. Lyyti, 21 June.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https://www.lyyti.com/en/blog/introducing-the-event-cycle-the-core-of-event-success-management</w:t>
        </w:r>
      </w:hyperlink>
      <w:r>
        <w:rPr>
          <w:rFonts w:ascii="Times New Roman" w:hAnsi="Times New Roman" w:cs="Times New Roman" w:eastAsia="Times New Roman"/>
          <w:color w:val="auto"/>
          <w:spacing w:val="0"/>
          <w:position w:val="0"/>
          <w:sz w:val="24"/>
          <w:shd w:fill="auto" w:val="clear"/>
        </w:rPr>
        <w:t xml:space="preserve"> (Accessed: February 22, 2024).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Krajewski, L. J., Malhotra, N. and Ritzman, L. P. (2022) </w:t>
      </w:r>
      <w:r>
        <w:rPr>
          <w:rFonts w:ascii="Times New Roman" w:hAnsi="Times New Roman" w:cs="Times New Roman" w:eastAsia="Times New Roman"/>
          <w:i/>
          <w:color w:val="auto"/>
          <w:spacing w:val="0"/>
          <w:position w:val="0"/>
          <w:sz w:val="24"/>
          <w:shd w:fill="auto" w:val="clear"/>
        </w:rPr>
        <w:t xml:space="preserve">Operations management: Processes and supply chains</w:t>
      </w:r>
      <w:r>
        <w:rPr>
          <w:rFonts w:ascii="Times New Roman" w:hAnsi="Times New Roman" w:cs="Times New Roman" w:eastAsia="Times New Roman"/>
          <w:color w:val="auto"/>
          <w:spacing w:val="0"/>
          <w:position w:val="0"/>
          <w:sz w:val="24"/>
          <w:shd w:fill="auto" w:val="clear"/>
        </w:rPr>
        <w:t xml:space="preserve">, global edition. 13th ed. London, England: Pearson Education.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Loucks, D. P. and Van Beek, E. (2017) </w:t>
      </w:r>
      <w:r>
        <w:rPr>
          <w:rFonts w:ascii="Times New Roman" w:hAnsi="Times New Roman" w:cs="Times New Roman" w:eastAsia="Times New Roman"/>
          <w:i/>
          <w:color w:val="auto"/>
          <w:spacing w:val="0"/>
          <w:position w:val="0"/>
          <w:sz w:val="24"/>
          <w:shd w:fill="auto" w:val="clear"/>
        </w:rPr>
        <w:t xml:space="preserve">Water resource systems planning and management: An introduction to methods, models, and applications.</w:t>
      </w:r>
      <w:r>
        <w:rPr>
          <w:rFonts w:ascii="Times New Roman" w:hAnsi="Times New Roman" w:cs="Times New Roman" w:eastAsia="Times New Roman"/>
          <w:color w:val="auto"/>
          <w:spacing w:val="0"/>
          <w:position w:val="0"/>
          <w:sz w:val="24"/>
          <w:shd w:fill="auto" w:val="clear"/>
        </w:rPr>
        <w:t xml:space="preserve"> Springer.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Mathis, R. L. et al. (2023) </w:t>
      </w:r>
      <w:r>
        <w:rPr>
          <w:rFonts w:ascii="Times New Roman" w:hAnsi="Times New Roman" w:cs="Times New Roman" w:eastAsia="Times New Roman"/>
          <w:i/>
          <w:color w:val="auto"/>
          <w:spacing w:val="0"/>
          <w:position w:val="0"/>
          <w:sz w:val="24"/>
          <w:shd w:fill="auto" w:val="clear"/>
        </w:rPr>
        <w:t xml:space="preserve">Human resource management.</w:t>
      </w:r>
      <w:r>
        <w:rPr>
          <w:rFonts w:ascii="Times New Roman" w:hAnsi="Times New Roman" w:cs="Times New Roman" w:eastAsia="Times New Roman"/>
          <w:color w:val="auto"/>
          <w:spacing w:val="0"/>
          <w:position w:val="0"/>
          <w:sz w:val="24"/>
          <w:shd w:fill="auto" w:val="clear"/>
        </w:rPr>
        <w:t xml:space="preserve"> 17th ed. Florence, AL: South-Western College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Morgeson, F. P., Mitchell, T. R. and Liu, D. (2015) “Event system theory: An event-oriented approach to the organizational sciences,” </w:t>
      </w:r>
      <w:r>
        <w:rPr>
          <w:rFonts w:ascii="Times New Roman" w:hAnsi="Times New Roman" w:cs="Times New Roman" w:eastAsia="Times New Roman"/>
          <w:i/>
          <w:color w:val="auto"/>
          <w:spacing w:val="0"/>
          <w:position w:val="0"/>
          <w:sz w:val="24"/>
          <w:shd w:fill="auto" w:val="clear"/>
        </w:rPr>
        <w:t xml:space="preserve">Academy of management review,</w:t>
      </w:r>
      <w:r>
        <w:rPr>
          <w:rFonts w:ascii="Times New Roman" w:hAnsi="Times New Roman" w:cs="Times New Roman" w:eastAsia="Times New Roman"/>
          <w:color w:val="auto"/>
          <w:spacing w:val="0"/>
          <w:position w:val="0"/>
          <w:sz w:val="24"/>
          <w:shd w:fill="auto" w:val="clear"/>
        </w:rPr>
        <w:t xml:space="preserve"> 40(4), pp. 515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537. doi: 10.5465/amr.2012.0099.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Müller, M. and Gogishvili, D. (2022) </w:t>
      </w:r>
      <w:r>
        <w:rPr>
          <w:rFonts w:ascii="Times New Roman" w:hAnsi="Times New Roman" w:cs="Times New Roman" w:eastAsia="Times New Roman"/>
          <w:i/>
          <w:color w:val="auto"/>
          <w:spacing w:val="0"/>
          <w:position w:val="0"/>
          <w:sz w:val="24"/>
          <w:shd w:fill="auto" w:val="clear"/>
        </w:rPr>
        <w:t xml:space="preserve">“What makes an event a mega-event? Definitions and sizes,” in Mega Events, Urban Transformations and Social Citizenship.</w:t>
      </w:r>
      <w:r>
        <w:rPr>
          <w:rFonts w:ascii="Times New Roman" w:hAnsi="Times New Roman" w:cs="Times New Roman" w:eastAsia="Times New Roman"/>
          <w:color w:val="auto"/>
          <w:spacing w:val="0"/>
          <w:position w:val="0"/>
          <w:sz w:val="24"/>
          <w:shd w:fill="auto" w:val="clear"/>
        </w:rPr>
        <w:t xml:space="preserve"> London: Routledge, pp. 21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Ramadhan, M. I. and Rosmawati, W. (2022) “The Effect of Budget Planning and Budget Evaluation on Organizational Performance,” </w:t>
      </w:r>
      <w:r>
        <w:rPr>
          <w:rFonts w:ascii="Times New Roman" w:hAnsi="Times New Roman" w:cs="Times New Roman" w:eastAsia="Times New Roman"/>
          <w:i/>
          <w:color w:val="auto"/>
          <w:spacing w:val="0"/>
          <w:position w:val="0"/>
          <w:sz w:val="24"/>
          <w:shd w:fill="auto" w:val="clear"/>
        </w:rPr>
        <w:t xml:space="preserve">Journal of Research in Construction</w:t>
      </w:r>
      <w:r>
        <w:rPr>
          <w:rFonts w:ascii="Times New Roman" w:hAnsi="Times New Roman" w:cs="Times New Roman" w:eastAsia="Times New Roman"/>
          <w:color w:val="auto"/>
          <w:spacing w:val="0"/>
          <w:position w:val="0"/>
          <w:sz w:val="24"/>
          <w:shd w:fill="auto" w:val="clear"/>
        </w:rPr>
        <w:t xml:space="preserve">, 1(1), pp. 36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44.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Reid, R. D. and Sanders, N. R. (2020) </w:t>
      </w:r>
      <w:r>
        <w:rPr>
          <w:rFonts w:ascii="Times New Roman" w:hAnsi="Times New Roman" w:cs="Times New Roman" w:eastAsia="Times New Roman"/>
          <w:i/>
          <w:color w:val="auto"/>
          <w:spacing w:val="0"/>
          <w:position w:val="0"/>
          <w:sz w:val="24"/>
          <w:shd w:fill="auto" w:val="clear"/>
        </w:rPr>
        <w:t xml:space="preserve">Operations management: An integrated approach, 7e loose-leaf with wileyplus blackboard insert for ambassador set</w:t>
      </w:r>
      <w:r>
        <w:rPr>
          <w:rFonts w:ascii="Times New Roman" w:hAnsi="Times New Roman" w:cs="Times New Roman" w:eastAsia="Times New Roman"/>
          <w:color w:val="auto"/>
          <w:spacing w:val="0"/>
          <w:position w:val="0"/>
          <w:sz w:val="24"/>
          <w:shd w:fill="auto" w:val="clear"/>
        </w:rPr>
        <w:t xml:space="preserve">. 7th ed.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Rubinger, L. et al. (2020) “Maximizing virtual meetings and conferences: a review of best practices,” </w:t>
      </w:r>
      <w:r>
        <w:rPr>
          <w:rFonts w:ascii="Times New Roman" w:hAnsi="Times New Roman" w:cs="Times New Roman" w:eastAsia="Times New Roman"/>
          <w:i/>
          <w:color w:val="auto"/>
          <w:spacing w:val="0"/>
          <w:position w:val="0"/>
          <w:sz w:val="24"/>
          <w:shd w:fill="auto" w:val="clear"/>
        </w:rPr>
        <w:t xml:space="preserve">International orthopaedics</w:t>
      </w:r>
      <w:r>
        <w:rPr>
          <w:rFonts w:ascii="Times New Roman" w:hAnsi="Times New Roman" w:cs="Times New Roman" w:eastAsia="Times New Roman"/>
          <w:color w:val="auto"/>
          <w:spacing w:val="0"/>
          <w:position w:val="0"/>
          <w:sz w:val="24"/>
          <w:shd w:fill="auto" w:val="clear"/>
        </w:rPr>
        <w:t xml:space="preserve">, 44(8), pp. 1461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1466. doi: 10.1007/s00264-020-04615-9.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Scott, F. and Montie, N. (2016) </w:t>
      </w:r>
      <w:r>
        <w:rPr>
          <w:rFonts w:ascii="Times New Roman" w:hAnsi="Times New Roman" w:cs="Times New Roman" w:eastAsia="Times New Roman"/>
          <w:i/>
          <w:color w:val="auto"/>
          <w:spacing w:val="0"/>
          <w:position w:val="0"/>
          <w:sz w:val="24"/>
          <w:shd w:fill="auto" w:val="clear"/>
        </w:rPr>
        <w:t xml:space="preserve">Experiences and Insights.</w:t>
      </w:r>
      <w:r>
        <w:rPr>
          <w:rFonts w:ascii="Times New Roman" w:hAnsi="Times New Roman" w:cs="Times New Roman" w:eastAsia="Times New Roman"/>
          <w:color w:val="auto"/>
          <w:spacing w:val="0"/>
          <w:position w:val="0"/>
          <w:sz w:val="24"/>
          <w:shd w:fill="auto" w:val="clear"/>
        </w:rPr>
        <w:t xml:space="preserve"> Bloomington, MN: Balboa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Shaikh, P. H. et al. (2016) “Intelligent multi-objective control and management for smart energy efficient buildings</w:t>
      </w:r>
      <w:r>
        <w:rPr>
          <w:rFonts w:ascii="Times New Roman" w:hAnsi="Times New Roman" w:cs="Times New Roman" w:eastAsia="Times New Roman"/>
          <w:i/>
          <w:color w:val="auto"/>
          <w:spacing w:val="0"/>
          <w:position w:val="0"/>
          <w:sz w:val="24"/>
          <w:shd w:fill="auto" w:val="clear"/>
        </w:rPr>
        <w:t xml:space="preserve">,” International journal of electrical power &amp; energy systems</w:t>
      </w:r>
      <w:r>
        <w:rPr>
          <w:rFonts w:ascii="Times New Roman" w:hAnsi="Times New Roman" w:cs="Times New Roman" w:eastAsia="Times New Roman"/>
          <w:color w:val="auto"/>
          <w:spacing w:val="0"/>
          <w:position w:val="0"/>
          <w:sz w:val="24"/>
          <w:shd w:fill="auto" w:val="clear"/>
        </w:rPr>
        <w:t xml:space="preserve">, 74, pp. 403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409. doi: 10.1016/j.ijepes.2015.08.006.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Shone, A. and Parry, B. (2019) </w:t>
      </w:r>
      <w:r>
        <w:rPr>
          <w:rFonts w:ascii="Times New Roman" w:hAnsi="Times New Roman" w:cs="Times New Roman" w:eastAsia="Times New Roman"/>
          <w:i/>
          <w:color w:val="auto"/>
          <w:spacing w:val="0"/>
          <w:position w:val="0"/>
          <w:sz w:val="24"/>
          <w:shd w:fill="auto" w:val="clear"/>
        </w:rPr>
        <w:t xml:space="preserve">Successful event management: a practical handbook.</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Thomé, A. M. T., Scavarda, L. F. and Scavarda, A. J. (2016) “Conducting systematic literature review in operations management,” </w:t>
      </w:r>
      <w:r>
        <w:rPr>
          <w:rFonts w:ascii="Times New Roman" w:hAnsi="Times New Roman" w:cs="Times New Roman" w:eastAsia="Times New Roman"/>
          <w:i/>
          <w:color w:val="auto"/>
          <w:spacing w:val="0"/>
          <w:position w:val="0"/>
          <w:sz w:val="24"/>
          <w:shd w:fill="auto" w:val="clear"/>
        </w:rPr>
        <w:t xml:space="preserve">Production Planning &amp; Control,</w:t>
      </w:r>
      <w:r>
        <w:rPr>
          <w:rFonts w:ascii="Times New Roman" w:hAnsi="Times New Roman" w:cs="Times New Roman" w:eastAsia="Times New Roman"/>
          <w:color w:val="auto"/>
          <w:spacing w:val="0"/>
          <w:position w:val="0"/>
          <w:sz w:val="24"/>
          <w:shd w:fill="auto" w:val="clear"/>
        </w:rPr>
        <w:t xml:space="preserve"> 27(5), pp. 408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420.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Ting-Toomey, S. and Dorjee, T. (2018) </w:t>
      </w:r>
      <w:r>
        <w:rPr>
          <w:rFonts w:ascii="Times New Roman" w:hAnsi="Times New Roman" w:cs="Times New Roman" w:eastAsia="Times New Roman"/>
          <w:i/>
          <w:color w:val="auto"/>
          <w:spacing w:val="0"/>
          <w:position w:val="0"/>
          <w:sz w:val="24"/>
          <w:shd w:fill="auto" w:val="clear"/>
        </w:rPr>
        <w:t xml:space="preserve">Communicating across cultures</w:t>
      </w:r>
      <w:r>
        <w:rPr>
          <w:rFonts w:ascii="Times New Roman" w:hAnsi="Times New Roman" w:cs="Times New Roman" w:eastAsia="Times New Roman"/>
          <w:color w:val="auto"/>
          <w:spacing w:val="0"/>
          <w:position w:val="0"/>
          <w:sz w:val="24"/>
          <w:shd w:fill="auto" w:val="clear"/>
        </w:rPr>
        <w:t xml:space="preserve">. Guilford Publications.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Van Velsen, J. (2017) “The extended-case method and situational analysis,” </w:t>
      </w:r>
      <w:r>
        <w:rPr>
          <w:rFonts w:ascii="Times New Roman" w:hAnsi="Times New Roman" w:cs="Times New Roman" w:eastAsia="Times New Roman"/>
          <w:i/>
          <w:color w:val="auto"/>
          <w:spacing w:val="0"/>
          <w:position w:val="0"/>
          <w:sz w:val="24"/>
          <w:shd w:fill="auto" w:val="clear"/>
        </w:rPr>
        <w:t xml:space="preserve">In The craft of social anthropology, </w:t>
      </w:r>
      <w:r>
        <w:rPr>
          <w:rFonts w:ascii="Times New Roman" w:hAnsi="Times New Roman" w:cs="Times New Roman" w:eastAsia="Times New Roman"/>
          <w:color w:val="auto"/>
          <w:spacing w:val="0"/>
          <w:position w:val="0"/>
          <w:sz w:val="24"/>
          <w:shd w:fill="auto" w:val="clear"/>
        </w:rPr>
        <w:t xml:space="preserve">pp. 129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150.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Wolf, C. and Floyd, S. W. (2017) “planning research: Toward a theory-driven agenda,” </w:t>
      </w:r>
      <w:r>
        <w:rPr>
          <w:rFonts w:ascii="Times New Roman" w:hAnsi="Times New Roman" w:cs="Times New Roman" w:eastAsia="Times New Roman"/>
          <w:i/>
          <w:color w:val="auto"/>
          <w:spacing w:val="0"/>
          <w:position w:val="0"/>
          <w:sz w:val="24"/>
          <w:shd w:fill="auto" w:val="clear"/>
        </w:rPr>
        <w:t xml:space="preserve">Journal of management</w:t>
      </w:r>
      <w:r>
        <w:rPr>
          <w:rFonts w:ascii="Times New Roman" w:hAnsi="Times New Roman" w:cs="Times New Roman" w:eastAsia="Times New Roman"/>
          <w:color w:val="auto"/>
          <w:spacing w:val="0"/>
          <w:position w:val="0"/>
          <w:sz w:val="24"/>
          <w:shd w:fill="auto" w:val="clear"/>
        </w:rPr>
        <w:t xml:space="preserve">, 43(6), pp. 1754</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1788.</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3">
    <w:abstractNumId w:val="6"/>
  </w:num>
  <w:num w:numId="1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lyyti.com/en/blog/introducing-the-event-cycle-the-core-of-event-success-management"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www.eventbrite.com/blog/event-life-cycle-ds00/" Id="docRId2" Type="http://schemas.openxmlformats.org/officeDocument/2006/relationships/hyperlink" /><Relationship Target="numbering.xml" Id="docRId4" Type="http://schemas.openxmlformats.org/officeDocument/2006/relationships/numbering" /></Relationships>
</file>