
<file path=[Content_Types].xml><?xml version="1.0" encoding="utf-8"?>
<Types xmlns="http://schemas.openxmlformats.org/package/2006/content-types">
  <Default Extension="xml" ContentType="application/xml"/>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AF6179D">
      <w:pPr>
        <w:pStyle w:val="31"/>
        <w:spacing w:after="240"/>
        <w:jc w:val="center"/>
        <w:rPr>
          <w:rFonts w:hint="default" w:eastAsia="宋体"/>
          <w:lang w:val="en-US" w:eastAsia="zh-CN"/>
        </w:rPr>
      </w:pPr>
      <w:bookmarkStart w:id="0" w:name="_GoBack"/>
      <w:bookmarkEnd w:id="0"/>
      <w:r>
        <w:rPr>
          <w:rFonts w:hint="eastAsia" w:eastAsia="宋体"/>
          <w:lang w:val="en-US" w:eastAsia="zh-CN"/>
        </w:rPr>
        <w:t>From Participatory Public Art to Socially Engaged Spatial Practice: Durability, Transferability and an Adaptive Framework for China</w:t>
      </w:r>
    </w:p>
    <w:p w14:paraId="6CE6F3A4">
      <w:pPr>
        <w:pStyle w:val="3"/>
      </w:pPr>
      <w:r>
        <w:t>Abstract</w:t>
      </w:r>
    </w:p>
    <w:p w14:paraId="6464E266">
      <w:pPr>
        <w:pStyle w:val="19"/>
        <w:spacing w:after="120" w:line="360" w:lineRule="auto"/>
        <w:ind w:firstLine="425"/>
      </w:pPr>
      <w:r>
        <w:t xml:space="preserve"> </w:t>
      </w:r>
      <w:r>
        <w:rPr>
          <w:rFonts w:hint="default" w:ascii="Times New Roman" w:hAnsi="Times New Roman" w:eastAsia="Calibri" w:cs="Times New Roman"/>
          <w:color w:val="000000"/>
          <w:sz w:val="24"/>
          <w:szCs w:val="24"/>
        </w:rPr>
        <w:t>This article explores how socially engaged art may be translated into durable spatial experience and developed into a transferable model across different institutional and community contexts in China.The article argues that the decisive methodological problem in socially engaged art is not how to generate participation in itself, but how to convert social interaction, memory, concern, and collaboration into spatial forms that can sustain public experience beyond the event and travel, with adaptation, across sites. The first half of the article critically reviews literature on new genre public art, socially engaged art, public pedagogy, cultural governance, and practice-based research. Rather than summarising this literature descriptively, the review reorganises it around a cluster of unresolved questions concerning durability, transferability, institutional stewardship, evaluative criteria, and cross-cultural translation. The second half proposes a practice-integrated research design centred on comparative case analysis, future practice experiments, semi-structured interviews, observation, documentary analysis, reflexive journaling, and thematic analysis. At the present stage, qualitative inquiry provides the primary methodological logic because it is best suited to the relational, contextual, and processual dimensions of the problem; however, this framing does not foreclose the later addition of other methods where they become analytically necessary. The article contends that such a design is especially suited to a wicked problem in which artistic, pedagogical, spatial, ethical, and organisational questions are structurally entangled. Its intended contribution is not a universal formula for socially engaged art, but an adaptive framework that may assist artists, institutions, and communities in developing context-sensitive yet transferable models of socially engaged spatial practice. In doing so, the article also argues that the value of socially engaged art should be judged less by the intensity of temporary activation than by its capacity to reorganise relations among space, learning, stewardship, and public encounter over time.</w:t>
      </w:r>
    </w:p>
    <w:p w14:paraId="24E297D6">
      <w:pPr>
        <w:pStyle w:val="3"/>
      </w:pPr>
      <w:r>
        <w:t>1. Introduction</w:t>
      </w:r>
    </w:p>
    <w:p w14:paraId="48A44A8D">
      <w:pPr>
        <w:pStyle w:val="19"/>
        <w:spacing w:after="120" w:line="360" w:lineRule="auto"/>
        <w:ind w:firstLine="425"/>
      </w:pPr>
      <w:r>
        <w:t>For many publics, aesthetic learning still arrives through formal education, museum display, and other modes of spectatorship rather than through sustained co-creative practice embedded in everyday settings (Hochtritt et al., 2018; Hansson and Öhman, 2022). This matters not only because access to aesthetic experience remains uneven, but because the pedagogical form of such access is often restricted: art is encountered as something to be viewed, interpreted, or consumed after it has already been made. In contrast, new genre public art and related forms of socially engaged practice suggest that aesthetic learning can be relocated into the civic sphere, where art becomes a medium through which residents, institutions, and local issues are brought into relation (Lacy, 1994; Kwon, 2002). Such a shift matters intellectually as well as socially, because it redefines the artwork not as the endpoint of a process but as a site through which publicness, learning, and spatial experience may be produced together.</w:t>
      </w:r>
    </w:p>
    <w:p w14:paraId="082D9D96">
      <w:pPr>
        <w:pStyle w:val="19"/>
        <w:spacing w:after="120" w:line="360" w:lineRule="auto"/>
        <w:ind w:firstLine="425"/>
      </w:pPr>
      <w:r>
        <w:t>Yet this proposition cannot be accepted uncritically. Participatory projects frequently succeed in generating discussion, temporary encounters, workshops, or short-lived forms of collective attention, while failing to produce durable spatial effects, sustained public experience, or methods that can be adapted across sites (Bishop, 2012; Sharp, Pollock and Paddison, 2005; Zebracki, Van der Vaart and Van Aalst, 2010). In other words, participation often appears as an event without becoming an infrastructure. If that diagnosis is correct, then the key methodological challenge is not simply how to organise participation, but how to translate participatory processes into spatial experience and, further, how to articulate a framework that remains transferable without collapsing into formula.</w:t>
      </w:r>
    </w:p>
    <w:p w14:paraId="6FEA038F">
      <w:pPr>
        <w:pStyle w:val="19"/>
        <w:spacing w:after="120" w:line="360" w:lineRule="auto"/>
        <w:ind w:firstLine="425"/>
      </w:pPr>
      <w:r>
        <w:t>This problem is especially significant for my longer-term research ambitions in relation to China. I am interested in whether new forms of participatory public art could extend aesthetic education beyond schools and museums and into communities more directly, while also engaging local issues such as urban renewal, environmental concern, ageing, wellbeing, and other site-specific questions. Such an ambition is not equivalent to importing a Western model whole. It requires careful attention to cultural strategy, institutional mediation, and the specific conditions under which public art is legitimised, managed, and experienced in Chinese contexts (White and Xu, 2012; Shan, 2014; Zheng, 2019; Li, 2024). It also requires methodological restraint: I am not claiming that a single framework could simply be imposed across sites. Rather, I am asking whether a transferable but adaptive structure can be developed that helps different institutions and communities think through how participation might become spatially and pedagogically consequential.</w:t>
      </w:r>
    </w:p>
    <w:p w14:paraId="7D44E477">
      <w:pPr>
        <w:pStyle w:val="19"/>
        <w:spacing w:after="120" w:line="360" w:lineRule="auto"/>
        <w:ind w:firstLine="425"/>
      </w:pPr>
      <w:r>
        <w:t>This article has two linked objectives. First, it offers a critical literature review that establishes the conceptual, methodological, and cross-cultural conditions under which my research problem becomes both necessary and intelligible. Second, it proposes a research design centred on qualitative inquiry, comparative case analysis, and future practice experiments that will be mutually informing rather than artificially separated. The practical component is written throughout as a plan, not as a completed body of evidence.</w:t>
      </w:r>
    </w:p>
    <w:p w14:paraId="45249D8B">
      <w:pPr>
        <w:pStyle w:val="19"/>
        <w:spacing w:after="120" w:line="360" w:lineRule="auto"/>
        <w:ind w:firstLine="425"/>
      </w:pPr>
      <w:r>
        <w:t>The article argues that participatory public art should not be evaluated solely by whether it generates participation, dialogue, or temporary social interaction. More fundamentally, it should be examined in terms of whether, and under what conditions, participatory processes can be translated into spatial experience and developed into transferable yet adaptive models for different sites (Bishop, 2012; Zebracki, 2013; Belfiore, 2022). On that basis, I propose a four-dimensional framework organised around issue framing, participation design, spatial translation, and site adaptability and management. This framework does not aim to produce a universal formula. Rather, it is intended as an analytical and practical structure through which future cases and experiments may be compared, tested, and refined. The wager of the project is therefore methodological as much as artistic: if participatory public art is to move beyond one-off exemplarity, the field needs stronger mid-range concepts capable of connecting singular cases to repeatable institutional learning without flattening local difference.</w:t>
      </w:r>
    </w:p>
    <w:p w14:paraId="09C0DD68">
      <w:pPr>
        <w:pStyle w:val="3"/>
      </w:pPr>
      <w:r>
        <w:t>2. Critical literature review</w:t>
      </w:r>
    </w:p>
    <w:p w14:paraId="44F9711E">
      <w:pPr>
        <w:pStyle w:val="4"/>
      </w:pPr>
      <w:r>
        <w:t>2.1 Reframing public art: from object to socially engaged publicness</w:t>
      </w:r>
    </w:p>
    <w:p w14:paraId="636685C6">
      <w:pPr>
        <w:pStyle w:val="19"/>
        <w:spacing w:after="120" w:line="360" w:lineRule="auto"/>
        <w:ind w:firstLine="425"/>
      </w:pPr>
      <w:r>
        <w:t>Any convincing research design for my project must begin by clarifying what kind of public art is at stake. A substantial body of literature has demonstrated that public art is not a stable category reducible to sculpture placed in outdoor space. Earlier debates already questioned whether public art should be defined by location alone. Hein (1996), for example, argued that public art cannot be understood adequately without attention to time, place and meaning, while Hall and Robertson (2001) showed that claims made for public art in urban regeneration often oscillate between civic aspiration and untested advocacy. These interventions matter because they reveal that the term 'public art' has long carried competing expectations: aesthetic enhancement, symbolic visibility, civic legitimation, urban branding and social benefit (Hall and Robertson, 2001; Sharp, Pollock and Paddison, 2005; Zebracki, Van der Vaart and Van Aalst, 2010).</w:t>
      </w:r>
    </w:p>
    <w:p w14:paraId="137DDE37">
      <w:pPr>
        <w:pStyle w:val="19"/>
        <w:spacing w:after="120" w:line="360" w:lineRule="auto"/>
        <w:ind w:firstLine="425"/>
      </w:pPr>
      <w:r>
        <w:t>The shift most relevant to my own research was articulated powerfully through Lacy’s notion of 'new genre public art'. In Mapping the Terrain, public art is no longer treated as a self-contained object installed in public space; it is reframed as a practice involving direct engagement with contemporary social issues and with diverse publics (Lacy, 1994). Kwon’s account of site specificity further complicates simplistic understandings of place by showing how art practices moved from phenomenological attachment to physical location towards social, discursive and institutional definitions of site (Kwon, 2002). Taken together, these literatures establish an important consensus: publicness is not secured simply by placing art outdoors or by increasing visibility. It is produced through relations among site, discourse, audience, institutional framing and social meaning (Kwon, 2002; Zebracki, 2013). This is precisely why object-centred accounts of public art are insufficient for my project. Once site is understood as discursive and institutional as well as physical, the relevant research unit is no longer the artwork alone but the assemblage through which publics are convened, addressed, and materially situated.</w:t>
      </w:r>
    </w:p>
    <w:p w14:paraId="7D96EEB9">
      <w:pPr>
        <w:pStyle w:val="19"/>
        <w:spacing w:after="120" w:line="360" w:lineRule="auto"/>
        <w:ind w:firstLine="425"/>
      </w:pPr>
      <w:r>
        <w:t>That consensus supports my project, but it does not settle it. Once public art is understood as socially situated and relational, the research problem shifts from identifying whether a work is 'public' to examining how publicness is produced, for whom, through which mediations, and with what degree of durability. This shift is decisive for my study because I am not interested in participation as an abstract virtue. I am interested in whether participatory public art can be translated into spatial experience that persists beyond the event and whether such translation can become transferable across different settings without losing cultural specificity. In that sense, my project treats publicness not as a label but as a practical achievement whose success or fragility must be analysed rather than assumed.</w:t>
      </w:r>
    </w:p>
    <w:p w14:paraId="76522E91">
      <w:pPr>
        <w:pStyle w:val="4"/>
      </w:pPr>
      <w:r>
        <w:t>2.2 Participation as promise and problem</w:t>
      </w:r>
    </w:p>
    <w:p w14:paraId="2C59E756">
      <w:pPr>
        <w:pStyle w:val="19"/>
        <w:spacing w:after="120" w:line="360" w:lineRule="auto"/>
        <w:ind w:firstLine="425"/>
      </w:pPr>
      <w:r>
        <w:t>Once public art is understood relationally, participation appears as both promise and problem. One strand of literature values socially engaged art because it opens dialogical forms of exchange that exceed the passive viewing relation. Kester (2004) is foundational here: his account of dialogical aesthetics insists that conversation, listening and co-produced meaning are not supplementary to the artwork but may constitute its aesthetic and ethical substance. Kester’s later work extends this emphasis by treating collaborative art as a field of situated negotiation rather than a single formal genre (Kester, 2011). This perspective is deeply relevant to my own interest in moving aesthetic education beyond spectatorship. If publics are enabled to speak, shape, interpret and negotiate, then art can become a mode of learning that is simultaneously sensory, social and reflective. Yet the strength of this tradition is also its limit. Its emphasis on dialogical transformation can make it difficult to specify how such transformation is held, materially or institutionally, once the dialogical situation disperses.</w:t>
      </w:r>
    </w:p>
    <w:p w14:paraId="31DFA3DD">
      <w:pPr>
        <w:pStyle w:val="19"/>
        <w:spacing w:after="120" w:line="360" w:lineRule="auto"/>
        <w:ind w:firstLine="425"/>
      </w:pPr>
      <w:r>
        <w:t>Yet participation has also been subjected to decisive critique. Bishop (2012) warns against equating participation with moral good and argues that collaborative or socially engaged art should not be exempt from political or aesthetic scrutiny simply because it appears inclusive. Her critique matters because it prevents my own project from collapsing into a celebratory discourse of community engagement. A participatory process may be warm, dialogical and institutionally attractive while still remaining superficial, depoliticised or too dependent on temporary enthusiasm; the broader urban literature on public art and social inclusion has made similar warnings about over-claimed civic benefit and under-examined social effects (Sharp, Pollock and Paddison, 2005; Zebracki, Van der Vaart and Van Aalst, 2010). Participation, then, is not an endpoint. It is a contested field in which questions of authorship, conflict, representation, value and judgement remain open. For my purposes, Bishop’s intervention is less a rejection of participation than a warning against weak evaluation. It underlines why any serious framework must ask not only who took part, but what was spatially, pedagogically, and organisationally changed by that participation.</w:t>
      </w:r>
    </w:p>
    <w:p w14:paraId="1258E4AC">
      <w:pPr>
        <w:pStyle w:val="19"/>
        <w:spacing w:after="120" w:line="360" w:lineRule="auto"/>
        <w:ind w:firstLine="425"/>
      </w:pPr>
      <w:r>
        <w:t>This tension between dialogical ethics and critical scrutiny is productive for my research. I do not need to resolve the Kester/Bishop debate by simply choosing one side. What matters is the problem it reveals: participation is not a stable evaluative category. It can name generosity, collaboration, and learning; it can also conceal uneven authorship, weak aftercare, or the inflation of temporary encounter into public value. My project therefore proceeds from a more demanding premise: participation only becomes analytically meaningful when examined together with its spatial consequences, institutional supports, and longer-term forms of public experience (Jackson, 2011; Belfiore, 2022).</w:t>
      </w:r>
    </w:p>
    <w:p w14:paraId="68D1E888">
      <w:pPr>
        <w:pStyle w:val="19"/>
        <w:spacing w:after="120" w:line="360" w:lineRule="auto"/>
        <w:ind w:firstLine="425"/>
      </w:pPr>
    </w:p>
    <w:p w14:paraId="5E76D3F9">
      <w:pPr>
        <w:pStyle w:val="19"/>
        <w:spacing w:after="120" w:line="360" w:lineRule="auto"/>
        <w:ind w:firstLine="425"/>
      </w:pPr>
    </w:p>
    <w:p w14:paraId="22469DC4">
      <w:pPr>
        <w:pStyle w:val="19"/>
        <w:spacing w:after="120" w:line="360" w:lineRule="auto"/>
        <w:ind w:firstLine="425"/>
      </w:pPr>
    </w:p>
    <w:p w14:paraId="56B2D646">
      <w:pPr>
        <w:pStyle w:val="19"/>
        <w:spacing w:after="120" w:line="360" w:lineRule="auto"/>
        <w:ind w:firstLine="425"/>
      </w:pPr>
    </w:p>
    <w:tbl>
      <w:tblPr>
        <w:tblStyle w:val="32"/>
        <w:tblW w:w="0" w:type="auto"/>
        <w:jc w:val="center"/>
        <w:tblCellSpacing w:w="15"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1267"/>
        <w:gridCol w:w="1920"/>
        <w:gridCol w:w="1912"/>
        <w:gridCol w:w="2121"/>
        <w:gridCol w:w="2276"/>
      </w:tblGrid>
      <w:tr w14:paraId="25A5663C">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Header/>
          <w:tblCellSpacing w:w="15" w:type="dxa"/>
          <w:jc w:val="center"/>
        </w:trPr>
        <w:tc>
          <w:tcPr>
            <w:tcW w:w="1468"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24384F"/>
            <w:vAlign w:val="center"/>
          </w:tcPr>
          <w:p w14:paraId="3FBE8B8A">
            <w:pPr>
              <w:spacing w:before="0" w:after="0" w:line="240" w:lineRule="auto"/>
            </w:pPr>
            <w:r>
              <w:rPr>
                <w:rFonts w:ascii="Times New Roman" w:hAnsi="Times New Roman" w:eastAsia="Times New Roman"/>
                <w:b/>
                <w:color w:val="FFFFFF"/>
                <w:sz w:val="14"/>
              </w:rPr>
              <w:t>Debate area</w:t>
            </w:r>
          </w:p>
        </w:tc>
        <w:tc>
          <w:tcPr>
            <w:tcW w:w="1699"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24384F"/>
            <w:vAlign w:val="center"/>
          </w:tcPr>
          <w:p w14:paraId="0D9D93E8">
            <w:pPr>
              <w:spacing w:before="0" w:after="0" w:line="240" w:lineRule="auto"/>
            </w:pPr>
            <w:r>
              <w:rPr>
                <w:rFonts w:ascii="Times New Roman" w:hAnsi="Times New Roman" w:eastAsia="Times New Roman"/>
                <w:b/>
                <w:color w:val="FFFFFF"/>
                <w:sz w:val="14"/>
              </w:rPr>
              <w:t>Position 1</w:t>
            </w:r>
          </w:p>
        </w:tc>
        <w:tc>
          <w:tcPr>
            <w:tcW w:w="1944"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24384F"/>
            <w:vAlign w:val="center"/>
          </w:tcPr>
          <w:p w14:paraId="41164AF9">
            <w:pPr>
              <w:spacing w:before="0" w:after="0" w:line="240" w:lineRule="auto"/>
            </w:pPr>
            <w:r>
              <w:rPr>
                <w:rFonts w:ascii="Times New Roman" w:hAnsi="Times New Roman" w:eastAsia="Times New Roman"/>
                <w:b/>
                <w:color w:val="FFFFFF"/>
                <w:sz w:val="14"/>
              </w:rPr>
              <w:t>Position 2</w:t>
            </w:r>
          </w:p>
        </w:tc>
        <w:tc>
          <w:tcPr>
            <w:tcW w:w="2131"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24384F"/>
            <w:vAlign w:val="center"/>
          </w:tcPr>
          <w:p w14:paraId="1101C38F">
            <w:pPr>
              <w:spacing w:before="0" w:after="0" w:line="240" w:lineRule="auto"/>
            </w:pPr>
            <w:r>
              <w:rPr>
                <w:rFonts w:ascii="Times New Roman" w:hAnsi="Times New Roman" w:eastAsia="Times New Roman"/>
                <w:b/>
                <w:color w:val="FFFFFF"/>
                <w:sz w:val="14"/>
              </w:rPr>
              <w:t>Analytical value</w:t>
            </w:r>
          </w:p>
        </w:tc>
        <w:tc>
          <w:tcPr>
            <w:tcW w:w="2160"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24384F"/>
            <w:vAlign w:val="center"/>
          </w:tcPr>
          <w:p w14:paraId="2E1D46CC">
            <w:pPr>
              <w:spacing w:before="0" w:after="0" w:line="240" w:lineRule="auto"/>
            </w:pPr>
            <w:r>
              <w:rPr>
                <w:rFonts w:ascii="Times New Roman" w:hAnsi="Times New Roman" w:eastAsia="Times New Roman"/>
                <w:b/>
                <w:color w:val="FFFFFF"/>
                <w:sz w:val="14"/>
              </w:rPr>
              <w:t>Remaining problem</w:t>
            </w:r>
          </w:p>
        </w:tc>
      </w:tr>
      <w:tr w14:paraId="239C715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jc w:val="center"/>
        </w:trPr>
        <w:tc>
          <w:tcPr>
            <w:tcW w:w="1468"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5AF5CD35">
            <w:pPr>
              <w:spacing w:before="0" w:after="0" w:line="240" w:lineRule="auto"/>
            </w:pPr>
            <w:r>
              <w:rPr>
                <w:rFonts w:ascii="Times New Roman" w:hAnsi="Times New Roman" w:eastAsia="Times New Roman"/>
                <w:b/>
                <w:color w:val="24384F"/>
                <w:sz w:val="14"/>
              </w:rPr>
              <w:t>Meaning of public art</w:t>
            </w:r>
          </w:p>
        </w:tc>
        <w:tc>
          <w:tcPr>
            <w:tcW w:w="1699"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65CD3154">
            <w:pPr>
              <w:spacing w:before="0" w:after="0" w:line="240" w:lineRule="auto"/>
            </w:pPr>
            <w:r>
              <w:rPr>
                <w:rFonts w:ascii="Times New Roman" w:hAnsi="Times New Roman" w:eastAsia="Times New Roman"/>
                <w:color w:val="262626"/>
                <w:sz w:val="14"/>
              </w:rPr>
              <w:t>Object in public space</w:t>
            </w:r>
          </w:p>
        </w:tc>
        <w:tc>
          <w:tcPr>
            <w:tcW w:w="1944"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1A68E48D">
            <w:pPr>
              <w:spacing w:before="0" w:after="0" w:line="240" w:lineRule="auto"/>
            </w:pPr>
            <w:r>
              <w:rPr>
                <w:rFonts w:ascii="Times New Roman" w:hAnsi="Times New Roman" w:eastAsia="Times New Roman"/>
                <w:color w:val="262626"/>
                <w:sz w:val="14"/>
              </w:rPr>
              <w:t>Socially engaged relational practice</w:t>
            </w:r>
          </w:p>
        </w:tc>
        <w:tc>
          <w:tcPr>
            <w:tcW w:w="2131"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54655A63">
            <w:pPr>
              <w:spacing w:before="0" w:after="0" w:line="240" w:lineRule="auto"/>
            </w:pPr>
            <w:r>
              <w:rPr>
                <w:rFonts w:ascii="Times New Roman" w:hAnsi="Times New Roman" w:eastAsia="Times New Roman"/>
                <w:color w:val="262626"/>
                <w:sz w:val="14"/>
              </w:rPr>
              <w:t>Explains the shift beyond monumental / decorative forms</w:t>
            </w:r>
          </w:p>
        </w:tc>
        <w:tc>
          <w:tcPr>
            <w:tcW w:w="2160"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2605627B">
            <w:pPr>
              <w:spacing w:before="0" w:after="0" w:line="240" w:lineRule="auto"/>
            </w:pPr>
            <w:r>
              <w:rPr>
                <w:rFonts w:ascii="Times New Roman" w:hAnsi="Times New Roman" w:eastAsia="Times New Roman"/>
                <w:color w:val="262626"/>
                <w:sz w:val="14"/>
              </w:rPr>
              <w:t>How publicness is sustained after participation ends</w:t>
            </w:r>
          </w:p>
        </w:tc>
      </w:tr>
      <w:tr w14:paraId="23B35C7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jc w:val="center"/>
        </w:trPr>
        <w:tc>
          <w:tcPr>
            <w:tcW w:w="1468"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42751029">
            <w:pPr>
              <w:spacing w:before="0" w:after="0" w:line="240" w:lineRule="auto"/>
            </w:pPr>
            <w:r>
              <w:rPr>
                <w:rFonts w:ascii="Times New Roman" w:hAnsi="Times New Roman" w:eastAsia="Times New Roman"/>
                <w:b/>
                <w:color w:val="24384F"/>
                <w:sz w:val="14"/>
              </w:rPr>
              <w:t>Value of participation</w:t>
            </w:r>
          </w:p>
        </w:tc>
        <w:tc>
          <w:tcPr>
            <w:tcW w:w="1699"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36859242">
            <w:pPr>
              <w:spacing w:before="0" w:after="0" w:line="240" w:lineRule="auto"/>
            </w:pPr>
            <w:r>
              <w:rPr>
                <w:rFonts w:ascii="Times New Roman" w:hAnsi="Times New Roman" w:eastAsia="Times New Roman"/>
                <w:color w:val="262626"/>
                <w:sz w:val="14"/>
              </w:rPr>
              <w:t>Dialogue, inclusion and mutual learning</w:t>
            </w:r>
          </w:p>
        </w:tc>
        <w:tc>
          <w:tcPr>
            <w:tcW w:w="1944"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64710398">
            <w:pPr>
              <w:spacing w:before="0" w:after="0" w:line="240" w:lineRule="auto"/>
            </w:pPr>
            <w:r>
              <w:rPr>
                <w:rFonts w:ascii="Times New Roman" w:hAnsi="Times New Roman" w:eastAsia="Times New Roman"/>
                <w:color w:val="262626"/>
                <w:sz w:val="14"/>
              </w:rPr>
              <w:t>Conflict, tension and critical encounter</w:t>
            </w:r>
          </w:p>
        </w:tc>
        <w:tc>
          <w:tcPr>
            <w:tcW w:w="2131"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3F41C675">
            <w:pPr>
              <w:spacing w:before="0" w:after="0" w:line="240" w:lineRule="auto"/>
            </w:pPr>
            <w:r>
              <w:rPr>
                <w:rFonts w:ascii="Times New Roman" w:hAnsi="Times New Roman" w:eastAsia="Times New Roman"/>
                <w:color w:val="262626"/>
                <w:sz w:val="14"/>
              </w:rPr>
              <w:t>Prevents participation from becoming a single moral category</w:t>
            </w:r>
          </w:p>
        </w:tc>
        <w:tc>
          <w:tcPr>
            <w:tcW w:w="2160"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2073A49F">
            <w:pPr>
              <w:spacing w:before="0" w:after="0" w:line="240" w:lineRule="auto"/>
            </w:pPr>
            <w:r>
              <w:rPr>
                <w:rFonts w:ascii="Times New Roman" w:hAnsi="Times New Roman" w:eastAsia="Times New Roman"/>
                <w:color w:val="262626"/>
                <w:sz w:val="14"/>
              </w:rPr>
              <w:t>How interaction becomes durable public value</w:t>
            </w:r>
          </w:p>
        </w:tc>
      </w:tr>
      <w:tr w14:paraId="5988109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jc w:val="center"/>
        </w:trPr>
        <w:tc>
          <w:tcPr>
            <w:tcW w:w="1468"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50563C22">
            <w:pPr>
              <w:spacing w:before="0" w:after="0" w:line="240" w:lineRule="auto"/>
            </w:pPr>
            <w:r>
              <w:rPr>
                <w:rFonts w:ascii="Times New Roman" w:hAnsi="Times New Roman" w:eastAsia="Times New Roman"/>
                <w:b/>
                <w:color w:val="24384F"/>
                <w:sz w:val="14"/>
              </w:rPr>
              <w:t>Site specificity</w:t>
            </w:r>
          </w:p>
        </w:tc>
        <w:tc>
          <w:tcPr>
            <w:tcW w:w="1699"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5FA72E69">
            <w:pPr>
              <w:spacing w:before="0" w:after="0" w:line="240" w:lineRule="auto"/>
            </w:pPr>
            <w:r>
              <w:rPr>
                <w:rFonts w:ascii="Times New Roman" w:hAnsi="Times New Roman" w:eastAsia="Times New Roman"/>
                <w:color w:val="262626"/>
                <w:sz w:val="14"/>
              </w:rPr>
              <w:t>Meaning derives from local conditions</w:t>
            </w:r>
          </w:p>
        </w:tc>
        <w:tc>
          <w:tcPr>
            <w:tcW w:w="1944"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68BDE922">
            <w:pPr>
              <w:spacing w:before="0" w:after="0" w:line="240" w:lineRule="auto"/>
            </w:pPr>
            <w:r>
              <w:rPr>
                <w:rFonts w:ascii="Times New Roman" w:hAnsi="Times New Roman" w:eastAsia="Times New Roman"/>
                <w:color w:val="262626"/>
                <w:sz w:val="14"/>
              </w:rPr>
              <w:t>Frameworks can travel through adaptation</w:t>
            </w:r>
          </w:p>
        </w:tc>
        <w:tc>
          <w:tcPr>
            <w:tcW w:w="2131"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5EE1F42E">
            <w:pPr>
              <w:spacing w:before="0" w:after="0" w:line="240" w:lineRule="auto"/>
            </w:pPr>
            <w:r>
              <w:rPr>
                <w:rFonts w:ascii="Times New Roman" w:hAnsi="Times New Roman" w:eastAsia="Times New Roman"/>
                <w:color w:val="262626"/>
                <w:sz w:val="14"/>
              </w:rPr>
              <w:t>Shows why context matters without blocking comparison</w:t>
            </w:r>
          </w:p>
        </w:tc>
        <w:tc>
          <w:tcPr>
            <w:tcW w:w="2160"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20681350">
            <w:pPr>
              <w:spacing w:before="0" w:after="0" w:line="240" w:lineRule="auto"/>
            </w:pPr>
            <w:r>
              <w:rPr>
                <w:rFonts w:ascii="Times New Roman" w:hAnsi="Times New Roman" w:eastAsia="Times New Roman"/>
                <w:color w:val="262626"/>
                <w:sz w:val="14"/>
              </w:rPr>
              <w:t>How to balance situatedness and transferability</w:t>
            </w:r>
          </w:p>
        </w:tc>
      </w:tr>
      <w:tr w14:paraId="7CFF894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jc w:val="center"/>
        </w:trPr>
        <w:tc>
          <w:tcPr>
            <w:tcW w:w="1468"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7D85640F">
            <w:pPr>
              <w:spacing w:before="0" w:after="0" w:line="240" w:lineRule="auto"/>
            </w:pPr>
            <w:r>
              <w:rPr>
                <w:rFonts w:ascii="Times New Roman" w:hAnsi="Times New Roman" w:eastAsia="Times New Roman"/>
                <w:b/>
                <w:color w:val="24384F"/>
                <w:sz w:val="14"/>
              </w:rPr>
              <w:t>Art and research</w:t>
            </w:r>
          </w:p>
        </w:tc>
        <w:tc>
          <w:tcPr>
            <w:tcW w:w="1699"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5993779F">
            <w:pPr>
              <w:spacing w:before="0" w:after="0" w:line="240" w:lineRule="auto"/>
            </w:pPr>
            <w:r>
              <w:rPr>
                <w:rFonts w:ascii="Times New Roman" w:hAnsi="Times New Roman" w:eastAsia="Times New Roman"/>
                <w:color w:val="262626"/>
                <w:sz w:val="14"/>
              </w:rPr>
              <w:t>Practice produces situated knowledge</w:t>
            </w:r>
          </w:p>
        </w:tc>
        <w:tc>
          <w:tcPr>
            <w:tcW w:w="1944"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368F94B6">
            <w:pPr>
              <w:spacing w:before="0" w:after="0" w:line="240" w:lineRule="auto"/>
            </w:pPr>
            <w:r>
              <w:rPr>
                <w:rFonts w:ascii="Times New Roman" w:hAnsi="Times New Roman" w:eastAsia="Times New Roman"/>
                <w:color w:val="262626"/>
                <w:sz w:val="14"/>
              </w:rPr>
              <w:t>Practice still requires explicit method</w:t>
            </w:r>
          </w:p>
        </w:tc>
        <w:tc>
          <w:tcPr>
            <w:tcW w:w="2131"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04C52C08">
            <w:pPr>
              <w:spacing w:before="0" w:after="0" w:line="240" w:lineRule="auto"/>
            </w:pPr>
            <w:r>
              <w:rPr>
                <w:rFonts w:ascii="Times New Roman" w:hAnsi="Times New Roman" w:eastAsia="Times New Roman"/>
                <w:color w:val="262626"/>
                <w:sz w:val="14"/>
              </w:rPr>
              <w:t>Legitimises practice-based inquiry in art and design</w:t>
            </w:r>
          </w:p>
        </w:tc>
        <w:tc>
          <w:tcPr>
            <w:tcW w:w="2160"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24AF6A02">
            <w:pPr>
              <w:spacing w:before="0" w:after="0" w:line="240" w:lineRule="auto"/>
            </w:pPr>
            <w:r>
              <w:rPr>
                <w:rFonts w:ascii="Times New Roman" w:hAnsi="Times New Roman" w:eastAsia="Times New Roman"/>
                <w:color w:val="262626"/>
                <w:sz w:val="14"/>
              </w:rPr>
              <w:t>How practice, data and analysis are integrated</w:t>
            </w:r>
          </w:p>
        </w:tc>
      </w:tr>
      <w:tr w14:paraId="579B995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jc w:val="center"/>
        </w:trPr>
        <w:tc>
          <w:tcPr>
            <w:tcW w:w="1468"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1FC18776">
            <w:pPr>
              <w:spacing w:before="0" w:after="0" w:line="240" w:lineRule="auto"/>
            </w:pPr>
            <w:r>
              <w:rPr>
                <w:rFonts w:ascii="Times New Roman" w:hAnsi="Times New Roman" w:eastAsia="Times New Roman"/>
                <w:b/>
                <w:color w:val="24384F"/>
                <w:sz w:val="14"/>
              </w:rPr>
              <w:t>Project success</w:t>
            </w:r>
          </w:p>
        </w:tc>
        <w:tc>
          <w:tcPr>
            <w:tcW w:w="1699"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665C0D03">
            <w:pPr>
              <w:spacing w:before="0" w:after="0" w:line="240" w:lineRule="auto"/>
            </w:pPr>
            <w:r>
              <w:rPr>
                <w:rFonts w:ascii="Times New Roman" w:hAnsi="Times New Roman" w:eastAsia="Times New Roman"/>
                <w:color w:val="262626"/>
                <w:sz w:val="14"/>
              </w:rPr>
              <w:t>Event activation and participation numbers</w:t>
            </w:r>
          </w:p>
        </w:tc>
        <w:tc>
          <w:tcPr>
            <w:tcW w:w="1944"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474ACC78">
            <w:pPr>
              <w:spacing w:before="0" w:after="0" w:line="240" w:lineRule="auto"/>
            </w:pPr>
            <w:r>
              <w:rPr>
                <w:rFonts w:ascii="Times New Roman" w:hAnsi="Times New Roman" w:eastAsia="Times New Roman"/>
                <w:color w:val="262626"/>
                <w:sz w:val="14"/>
              </w:rPr>
              <w:t>Care, stewardship and spatial continuity</w:t>
            </w:r>
          </w:p>
        </w:tc>
        <w:tc>
          <w:tcPr>
            <w:tcW w:w="2131"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3FB8440A">
            <w:pPr>
              <w:spacing w:before="0" w:after="0" w:line="240" w:lineRule="auto"/>
            </w:pPr>
            <w:r>
              <w:rPr>
                <w:rFonts w:ascii="Times New Roman" w:hAnsi="Times New Roman" w:eastAsia="Times New Roman"/>
                <w:color w:val="262626"/>
                <w:sz w:val="14"/>
              </w:rPr>
              <w:t>Challenges short-term visibility as the main success metric</w:t>
            </w:r>
          </w:p>
        </w:tc>
        <w:tc>
          <w:tcPr>
            <w:tcW w:w="2160"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40417C01">
            <w:pPr>
              <w:spacing w:before="0" w:after="0" w:line="240" w:lineRule="auto"/>
            </w:pPr>
            <w:r>
              <w:rPr>
                <w:rFonts w:ascii="Times New Roman" w:hAnsi="Times New Roman" w:eastAsia="Times New Roman"/>
                <w:color w:val="262626"/>
                <w:sz w:val="14"/>
              </w:rPr>
              <w:t>How durability and maintenance should be assessed</w:t>
            </w:r>
          </w:p>
        </w:tc>
      </w:tr>
    </w:tbl>
    <w:p w14:paraId="6C6C7D17">
      <w:pPr>
        <w:pStyle w:val="15"/>
        <w:spacing w:before="60" w:after="180"/>
        <w:jc w:val="center"/>
      </w:pPr>
      <w:r>
        <w:rPr>
          <w:rFonts w:ascii="Times New Roman" w:hAnsi="Times New Roman" w:eastAsia="Times New Roman"/>
          <w:i/>
          <w:color w:val="4B5563"/>
          <w:sz w:val="18"/>
        </w:rPr>
        <w:t>Table 1. Key debates shaping the research problem.</w:t>
      </w:r>
    </w:p>
    <w:p w14:paraId="15BBE362">
      <w:pPr>
        <w:pStyle w:val="4"/>
      </w:pPr>
      <w:r>
        <w:t>2.3 Public pedagogy, aesthetic education and community access</w:t>
      </w:r>
    </w:p>
    <w:p w14:paraId="7350DC2C">
      <w:pPr>
        <w:pStyle w:val="19"/>
        <w:spacing w:after="120" w:line="360" w:lineRule="auto"/>
        <w:ind w:firstLine="425"/>
      </w:pPr>
      <w:r>
        <w:t>My project is not concerned with participation in the abstract. I am specifically interested in participation as a way of extending aesthetic education and cultural encounter beyond passive reception. Here the literature on public pedagogy is especially useful. Hochtritt et al. (2018) describe public pedagogy in arts education as learning that occurs outside formal schooling and in alternative spaces of social justice-oriented cultural inquiry. Hansson and Öhman (2022) similarly argue that museums can operate as institutionalised sites of public pedagogy rather than merely as repositories of objects. This argument expands the educational stakes of participatory public art. It suggests that artistic activity in public or semi-public environments may function not merely as outreach but as a site where knowledge, interpretation and civic imagination are produced.</w:t>
      </w:r>
    </w:p>
    <w:p w14:paraId="4332CC40">
      <w:pPr>
        <w:pStyle w:val="19"/>
        <w:spacing w:after="120" w:line="360" w:lineRule="auto"/>
        <w:ind w:firstLine="425"/>
      </w:pPr>
      <w:r>
        <w:t>Recent writing on community-engaged arts practice similarly emphasises that such work can operate pedagogically, teaching not through transmission alone but through situated making, encounter and reflection. Peters and Barnett (2024) frame community-engaged arts practice as critical pedagogy, highlighting the ways artists and participants learn through collaborative processes that are ethical, political and relational. This supports my own sense that participatory art has pedagogical potential precisely because it unsettles the boundary between aesthetic education and civic participation. However, this literature also introduces an important caution: if community-engaged practice is to function pedagogically, it cannot remain satisfied with symbolic inclusion. The learning it enables depends on whether participants can shape the process meaningfully and whether institutions are willing to adjust their own structures in response. In other words, pedagogy here is not a neutral add-on; it is bound up with power, access, and the organisation of participation itself.</w:t>
      </w:r>
    </w:p>
    <w:p w14:paraId="1DB40F2C">
      <w:pPr>
        <w:pStyle w:val="19"/>
        <w:spacing w:after="120" w:line="360" w:lineRule="auto"/>
        <w:ind w:firstLine="425"/>
      </w:pPr>
      <w:r>
        <w:t>Museum and community engagement research adds another layer. Wallen and Docherty-Hughes (2022), studying museum community engagement projects in Scotland, show that cultural participation can create long-term educational, social and self-worth legacies. This is important evidence against the assumption that cultural engagement is purely ephemeral. Yet the museum literature also indicates that access, authority and sustainability require ongoing infrastructural work rather than one-off invitation (Wallen and Docherty-Hughes, 2022; Hansson and Öhman, 2022). In my reading, this is where public pedagogy and participatory public art intersect fruitfully: both fields point to the possibility of wider aesthetic access, but both also reveal that access is mediated by institutional design, care work and long-term commitment. Therefore, my research does not simply assume that participation naturally fills a deficit in aesthetic education. It asks under what conditions participatory public art can become a robust mode of spatial and civic learning rather than a temporary educational supplement.</w:t>
      </w:r>
    </w:p>
    <w:p w14:paraId="69E4A88F">
      <w:pPr>
        <w:pStyle w:val="4"/>
      </w:pPr>
      <w:r>
        <w:t>2.4 What existing literature under-theorises: durability, transferability and institutional responsibility</w:t>
      </w:r>
    </w:p>
    <w:p w14:paraId="592F7186">
      <w:pPr>
        <w:pStyle w:val="19"/>
        <w:spacing w:after="120" w:line="360" w:lineRule="auto"/>
        <w:ind w:firstLine="425"/>
      </w:pPr>
      <w:r>
        <w:t>If one broad consensus in the field is that participation matters, one persistent weakness is that the afterlife of participation remains under-theorised. Many influential accounts excel at describing the event, the workshop, the encounter, or the social relation, yet say far less about what happens once the event is over. The result is a recurrent slippage in which temporary activation is treated as though it were already a durable form of publicness (Jackson, 2011; Belfiore, 2022). My research begins from the opposite assumption: unless participation is translated into some combination of spatial form, institutional memory, maintenance practice, pedagogical continuation, or repeatable method, its public value remains fragile and highly contingent. This is not a demand that every project leave behind a permanent object. Rather, it is a demand that the field become more precise about what, if anything, endures: a changed route through space, a new protocol for collaboration, an educational interface, a maintained installation, a renewed partnership, or a framework others can adapt.</w:t>
      </w:r>
    </w:p>
    <w:p w14:paraId="0607D41F">
      <w:pPr>
        <w:pStyle w:val="19"/>
        <w:spacing w:after="120" w:line="360" w:lineRule="auto"/>
        <w:ind w:firstLine="425"/>
      </w:pPr>
      <w:r>
        <w:t>The problem is not merely chronological. A project may last several months and still fail to become durable in conceptual or institutional terms. Durability here refers to the capacity of a practice to leave behind something more than recollection: an altered spatial relation, a reusable protocol, a changed pedagogical interface, a sustained partnership, or a framework that can be reworked elsewhere. This is why stewardship matters. Without attention to responsibility, maintenance, and organisational uptake, participatory public art risks being celebrated precisely at the moment when it becomes hardest to sustain.</w:t>
      </w:r>
    </w:p>
    <w:p w14:paraId="3CE28D6C">
      <w:pPr>
        <w:pStyle w:val="19"/>
        <w:spacing w:after="120" w:line="360" w:lineRule="auto"/>
        <w:ind w:firstLine="425"/>
      </w:pPr>
      <w:r>
        <w:t>Transferability is similarly underdeveloped. Existing case studies are often richly contextual, and rightly so, because participatory art cannot be abstracted from site, history, and power. Yet if every project remains analytically locked inside its own singularity, the field struggles to say what can travel, what must be adapted, and what should not be transferred at all. That limitation is not only conceptual; it is methodological. It prevents the construction of a mid-level model capable of informing future practice without erasing difference. My project enters precisely at this point. I am not looking for sameness across cases; I am looking for a disciplined vocabulary for comparison. Without such a vocabulary, claims about replication, scalability, public benefit, or institutional learning remain impressionistic.</w:t>
      </w:r>
    </w:p>
    <w:p w14:paraId="263041CE">
      <w:pPr>
        <w:pStyle w:val="4"/>
      </w:pPr>
      <w:r>
        <w:t>2.5 Cross-cultural translation and the Chinese governance problem</w:t>
      </w:r>
    </w:p>
    <w:p w14:paraId="3195C1E4">
      <w:pPr>
        <w:pStyle w:val="19"/>
        <w:spacing w:after="120" w:line="360" w:lineRule="auto"/>
        <w:ind w:firstLine="425"/>
      </w:pPr>
      <w:r>
        <w:t>The need for an adaptive rather than universal model becomes clearer when the research is viewed through the Chinese context that motivates my longer-term project. Scholarship on Chinese cultural policy and urban governance shows that public cultural production is shaped by state strategy, institutional mediation, and local developmental priorities (White and Xu, 2012; Shan, 2014). This does not invalidate participatory public art in China; it means that any framework for it must be understood as translational rather than merely adoptive. Western theories can illuminate, but they cannot simply be transplanted. Nor is the task merely to add a 'Chinese case' to an otherwise settled Western theory. The deeper issue is whether concepts such as participation, publicness, pedagogy, and site can retain analytical usefulness once they encounter different institutional histories, governance structures, and cultural expectations.</w:t>
      </w:r>
    </w:p>
    <w:p w14:paraId="3732FB8D">
      <w:pPr>
        <w:pStyle w:val="19"/>
        <w:spacing w:after="120" w:line="360" w:lineRule="auto"/>
        <w:ind w:firstLine="425"/>
      </w:pPr>
      <w:r>
        <w:t>Research on public art in Shanghai sharpens this point. Zheng’s analyses of elite coalition, urban sculpture planning, and the sanctioned production of public art demonstrate that publicness in China may be structured through highly specific institutional and political arrangements (Zheng, 2017; Zheng, 2019). Li’s more recent account of artistic participation in urban China is especially useful because it complicates any simplistic opposition between Western participatory art and Chinese public culture (Li, 2024). Zheng and Zheng’s (2022) work on urban sculpture reception further suggests that public participation itself is shaped by elite-led planning structures rather than standing outside them. Taken together, these studies do not tell me how to design a transferable framework; what they do show is why transferability must be theorised through adaptation, institutional mediation, and cultural fit rather than through direct replication. They also remind me that the operative scale of my intervention is not state policy in the abstract but the institutional interface where artists, educators, museums, communities, and cultural managers negotiate what public art can do.</w:t>
      </w:r>
    </w:p>
    <w:p w14:paraId="18BE83C1">
      <w:pPr>
        <w:pStyle w:val="19"/>
        <w:spacing w:after="120" w:line="360" w:lineRule="auto"/>
        <w:ind w:firstLine="425"/>
      </w:pPr>
      <w:r>
        <w:t>Li’s (2024) account of urban artistic participation in China is helpful precisely because it complicates any easy binary between Western participatory art and Chinese state-led or market-led cultural production. It suggests that participation in China must be understood through hybrid arrangements rather than imported theory alone. My own project follows this implication. I do not aim to devise policy at the state level. Instead, I am interested in the institutional and methodological interface through which artists, educators, museums, community partners and other cultural actors might work within Chinese conditions to develop participatory public art that is both culturally adaptive and pedagogically meaningful. The literature therefore points to a translational challenge rather than a simple absence: how can theories developed largely in Euro-American discourse be reworked for Chinese settings without either romanticising the West or reducing China to a space of pure constraint?</w:t>
      </w:r>
    </w:p>
    <w:p w14:paraId="52515AF7">
      <w:pPr>
        <w:pStyle w:val="4"/>
      </w:pPr>
      <w:r>
        <w:t>2.6 Practice-based research and the limits of practice alone</w:t>
      </w:r>
    </w:p>
    <w:p w14:paraId="3CAE2C97">
      <w:pPr>
        <w:pStyle w:val="19"/>
        <w:spacing w:after="120" w:line="360" w:lineRule="auto"/>
        <w:ind w:firstLine="425"/>
      </w:pPr>
      <w:r>
        <w:t>Because my project is rooted in art and design, I also need a literature that legitimises practice as a mode of inquiry. Practice-based and practice-led research have long provided that opening. Sullivan (2010) argues that art practice can itself generate forms of understanding unavailable through purely propositional research, while Candy and Edmonds (2018) clarify how practice-based inquiry may produce new knowledge through creative work. Haseman’s (2006) manifesto for performative research is equally significant because it resists forcing creative inquiry into inherited methodological binaries. Kester’s later writing on collaborative art also reinforces the point that practice often operates as a site of situated negotiation and knowledge production rather than as a mere vehicle for illustrating concepts already settled in advance (Kester, 2011). These accounts support a core commitment of my project: I will not treat future practice experiments merely as illustrations of theory already formed elsewhere. I plan to use practice as a site in which concepts, relations, and spatial propositions can be tested, revised, and sometimes unsettled.</w:t>
      </w:r>
    </w:p>
    <w:p w14:paraId="6CD19C2E">
      <w:pPr>
        <w:pStyle w:val="19"/>
        <w:spacing w:after="120" w:line="360" w:lineRule="auto"/>
        <w:ind w:firstLine="425"/>
      </w:pPr>
      <w:r>
        <w:t>Yet practice-based research does not solve the methodological problem by itself. Practice can generate insight, but it can also become self-authorising if not organised through explicit methods of documentation, analysis, and reflexive accountability. This matters especially in participatory public art, where the artist-researcher may easily mistake intensity of engagement for adequacy of inquiry. The literature therefore makes a distinction that I adopt firmly: practice can be epistemically productive, but it does not exempt the researcher from the need to explain how claims are being generated, by what evidence, and with what limits. That is why my project cannot rest on making alone; it requires a research design capable of holding together experience, comparison, interpretation, and critique.</w:t>
      </w:r>
    </w:p>
    <w:p w14:paraId="7F01BDFB">
      <w:pPr>
        <w:pStyle w:val="19"/>
        <w:spacing w:after="120" w:line="360" w:lineRule="auto"/>
        <w:ind w:firstLine="425"/>
      </w:pPr>
      <w:r>
        <w:t>The literature therefore pushes me towards a combined position. I accept that art practice can be epistemically productive, but I reject the weaker claim that making alone is sufficient as method. For my project, practice must be interwoven with comparative case analysis, fieldwork, and reflexive interpretation (Sullivan, 2010; Candy and Edmonds, 2018; Jackson, 2011). At this stage, qualitative inquiry offers the strongest route into relational process, spatial experience, and institutional mediation, even though later phases of the wider doctoral project may incorporate additional methods where they are justified. Only then can future experiments function not as illustrative add-ons, but as research situations in which the translation of participation into spatial experience is actively tested.</w:t>
      </w:r>
    </w:p>
    <w:p w14:paraId="19C018D6">
      <w:pPr>
        <w:pStyle w:val="4"/>
      </w:pPr>
      <w:r>
        <w:t>2.7 Gap cluster and research direction</w:t>
      </w:r>
    </w:p>
    <w:p w14:paraId="566214C3">
      <w:pPr>
        <w:pStyle w:val="19"/>
        <w:spacing w:after="120" w:line="360" w:lineRule="auto"/>
        <w:ind w:firstLine="425"/>
      </w:pPr>
      <w:r>
        <w:t>The critical review above identifies not one gap but a cluster of interrelated gaps. The first is conceptual: participation and publicness have been richly theorised, but the translation of participation into durable spatial experience remains weakly articulated. The second is organisational: institutional stewardship, maintenance, evaluation, and aftercare are often acknowledged in passing yet rarely developed as central analytical categories. The third is methodological: although practice-based research has legitimised creative practice as inquiry, there remains insufficient integration between practice experiments, cross-case comparison, qualitative analysis, and the production of transferable mid-range frameworks. The fourth is translational: theories of participatory public art have been developed largely in Euro-American discourse, while the conditions under which they may be adapted within Chinese cultural governance environments remain under-specified.</w:t>
      </w:r>
    </w:p>
    <w:p w14:paraId="5EF85FD0">
      <w:pPr>
        <w:pStyle w:val="19"/>
        <w:spacing w:after="120" w:line="360" w:lineRule="auto"/>
        <w:ind w:firstLine="425"/>
      </w:pPr>
      <w:r>
        <w:t>These gaps are cumulative rather than discrete. The under-theorisation of durability leads directly to questions of stewardship; weak accounts of stewardship expose the need for a more rigorous methodological design; and that methodological problem becomes still sharper when a project seeks cultural translation rather than simple repetition. Accordingly, the importance of the present research does not lie in presenting another isolated case of participation. It lies in asking whether the field can move towards a stronger analytical language for judging how participatory processes become spatially consequential, institutionally held, and adaptively transferable.</w:t>
      </w:r>
    </w:p>
    <w:p w14:paraId="74AF1601">
      <w:pPr>
        <w:pStyle w:val="19"/>
        <w:spacing w:after="120" w:line="360" w:lineRule="auto"/>
        <w:ind w:firstLine="425"/>
      </w:pPr>
      <w:r>
        <w:t>Accordingly, the project will be organised around two principal research questions. First, how can participatory public art be translated into spatial experience rather than remain at the level of temporary interaction or discursive encounter? Second, how can such practices be developed into a transferable but adaptive model for different settings, including communities, museums, public squares, and other institutional contexts? These questions establish the terms on which the theoretical framework and research design must now proceed.</w:t>
      </w:r>
    </w:p>
    <w:p w14:paraId="1AE8E08E">
      <w:pPr>
        <w:pStyle w:val="19"/>
        <w:spacing w:before="120" w:after="60" w:line="360" w:lineRule="auto"/>
        <w:ind w:firstLine="425"/>
        <w:jc w:val="center"/>
        <w:rPr>
          <w:rFonts w:hint="eastAsia" w:eastAsia="宋体"/>
          <w:lang w:eastAsia="zh-CN"/>
        </w:rPr>
      </w:pPr>
      <w:r>
        <w:rPr>
          <w:rFonts w:hint="eastAsia" w:eastAsia="宋体"/>
          <w:lang w:eastAsia="zh-CN"/>
        </w:rPr>
        <w:drawing>
          <wp:inline distT="0" distB="0" distL="114300" distR="114300">
            <wp:extent cx="5970905" cy="3783330"/>
            <wp:effectExtent l="0" t="0" r="1270" b="7620"/>
            <wp:docPr id="8" name="图片 8" descr="Figure 1. Research gaps and alignment with the research ques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Figure 1. Research gaps and alignment with the research question."/>
                    <pic:cNvPicPr>
                      <a:picLocks noChangeAspect="1"/>
                    </pic:cNvPicPr>
                  </pic:nvPicPr>
                  <pic:blipFill>
                    <a:blip r:embed="rId6"/>
                    <a:stretch>
                      <a:fillRect/>
                    </a:stretch>
                  </pic:blipFill>
                  <pic:spPr>
                    <a:xfrm>
                      <a:off x="0" y="0"/>
                      <a:ext cx="5970905" cy="3783330"/>
                    </a:xfrm>
                    <a:prstGeom prst="rect">
                      <a:avLst/>
                    </a:prstGeom>
                  </pic:spPr>
                </pic:pic>
              </a:graphicData>
            </a:graphic>
          </wp:inline>
        </w:drawing>
      </w:r>
    </w:p>
    <w:p w14:paraId="66ED15BB">
      <w:pPr>
        <w:pStyle w:val="15"/>
        <w:spacing w:before="60" w:after="180"/>
        <w:jc w:val="center"/>
        <w:rPr>
          <w:rFonts w:hint="eastAsia" w:eastAsia="宋体"/>
          <w:lang w:eastAsia="zh-CN"/>
        </w:rPr>
      </w:pPr>
      <w:r>
        <w:rPr>
          <w:rFonts w:ascii="Times New Roman" w:hAnsi="Times New Roman" w:eastAsia="Times New Roman"/>
          <w:i/>
          <w:color w:val="4B5563"/>
          <w:sz w:val="18"/>
        </w:rPr>
        <w:t>Figure 1. Research gaps and alignment with the research question.</w:t>
      </w:r>
    </w:p>
    <w:p w14:paraId="51BC0C2F">
      <w:pPr>
        <w:pStyle w:val="3"/>
      </w:pPr>
      <w:r>
        <w:t>3. Theoretical and epistemological framework</w:t>
      </w:r>
    </w:p>
    <w:p w14:paraId="631A4675">
      <w:pPr>
        <w:pStyle w:val="19"/>
        <w:spacing w:after="120" w:line="360" w:lineRule="auto"/>
        <w:ind w:firstLine="425"/>
      </w:pPr>
      <w:r>
        <w:t>My project is grounded in a relational-institutional understanding of publicness. I do not treat publicness as a natural property of art in public space, nor as an automatic result of participation. Instead, I understand it as something assembled through visibility, access, mediation, spatial arrangement, institutional framing, and the uneven distribution of agency (Kwon, 2002; Jackson, 2011). This position matters because it refuses two simplifications at once: first, that art becomes public merely by leaving the gallery; second, that participation itself is sufficient evidence of democratic value. A project may be publicly visible yet weakly public in experience; it may be participatory in procedure yet leave no durable public consequence. My framework therefore attends to how publicness is organised, not merely declared.</w:t>
      </w:r>
    </w:p>
    <w:p w14:paraId="124DCB96">
      <w:pPr>
        <w:pStyle w:val="19"/>
        <w:spacing w:after="120" w:line="360" w:lineRule="auto"/>
        <w:ind w:firstLine="425"/>
      </w:pPr>
      <w:r>
        <w:t>Epistemologically, I adopt a critical interpretivist and constructivist position. I do not assume that the research will reveal a universally valid formula for successful participatory public art. Nor do I treat knowledge as something separable from the situations in which artists, institutions, and participants make meaning together. Instead, I assume that the knowledge produced in this project will be situated, relational, and partial, but not therefore arbitrary. It can be rigorous to the extent that interpretations are systematically developed, reflexively tested, and grounded in carefully assembled empirical material (Lincoln and Guba, 1985; Finlay, 2002). This is why qualitative inquiry is presently central to the design. It is able to attend to interpretation, process, ambivalence, and context in ways that would otherwise be reduced to thin indicators. At the same time, my epistemological position does not prohibit the later use of supplementary methods; it simply insists that method follow the problem, rather than the reverse.</w:t>
      </w:r>
    </w:p>
    <w:p w14:paraId="126CE67D">
      <w:pPr>
        <w:pStyle w:val="19"/>
        <w:spacing w:after="120" w:line="360" w:lineRule="auto"/>
        <w:ind w:firstLine="425"/>
      </w:pPr>
      <w:r>
        <w:t>A final theoretical commitment concerns ethics. I do not treat ethics merely as a procedural threshold to be crossed before fieldwork begins. In participatory public art, ethics is internal to the research object itself because questions of voice, representation, authorship, care, consent, and benefit shape what the work becomes and how it is experienced (Pavarini et al., 2021; Belfiore, 2022). Ethical reflection is therefore part of analysis, not an appendix to it.</w:t>
      </w:r>
    </w:p>
    <w:p w14:paraId="1424C747">
      <w:pPr>
        <w:pStyle w:val="3"/>
      </w:pPr>
      <w:r>
        <w:t>4. Proposed research design</w:t>
      </w:r>
    </w:p>
    <w:p w14:paraId="0EC786E6">
      <w:pPr>
        <w:pStyle w:val="4"/>
      </w:pPr>
      <w:r>
        <w:t>4.1 Creative inquiry and the wicked problem</w:t>
      </w:r>
    </w:p>
    <w:p w14:paraId="7742E79D">
      <w:pPr>
        <w:pStyle w:val="19"/>
        <w:spacing w:after="120" w:line="360" w:lineRule="auto"/>
        <w:ind w:firstLine="425"/>
      </w:pPr>
      <w:r>
        <w:t>The creative inquiry I propose is not organised around a single fixed case already known in advance. Instead, it is oriented towards a broader methodological problem that future cases and experiments will help to clarify: how participatory public art may be translated into spatial experience and further developed into a transferable model for different institutional and community settings. This matters because I do not want the doctoral project to depend on the exemplary status of one work. I need a design that allows patterns, constraints, and possibilities to be traced across varied situations while remaining open to revision as the project develops. In Rittel and Webber’s (1973) terms, this is recognisably a wicked problem rather than a bounded technical task.</w:t>
      </w:r>
    </w:p>
    <w:p w14:paraId="457FF0BA">
      <w:pPr>
        <w:pStyle w:val="19"/>
        <w:spacing w:after="120" w:line="360" w:lineRule="auto"/>
        <w:ind w:firstLine="425"/>
      </w:pPr>
      <w:r>
        <w:rPr>
          <w:rFonts w:hint="eastAsia" w:eastAsia="宋体"/>
          <w:lang w:val="en-US" w:eastAsia="zh-CN"/>
        </w:rPr>
        <w:t>P</w:t>
      </w:r>
      <w:r>
        <w:t>articipatory public art often generates local dialogue or short-term co-activity, yet it remains tied to a singular event, a single institutional arrangement, or a non-transferable context. Its social energy does not automatically become spatial experience, and its local success does not automatically become a usable model. My project will address that problem by asking how issue framing, participation design, spatial translation, and site adaptability can be analysed together rather than in isolation.</w:t>
      </w:r>
    </w:p>
    <w:p w14:paraId="68AA6936">
      <w:pPr>
        <w:pStyle w:val="19"/>
        <w:spacing w:after="120" w:line="360" w:lineRule="auto"/>
        <w:ind w:firstLine="425"/>
      </w:pPr>
      <w:r>
        <w:t>My creative aim, therefore, is not merely to produce artwork. I plan to use future practice experiments to investigate how intangible processes - conversation, memory, concern, social relation, and collective attention - may be given spatial form. The practical question is not whether participation can be made visible in a literal way, but how it may be translated into forms of encounter that reorganise how people move, gather, reflect, or recognise themselves within a site. This is why spatial translation sits at the centre of the project. It allows me to connect artistic form, public pedagogy, and institutional applicability without reducing one to the other. It also leaves room for different artistic media, since what matters analytically is not fidelity to one format but the quality of the spatial and relational transformation achieved.</w:t>
      </w:r>
    </w:p>
    <w:p w14:paraId="24A9A23E">
      <w:pPr>
        <w:pStyle w:val="4"/>
      </w:pPr>
      <w:r>
        <w:t>4.2 Methodological architecture: comparative case analysis, practice-based inquiry and iterative translation</w:t>
      </w:r>
    </w:p>
    <w:p w14:paraId="2579DB07">
      <w:pPr>
        <w:pStyle w:val="19"/>
        <w:spacing w:after="120" w:line="360" w:lineRule="auto"/>
        <w:ind w:firstLine="425"/>
      </w:pPr>
      <w:r>
        <w:t>To address this problem, I propose a practice-integrated research design with three mutually informing components. The first is comparative case analysis of existing public art and socially engaged art projects. The second is future practice experimentation. The third is qualitative fieldwork and analysis that can move between cases and experiments rather than treating them as separate worlds. The rationale for this architecture is strategic. No single component can answer the research question adequately on its own. Case analysis provides breadth and comparative discipline; practice experimentation provides embodied and spatial testing; qualitative fieldwork provides access to interpretation, mediation, and organisational process. Together they form a design able to move from singular projects to analytic synthesis (Yin, 2018; Sullivan, 2010; Candy and Edmonds, 2018). If, at a later stage, narrowly targeted additional methods become useful—for example small-scale survey instruments, simple audience-mapping exercises, or basic evaluative counts—they would function as supplements rather than replacements for this interpretive core.</w:t>
      </w:r>
    </w:p>
    <w:p w14:paraId="4C1F28B3">
      <w:pPr>
        <w:pStyle w:val="19"/>
        <w:spacing w:after="120" w:line="360" w:lineRule="auto"/>
        <w:ind w:firstLine="425"/>
      </w:pPr>
      <w:r>
        <w:t>Comparative case analysis is essential because my research is not trying to prove the value of one exemplary artwork. I need to understand patterns across multiple practices, especially in relation to how projects frame issues, distribute agency, materialise social process spatially, and handle adaptation, management and aftercare. Comparison also disciplines enthusiasm. It forces me to ask whether the features I find compelling in one case are exceptional, contingent, or recurrent across differently organised projects. In methodological terms, it gives the framework its comparative traction and reduces the risk that the eventual model will simply mirror my own preferences as a practitioner (Yin, 2018).</w:t>
      </w:r>
    </w:p>
    <w:p w14:paraId="4D9D70F2">
      <w:pPr>
        <w:pStyle w:val="19"/>
        <w:spacing w:after="120" w:line="360" w:lineRule="auto"/>
        <w:ind w:firstLine="425"/>
      </w:pPr>
      <w:r>
        <w:t>Practice-based inquiry is equally necessary because the central issue in my project - how participation becomes spatial experience - cannot be answered by textual analysis alone. I will need to test how decisions about form, display, movement, invitation, scale, materiality, and mediation shape what participants and publics can actually encounter. Future practice experiments will therefore serve as sites of inquiry in which methods of translation can be tried, revised, and critically assessed (Sullivan, 2010; Candy and Edmonds, 2018).</w:t>
      </w:r>
    </w:p>
    <w:p w14:paraId="76638B8F">
      <w:pPr>
        <w:pStyle w:val="19"/>
        <w:spacing w:after="120" w:line="360" w:lineRule="auto"/>
        <w:ind w:firstLine="425"/>
      </w:pPr>
      <w:r>
        <w:t>Finally, the design must be iterative. Participatory public art cannot be studied effectively as a linear sequence in which literature is reviewed, then data are collected, then an artwork is made, then conclusions are drawn. Instead, findings from case analysis should reshape practice, while the results of practice should return pressure to the framework itself. Iteration is therefore not a scheduling convenience but a methodological necessity.</w:t>
      </w:r>
    </w:p>
    <w:p w14:paraId="24631DA2">
      <w:pPr>
        <w:pStyle w:val="19"/>
        <w:spacing w:before="120" w:after="60" w:line="360" w:lineRule="auto"/>
        <w:ind w:firstLine="425"/>
        <w:jc w:val="center"/>
        <w:rPr>
          <w:rFonts w:hint="eastAsia" w:eastAsia="宋体"/>
          <w:lang w:eastAsia="zh-CN"/>
        </w:rPr>
      </w:pPr>
      <w:r>
        <w:rPr>
          <w:rFonts w:hint="eastAsia" w:eastAsia="宋体"/>
          <w:lang w:eastAsia="zh-CN"/>
        </w:rPr>
        <w:drawing>
          <wp:inline distT="0" distB="0" distL="114300" distR="114300">
            <wp:extent cx="5577840" cy="3384550"/>
            <wp:effectExtent l="0" t="0" r="2540" b="6350"/>
            <wp:docPr id="2" name="图片 2" descr="Figure 2. Phased research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Figure 2. Phased research design"/>
                    <pic:cNvPicPr>
                      <a:picLocks noChangeAspect="1"/>
                    </pic:cNvPicPr>
                  </pic:nvPicPr>
                  <pic:blipFill>
                    <a:blip r:embed="rId7"/>
                    <a:stretch>
                      <a:fillRect/>
                    </a:stretch>
                  </pic:blipFill>
                  <pic:spPr>
                    <a:xfrm>
                      <a:off x="0" y="0"/>
                      <a:ext cx="5577840" cy="3384675"/>
                    </a:xfrm>
                    <a:prstGeom prst="rect">
                      <a:avLst/>
                    </a:prstGeom>
                  </pic:spPr>
                </pic:pic>
              </a:graphicData>
            </a:graphic>
          </wp:inline>
        </w:drawing>
      </w:r>
    </w:p>
    <w:p w14:paraId="49716973">
      <w:pPr>
        <w:pStyle w:val="15"/>
        <w:spacing w:before="60" w:after="180"/>
        <w:jc w:val="center"/>
        <w:rPr>
          <w:rFonts w:hint="eastAsia" w:eastAsia="宋体"/>
          <w:lang w:eastAsia="zh-CN"/>
        </w:rPr>
      </w:pPr>
      <w:r>
        <w:rPr>
          <w:rFonts w:ascii="Times New Roman" w:hAnsi="Times New Roman" w:eastAsia="Times New Roman"/>
          <w:i/>
          <w:color w:val="4B5563"/>
          <w:sz w:val="18"/>
        </w:rPr>
        <w:t>Figure 2. Phased research design.</w:t>
      </w:r>
    </w:p>
    <w:p w14:paraId="449D5845">
      <w:pPr>
        <w:pStyle w:val="4"/>
      </w:pPr>
      <w:r>
        <w:t>4.3 Comparative case analysis</w:t>
      </w:r>
    </w:p>
    <w:p w14:paraId="7C72B2B3">
      <w:pPr>
        <w:pStyle w:val="19"/>
        <w:spacing w:after="120" w:line="360" w:lineRule="auto"/>
        <w:ind w:firstLine="425"/>
      </w:pPr>
      <w:r>
        <w:t>The first major component of the research will be a comparative analysis of selected cases of participatory public art, socially engaged art, museum-community collaboration and related spatial practices. The aim is not to produce an encyclopaedic survey but a theoretically purposive sample. I anticipate selecting cases across at least two broad contexts: projects developed within the United Kingdom or comparable Western institutional environments, and projects situated in Chinese urban or community-facing cultural settings where data are accessible. The cases will be chosen because they illuminate different configurations of participation, institutional mediation, and spatial outcome rather than because they fit a single stylistic category.</w:t>
      </w:r>
    </w:p>
    <w:p w14:paraId="1AB97500">
      <w:pPr>
        <w:pStyle w:val="19"/>
        <w:spacing w:after="120" w:line="360" w:lineRule="auto"/>
        <w:ind w:firstLine="425"/>
      </w:pPr>
      <w:r>
        <w:t>These criteria are designed to prevent the comparison from becoming too broad. I am not interested in every possible form of participation. I am specifically interested in projects where public issues are actively framed, multiple actors or publics are invited to participate, and some attempt is made to translate social process into a spatial or experiential proposition. This means that not every community arts project will be relevant, and not every public artwork will qualify. The logic of selection is therefore analytical fit, not representational completeness. I will also remain attentive to negative or ambiguous cases—projects that are celebrated publicly but appear weak in spatial translation, maintenance, or transferability—because such cases may clarify the limits of the framework as powerfully as exemplary ones do.</w:t>
      </w:r>
    </w:p>
    <w:p w14:paraId="24DAB1B7">
      <w:pPr>
        <w:pStyle w:val="19"/>
        <w:spacing w:after="120" w:line="360" w:lineRule="auto"/>
        <w:ind w:firstLine="425"/>
      </w:pPr>
      <w:r>
        <w:t>The cases will be analysed through the four dimensions that I consider foundational to my proposed framework. The first dimension is issue framing: how a project identifies, names and delimits the public issue it seeks to address. The second is participation design: who is involved, through what mechanisms, and with what degree of agency or decision-making power. The third is spatial translation: how dialogue, memory, concern or social relation is transformed into an experiencable spatial form. The fourth is site adaptability and management: how the project is adjusted for particular environments and what forms of maintenance, evaluation or scaling are imagined after the initial event. Using these dimensions comparatively will help me move from isolated project narratives toward a more systematic but non-formulaic model.</w:t>
      </w:r>
    </w:p>
    <w:p w14:paraId="4B5079FC">
      <w:pPr>
        <w:pStyle w:val="19"/>
        <w:spacing w:before="120" w:after="60" w:line="360" w:lineRule="auto"/>
        <w:ind w:firstLine="425"/>
        <w:jc w:val="center"/>
        <w:rPr>
          <w:rFonts w:hint="eastAsia" w:eastAsia="宋体"/>
          <w:lang w:eastAsia="zh-CN"/>
        </w:rPr>
      </w:pPr>
      <w:r>
        <w:rPr>
          <w:rFonts w:hint="eastAsia" w:eastAsia="宋体"/>
          <w:lang w:eastAsia="zh-CN"/>
        </w:rPr>
        <w:drawing>
          <wp:inline distT="0" distB="0" distL="114300" distR="114300">
            <wp:extent cx="5577840" cy="3538220"/>
            <wp:effectExtent l="0" t="0" r="6985" b="1905"/>
            <wp:docPr id="3" name="图片 3" descr="Figure 3. Proposed four-dimensional framework for the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Figure 3. Proposed four-dimensional framework for the study"/>
                    <pic:cNvPicPr>
                      <a:picLocks noChangeAspect="1"/>
                    </pic:cNvPicPr>
                  </pic:nvPicPr>
                  <pic:blipFill>
                    <a:blip r:embed="rId8"/>
                    <a:stretch>
                      <a:fillRect/>
                    </a:stretch>
                  </pic:blipFill>
                  <pic:spPr>
                    <a:xfrm>
                      <a:off x="0" y="0"/>
                      <a:ext cx="5577840" cy="3538524"/>
                    </a:xfrm>
                    <a:prstGeom prst="rect">
                      <a:avLst/>
                    </a:prstGeom>
                  </pic:spPr>
                </pic:pic>
              </a:graphicData>
            </a:graphic>
          </wp:inline>
        </w:drawing>
      </w:r>
    </w:p>
    <w:p w14:paraId="443DE57A">
      <w:pPr>
        <w:pStyle w:val="15"/>
        <w:spacing w:before="60" w:after="180"/>
        <w:jc w:val="center"/>
        <w:rPr>
          <w:rFonts w:hint="eastAsia" w:eastAsia="宋体"/>
          <w:lang w:eastAsia="zh-CN"/>
        </w:rPr>
      </w:pPr>
      <w:r>
        <w:rPr>
          <w:rFonts w:ascii="Times New Roman" w:hAnsi="Times New Roman" w:eastAsia="Times New Roman"/>
          <w:i/>
          <w:color w:val="4B5563"/>
          <w:sz w:val="18"/>
        </w:rPr>
        <w:t>Figure 3. Proposed four-dimensional framework for the study.</w:t>
      </w:r>
    </w:p>
    <w:p w14:paraId="4991D499">
      <w:pPr>
        <w:pStyle w:val="4"/>
      </w:pPr>
      <w:r>
        <w:t>4.4 Proposed practice experiments in the UK context</w:t>
      </w:r>
    </w:p>
    <w:p w14:paraId="4577B6E6">
      <w:pPr>
        <w:pStyle w:val="19"/>
        <w:spacing w:after="120" w:line="360" w:lineRule="auto"/>
        <w:ind w:firstLine="425"/>
      </w:pPr>
      <w:r>
        <w:t>Alongside comparative case analysis, I plan to conduct practice experiments during my doctoral study in the United Kingdom, where I may be able to work through smaller-scale pilots before considering longer-term translational implications for China. I use the term 'experiment' deliberately. It signals that these practical interventions will not function as self-validating artworks but as exploratory research situations in which ideas about participation, spatial translation, pedagogy and site adaptability can be tested. Their value will lie as much in what they fail to sustain as in what they successfully enable.</w:t>
      </w:r>
    </w:p>
    <w:p w14:paraId="30D09713">
      <w:pPr>
        <w:pStyle w:val="19"/>
        <w:spacing w:after="120" w:line="360" w:lineRule="auto"/>
        <w:ind w:firstLine="425"/>
      </w:pPr>
      <w:r>
        <w:t>At this stage, I deliberately keep the practical form open. I may develop a small-scale installation in a community setting, a participatory exhibition intervention in an institutional context, a spatial workshop format, or another hybrid model that emerges from the literature, the cases, and the practical realities of access. What matters is not medium loyalty but analytic usefulness. The form I eventually choose will need to permit observation of how dialogue, memory, concern, or collaboration are transformed into spatial propositions and how different participants experience that transformation. Keeping the form open is therefore methodologically necessary rather than indecisive: it allows the practical component to be responsive to the problem, not pre-scripted by it.</w:t>
      </w:r>
    </w:p>
    <w:p w14:paraId="08771504">
      <w:pPr>
        <w:pStyle w:val="19"/>
        <w:spacing w:after="120" w:line="360" w:lineRule="auto"/>
        <w:ind w:firstLine="425"/>
      </w:pPr>
      <w:r>
        <w:t>I also plan to treat these experiments as opportunities to test the relationship between aesthetic education and participation. If a project is genuinely to extend aesthetic experience beyond passive spectatorship, it must do more than invite attendance. It must create conditions in which publics can enter processes of perception, interpretation, co-making, and spatial encounter. Future experiments will therefore be analysed not only for social participation, but for the kinds of aesthetic learning they make possible.</w:t>
      </w:r>
    </w:p>
    <w:p w14:paraId="553C4C79">
      <w:pPr>
        <w:pStyle w:val="4"/>
      </w:pPr>
      <w:r>
        <w:t>4.5 Proposed fieldwork and data collection</w:t>
      </w:r>
    </w:p>
    <w:p w14:paraId="0BBE55A2">
      <w:pPr>
        <w:pStyle w:val="19"/>
        <w:spacing w:after="120" w:line="360" w:lineRule="auto"/>
        <w:ind w:firstLine="425"/>
      </w:pPr>
      <w:r>
        <w:t>Because the project is currently qualitative and comparative at its methodological core, data collection will draw on multiple sources. This pluralism is not methodological excess. It is a deliberate response to the layered nature of the problem. No single source can adequately capture how participatory public art is framed, negotiated, materialised, experienced and sustained. Triangulation here is less about verifying a single truth than about placing different forms of evidence into productive relation so that tensions, absences, and asymmetries can become analytically visible (Lincoln and Guba, 1985).</w:t>
      </w:r>
    </w:p>
    <w:p w14:paraId="7F0A57EA">
      <w:pPr>
        <w:pStyle w:val="5"/>
      </w:pPr>
      <w:r>
        <w:t>1. Semi-structured interviews</w:t>
      </w:r>
    </w:p>
    <w:p w14:paraId="5A95F609">
      <w:pPr>
        <w:pStyle w:val="19"/>
        <w:spacing w:after="120" w:line="360" w:lineRule="auto"/>
        <w:ind w:firstLine="425"/>
      </w:pPr>
      <w:r>
        <w:t>I plan to conduct interviews with artists, curators, educators, institutional staff, community partners, project participants and, where useful, local stakeholders connected to selected cases or future experiments. Interviews will help me understand how different actors describe project aims, participation, decision-making, conflicts, constraints and outcomes. They are especially important because the same project may be narrated differently by an artist, an institution and a participant. I do not regard such discrepancies as noise; they are data in their own right, revealing where authority, expectation, and evaluation diverge.</w:t>
      </w:r>
    </w:p>
    <w:p w14:paraId="0B08CDA4">
      <w:pPr>
        <w:pStyle w:val="5"/>
      </w:pPr>
      <w:r>
        <w:t>2. Observation and site-based inquiry</w:t>
      </w:r>
    </w:p>
    <w:p w14:paraId="0FD09783">
      <w:pPr>
        <w:pStyle w:val="19"/>
        <w:spacing w:after="120" w:line="360" w:lineRule="auto"/>
        <w:ind w:firstLine="425"/>
      </w:pPr>
      <w:r>
        <w:t>I will use observation both in comparative case research, where possible, and in my own practical experiments. Observation is important because many aspects of participatory public art are not fully recoverable through retrospective interview alone. Spatial negotiation, hesitation, informal authority, movement patterns, moments of exclusion and embodied forms of engagement often become visible only through direct attention to what happens in situ. In future experiments, I plan to keep detailed field notes during workshops, installation processes, exhibition encounters and post-event reflection sessions.</w:t>
      </w:r>
    </w:p>
    <w:p w14:paraId="3C1373E3">
      <w:pPr>
        <w:pStyle w:val="5"/>
      </w:pPr>
      <w:r>
        <w:t>3. Documentary and archival materials</w:t>
      </w:r>
    </w:p>
    <w:p w14:paraId="361103FF">
      <w:pPr>
        <w:pStyle w:val="19"/>
        <w:spacing w:after="120" w:line="360" w:lineRule="auto"/>
        <w:ind w:firstLine="425"/>
      </w:pPr>
      <w:r>
        <w:t>For comparative case analysis, I will examine project proposals, evaluation reports, exhibition texts, websites, photographic documentation, institutional statements, press coverage and, where available, floor plans or installation records. Documentary materials are important because they reveal how projects are officially framed and how value claims are retrospectively stabilised. They also provide a way of examining projects that are no longer physically available. At the same time, I will treat such materials critically. Institutional documentation often presents coherent narratives after the fact; part of the analytic task will be to read for omissions, simplifications, and discrepancies between public representation and participant or practitioner accounts.</w:t>
      </w:r>
    </w:p>
    <w:p w14:paraId="6E09897F">
      <w:pPr>
        <w:pStyle w:val="5"/>
      </w:pPr>
      <w:r>
        <w:t>4. Practice artefacts</w:t>
      </w:r>
    </w:p>
    <w:p w14:paraId="67AC6882">
      <w:pPr>
        <w:pStyle w:val="19"/>
        <w:spacing w:after="120" w:line="360" w:lineRule="auto"/>
        <w:ind w:firstLine="425"/>
      </w:pPr>
      <w:r>
        <w:t>My own future experiments will generate artefacts that will function simultaneously as practical outputs and research materials: sketches, installation plans, floor plans, prototype models, participant-generated material, workshop traces, audio fragments, design iterations, captions, feedback tools and spatial diagrams. I will analyse these artefacts not only as evidence of what was made but as records of how ideas shifted, what became materialised, and where translation from participation to space succeeded or failed.</w:t>
      </w:r>
    </w:p>
    <w:p w14:paraId="07C399B4">
      <w:pPr>
        <w:pStyle w:val="5"/>
      </w:pPr>
      <w:r>
        <w:t>5. Researcher reflexive journal</w:t>
      </w:r>
    </w:p>
    <w:p w14:paraId="4E0BC187">
      <w:pPr>
        <w:pStyle w:val="19"/>
        <w:spacing w:after="120" w:line="360" w:lineRule="auto"/>
        <w:ind w:firstLine="425"/>
      </w:pPr>
      <w:r>
        <w:t>Because I will occupy multiple positions—researcher, artist, organiser, facilitator and analyst—I will maintain a reflexive journal throughout the project. Following Finlay (2002), this is not a confessional add-on but a methodological necessity. The journal will record design decisions, assumptions, moments of uncertainty, institutional negotiations, and responses to emerging tensions. It will also help me distinguish between what a project appears to achieve publicly and what kinds of compromise, exclusion, or revision made that appearance possible. In a project where my own positionality could easily shape both process and interpretation, reflexive writing will be one of the main safeguards against self-confirming narratives.</w:t>
      </w:r>
    </w:p>
    <w:p w14:paraId="5BE9FABF">
      <w:pPr>
        <w:pStyle w:val="5"/>
      </w:pPr>
      <w:r>
        <w:t>6. Participant and audience feedback</w:t>
      </w:r>
    </w:p>
    <w:p w14:paraId="33A4CB52">
      <w:pPr>
        <w:pStyle w:val="19"/>
        <w:spacing w:after="120" w:line="360" w:lineRule="auto"/>
        <w:ind w:firstLine="425"/>
      </w:pPr>
      <w:r>
        <w:t>In relation to future experiments, I plan to gather feedback from participants and audiences through short conversations, comment prompts, feedback cards, group debriefs or audio reflections, depending on what is suitable to the site. I do not treat audience response as a simplistic impact measure. Rather, I see it as one source of qualitative evidence about how spatial translation is received, what remains legible or obscure, and whether the work supports a meaningful form of aesthetic-civic encounter.</w:t>
      </w:r>
    </w:p>
    <w:p w14:paraId="23BA59C0">
      <w:pPr>
        <w:pStyle w:val="4"/>
      </w:pPr>
      <w:r>
        <w:t>4.6 Data analysis: reflexive thematic analysis and cross-case synthesis</w:t>
      </w:r>
    </w:p>
    <w:p w14:paraId="2BE586C2">
      <w:pPr>
        <w:pStyle w:val="19"/>
        <w:spacing w:after="120" w:line="360" w:lineRule="auto"/>
        <w:ind w:firstLine="425"/>
      </w:pPr>
      <w:r>
        <w:t>For analysis, I propose to combine reflexive thematic analysis with structured cross-case comparison. Braun and Clarke’s work is useful here because it allows qualitative themes to be developed interpretively rather than treated as neutral containers for recurring content (Braun and Clarke, 2006, 2022). This flexibility is important because my material will be heterogeneous: interview transcripts, fieldnotes, documents, visual records and practice artefacts will not all 'say' the same thing in the same way. Reflexive thematic analysis will allow me to identify patterns across this material while remaining attentive to contradiction, silence, and contextual difference. Cross-case comparison will then enable me to ask which themes appear recurrent, which remain site-specific, and which seem to matter most for framework construction.</w:t>
      </w:r>
    </w:p>
    <w:p w14:paraId="231B5358">
      <w:pPr>
        <w:pStyle w:val="19"/>
        <w:spacing w:after="120" w:line="360" w:lineRule="auto"/>
        <w:ind w:firstLine="425"/>
      </w:pPr>
      <w:r>
        <w:t>The analysis will proceed in several stages. First, I will familiarise myself with interview transcripts, observational notes, documents and artefacts. Second, I will generate initial codes relating to the project’s core concerns, such as issue framing, participation design, spatial translation, stewardship, care, maintenance, institutional mediation and transferability. Third, I will develop candidate themes and write analytic memos that explore how these themes intersect. Fourth, I will compare themes across cases and across my own practice experiments, asking not only what succeeded but where translation broke down, where participation remained purely discursive, or where institutional constraints reshaped the work. Finally, I will use this synthesis to test, revise and possibly reconfigure the four-dimensional framework. The emphasis will therefore fall less on coding volume than on conceptual sharpening.</w:t>
      </w:r>
    </w:p>
    <w:p w14:paraId="325AC9A7">
      <w:pPr>
        <w:pStyle w:val="19"/>
        <w:spacing w:after="120" w:line="360" w:lineRule="auto"/>
        <w:ind w:firstLine="425"/>
      </w:pPr>
      <w:r>
        <w:t>The benefit of this approach is that it keeps analysis open to surprise while remaining oriented by the project’s central questions. It also makes room for failure as data. If a practice experiment produces weak engagement, ambiguous spatial translation, or institutional resistance, these outcomes will not be treated as deviations from the research but as evidence about the limits and conditions of transferability.</w:t>
      </w:r>
    </w:p>
    <w:tbl>
      <w:tblPr>
        <w:tblStyle w:val="32"/>
        <w:tblW w:w="0" w:type="auto"/>
        <w:jc w:val="center"/>
        <w:tblCellSpacing w:w="15"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1547"/>
        <w:gridCol w:w="3007"/>
        <w:gridCol w:w="2961"/>
        <w:gridCol w:w="1981"/>
      </w:tblGrid>
      <w:tr w14:paraId="14E1E116">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PrEx>
        <w:trPr>
          <w:tblHeader/>
          <w:tblCellSpacing w:w="15" w:type="dxa"/>
          <w:jc w:val="center"/>
        </w:trPr>
        <w:tc>
          <w:tcPr>
            <w:tcW w:w="1843"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24384F"/>
            <w:vAlign w:val="center"/>
          </w:tcPr>
          <w:p w14:paraId="298004E2">
            <w:pPr>
              <w:spacing w:before="0" w:after="0" w:line="240" w:lineRule="auto"/>
            </w:pPr>
            <w:r>
              <w:rPr>
                <w:rFonts w:ascii="Times New Roman" w:hAnsi="Times New Roman" w:eastAsia="Times New Roman"/>
                <w:b/>
                <w:color w:val="FFFFFF"/>
                <w:sz w:val="15"/>
              </w:rPr>
              <w:t>Data source</w:t>
            </w:r>
          </w:p>
        </w:tc>
        <w:tc>
          <w:tcPr>
            <w:tcW w:w="2520"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24384F"/>
            <w:vAlign w:val="center"/>
          </w:tcPr>
          <w:p w14:paraId="5300DC6E">
            <w:pPr>
              <w:spacing w:before="0" w:after="0" w:line="240" w:lineRule="auto"/>
            </w:pPr>
            <w:r>
              <w:rPr>
                <w:rFonts w:ascii="Times New Roman" w:hAnsi="Times New Roman" w:eastAsia="Times New Roman"/>
                <w:b/>
                <w:color w:val="FFFFFF"/>
                <w:sz w:val="15"/>
              </w:rPr>
              <w:t>Captures</w:t>
            </w:r>
          </w:p>
        </w:tc>
        <w:tc>
          <w:tcPr>
            <w:tcW w:w="2951"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24384F"/>
            <w:vAlign w:val="center"/>
          </w:tcPr>
          <w:p w14:paraId="17C2F3FA">
            <w:pPr>
              <w:spacing w:before="0" w:after="0" w:line="240" w:lineRule="auto"/>
            </w:pPr>
            <w:r>
              <w:rPr>
                <w:rFonts w:ascii="Times New Roman" w:hAnsi="Times New Roman" w:eastAsia="Times New Roman"/>
                <w:b/>
                <w:color w:val="FFFFFF"/>
                <w:sz w:val="15"/>
              </w:rPr>
              <w:t>Methodological function</w:t>
            </w:r>
          </w:p>
        </w:tc>
        <w:tc>
          <w:tcPr>
            <w:tcW w:w="2088"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24384F"/>
            <w:vAlign w:val="center"/>
          </w:tcPr>
          <w:p w14:paraId="32B368FC">
            <w:pPr>
              <w:spacing w:before="0" w:after="0" w:line="240" w:lineRule="auto"/>
            </w:pPr>
            <w:r>
              <w:rPr>
                <w:rFonts w:ascii="Times New Roman" w:hAnsi="Times New Roman" w:eastAsia="Times New Roman"/>
                <w:b/>
                <w:color w:val="FFFFFF"/>
                <w:sz w:val="15"/>
              </w:rPr>
              <w:t>Planned analysis</w:t>
            </w:r>
          </w:p>
        </w:tc>
      </w:tr>
      <w:tr w14:paraId="78DD162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jc w:val="center"/>
        </w:trPr>
        <w:tc>
          <w:tcPr>
            <w:tcW w:w="1843"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30E2CD21">
            <w:pPr>
              <w:spacing w:before="0" w:after="0" w:line="240" w:lineRule="auto"/>
            </w:pPr>
            <w:r>
              <w:rPr>
                <w:rFonts w:ascii="Times New Roman" w:hAnsi="Times New Roman" w:eastAsia="Times New Roman"/>
                <w:b/>
                <w:color w:val="24384F"/>
                <w:sz w:val="15"/>
              </w:rPr>
              <w:t>Semi-structured interviews</w:t>
            </w:r>
          </w:p>
        </w:tc>
        <w:tc>
          <w:tcPr>
            <w:tcW w:w="2520"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0DBC4F13">
            <w:pPr>
              <w:spacing w:before="0" w:after="0" w:line="240" w:lineRule="auto"/>
            </w:pPr>
            <w:r>
              <w:rPr>
                <w:rFonts w:ascii="Times New Roman" w:hAnsi="Times New Roman" w:eastAsia="Times New Roman"/>
                <w:color w:val="262626"/>
                <w:sz w:val="15"/>
              </w:rPr>
              <w:t>Actor perspectives, institutional logics, curatorial aims and tensions</w:t>
            </w:r>
          </w:p>
        </w:tc>
        <w:tc>
          <w:tcPr>
            <w:tcW w:w="2951"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7961004A">
            <w:pPr>
              <w:spacing w:before="0" w:after="0" w:line="240" w:lineRule="auto"/>
            </w:pPr>
            <w:r>
              <w:rPr>
                <w:rFonts w:ascii="Times New Roman" w:hAnsi="Times New Roman" w:eastAsia="Times New Roman"/>
                <w:color w:val="262626"/>
                <w:sz w:val="15"/>
              </w:rPr>
              <w:t>Reveals divergent interpretations of participation, value and spatial outcomes</w:t>
            </w:r>
          </w:p>
        </w:tc>
        <w:tc>
          <w:tcPr>
            <w:tcW w:w="2088"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4B2C9C18">
            <w:pPr>
              <w:spacing w:before="0" w:after="0" w:line="240" w:lineRule="auto"/>
            </w:pPr>
            <w:r>
              <w:rPr>
                <w:rFonts w:ascii="Times New Roman" w:hAnsi="Times New Roman" w:eastAsia="Times New Roman"/>
                <w:color w:val="262626"/>
                <w:sz w:val="15"/>
              </w:rPr>
              <w:t>Reflexive thematic analysis</w:t>
            </w:r>
          </w:p>
        </w:tc>
      </w:tr>
      <w:tr w14:paraId="5E2FC5B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jc w:val="center"/>
        </w:trPr>
        <w:tc>
          <w:tcPr>
            <w:tcW w:w="1843"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758FE5E9">
            <w:pPr>
              <w:spacing w:before="0" w:after="0" w:line="240" w:lineRule="auto"/>
            </w:pPr>
            <w:r>
              <w:rPr>
                <w:rFonts w:ascii="Times New Roman" w:hAnsi="Times New Roman" w:eastAsia="Times New Roman"/>
                <w:b/>
                <w:color w:val="24384F"/>
                <w:sz w:val="15"/>
              </w:rPr>
              <w:t>Observation / fieldnotes</w:t>
            </w:r>
          </w:p>
        </w:tc>
        <w:tc>
          <w:tcPr>
            <w:tcW w:w="2520"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2790B1F2">
            <w:pPr>
              <w:spacing w:before="0" w:after="0" w:line="240" w:lineRule="auto"/>
            </w:pPr>
            <w:r>
              <w:rPr>
                <w:rFonts w:ascii="Times New Roman" w:hAnsi="Times New Roman" w:eastAsia="Times New Roman"/>
                <w:color w:val="262626"/>
                <w:sz w:val="15"/>
              </w:rPr>
              <w:t>Embodied interaction, spatial behaviour and site dynamics</w:t>
            </w:r>
          </w:p>
        </w:tc>
        <w:tc>
          <w:tcPr>
            <w:tcW w:w="2951"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508F1569">
            <w:pPr>
              <w:spacing w:before="0" w:after="0" w:line="240" w:lineRule="auto"/>
            </w:pPr>
            <w:r>
              <w:rPr>
                <w:rFonts w:ascii="Times New Roman" w:hAnsi="Times New Roman" w:eastAsia="Times New Roman"/>
                <w:color w:val="262626"/>
                <w:sz w:val="15"/>
              </w:rPr>
              <w:t>Shows how participation is enacted spatially rather than only described verbally</w:t>
            </w:r>
          </w:p>
        </w:tc>
        <w:tc>
          <w:tcPr>
            <w:tcW w:w="2088"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2FE21C15">
            <w:pPr>
              <w:spacing w:before="0" w:after="0" w:line="240" w:lineRule="auto"/>
            </w:pPr>
            <w:r>
              <w:rPr>
                <w:rFonts w:ascii="Times New Roman" w:hAnsi="Times New Roman" w:eastAsia="Times New Roman"/>
                <w:color w:val="262626"/>
                <w:sz w:val="15"/>
              </w:rPr>
              <w:t>Thematic coding + site interpretation</w:t>
            </w:r>
          </w:p>
        </w:tc>
      </w:tr>
      <w:tr w14:paraId="27BD36B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jc w:val="center"/>
        </w:trPr>
        <w:tc>
          <w:tcPr>
            <w:tcW w:w="1843"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783C3EC8">
            <w:pPr>
              <w:spacing w:before="0" w:after="0" w:line="240" w:lineRule="auto"/>
            </w:pPr>
            <w:r>
              <w:rPr>
                <w:rFonts w:ascii="Times New Roman" w:hAnsi="Times New Roman" w:eastAsia="Times New Roman"/>
                <w:b/>
                <w:color w:val="24384F"/>
                <w:sz w:val="15"/>
              </w:rPr>
              <w:t>Documents / archives</w:t>
            </w:r>
          </w:p>
        </w:tc>
        <w:tc>
          <w:tcPr>
            <w:tcW w:w="2520"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20A7D37F">
            <w:pPr>
              <w:spacing w:before="0" w:after="0" w:line="240" w:lineRule="auto"/>
            </w:pPr>
            <w:r>
              <w:rPr>
                <w:rFonts w:ascii="Times New Roman" w:hAnsi="Times New Roman" w:eastAsia="Times New Roman"/>
                <w:color w:val="262626"/>
                <w:sz w:val="15"/>
              </w:rPr>
              <w:t>Project aims, organisational language, evaluation and public framing</w:t>
            </w:r>
          </w:p>
        </w:tc>
        <w:tc>
          <w:tcPr>
            <w:tcW w:w="2951"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64C0929C">
            <w:pPr>
              <w:spacing w:before="0" w:after="0" w:line="240" w:lineRule="auto"/>
            </w:pPr>
            <w:r>
              <w:rPr>
                <w:rFonts w:ascii="Times New Roman" w:hAnsi="Times New Roman" w:eastAsia="Times New Roman"/>
                <w:color w:val="262626"/>
                <w:sz w:val="15"/>
              </w:rPr>
              <w:t>Tests official narratives against field and participant accounts</w:t>
            </w:r>
          </w:p>
        </w:tc>
        <w:tc>
          <w:tcPr>
            <w:tcW w:w="2088"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78994CFA">
            <w:pPr>
              <w:spacing w:before="0" w:after="0" w:line="240" w:lineRule="auto"/>
            </w:pPr>
            <w:r>
              <w:rPr>
                <w:rFonts w:ascii="Times New Roman" w:hAnsi="Times New Roman" w:eastAsia="Times New Roman"/>
                <w:color w:val="262626"/>
                <w:sz w:val="15"/>
              </w:rPr>
              <w:t>Documentary analysis</w:t>
            </w:r>
          </w:p>
        </w:tc>
      </w:tr>
      <w:tr w14:paraId="760251ED">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jc w:val="center"/>
        </w:trPr>
        <w:tc>
          <w:tcPr>
            <w:tcW w:w="1843"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0BF3E718">
            <w:pPr>
              <w:spacing w:before="0" w:after="0" w:line="240" w:lineRule="auto"/>
            </w:pPr>
            <w:r>
              <w:rPr>
                <w:rFonts w:ascii="Times New Roman" w:hAnsi="Times New Roman" w:eastAsia="Times New Roman"/>
                <w:b/>
                <w:color w:val="24384F"/>
                <w:sz w:val="15"/>
              </w:rPr>
              <w:t>Reflexive journal</w:t>
            </w:r>
          </w:p>
        </w:tc>
        <w:tc>
          <w:tcPr>
            <w:tcW w:w="2520"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63DA9D11">
            <w:pPr>
              <w:spacing w:before="0" w:after="0" w:line="240" w:lineRule="auto"/>
            </w:pPr>
            <w:r>
              <w:rPr>
                <w:rFonts w:ascii="Times New Roman" w:hAnsi="Times New Roman" w:eastAsia="Times New Roman"/>
                <w:color w:val="262626"/>
                <w:sz w:val="15"/>
              </w:rPr>
              <w:t>Design decisions, conceptual shifts, positionality and dilemmas</w:t>
            </w:r>
          </w:p>
        </w:tc>
        <w:tc>
          <w:tcPr>
            <w:tcW w:w="2951"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234ACFFC">
            <w:pPr>
              <w:spacing w:before="0" w:after="0" w:line="240" w:lineRule="auto"/>
            </w:pPr>
            <w:r>
              <w:rPr>
                <w:rFonts w:ascii="Times New Roman" w:hAnsi="Times New Roman" w:eastAsia="Times New Roman"/>
                <w:color w:val="262626"/>
                <w:sz w:val="15"/>
              </w:rPr>
              <w:t>Builds an audit trail and guards against self-confirming interpretation</w:t>
            </w:r>
          </w:p>
        </w:tc>
        <w:tc>
          <w:tcPr>
            <w:tcW w:w="2088"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7F8FA"/>
            <w:vAlign w:val="center"/>
          </w:tcPr>
          <w:p w14:paraId="2AA19A61">
            <w:pPr>
              <w:spacing w:before="0" w:after="0" w:line="240" w:lineRule="auto"/>
            </w:pPr>
            <w:r>
              <w:rPr>
                <w:rFonts w:ascii="Times New Roman" w:hAnsi="Times New Roman" w:eastAsia="Times New Roman"/>
                <w:color w:val="262626"/>
                <w:sz w:val="15"/>
              </w:rPr>
              <w:t>Reflexive memoing</w:t>
            </w:r>
          </w:p>
        </w:tc>
      </w:tr>
      <w:tr w14:paraId="58D48F6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jc w:val="center"/>
        </w:trPr>
        <w:tc>
          <w:tcPr>
            <w:tcW w:w="1843"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3B98450F">
            <w:pPr>
              <w:spacing w:before="0" w:after="0" w:line="240" w:lineRule="auto"/>
            </w:pPr>
            <w:r>
              <w:rPr>
                <w:rFonts w:ascii="Times New Roman" w:hAnsi="Times New Roman" w:eastAsia="Times New Roman"/>
                <w:b/>
                <w:color w:val="24384F"/>
                <w:sz w:val="15"/>
              </w:rPr>
              <w:t>Practice experiments</w:t>
            </w:r>
          </w:p>
        </w:tc>
        <w:tc>
          <w:tcPr>
            <w:tcW w:w="2520"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418531CA">
            <w:pPr>
              <w:spacing w:before="0" w:after="0" w:line="240" w:lineRule="auto"/>
            </w:pPr>
            <w:r>
              <w:rPr>
                <w:rFonts w:ascii="Times New Roman" w:hAnsi="Times New Roman" w:eastAsia="Times New Roman"/>
                <w:color w:val="262626"/>
                <w:sz w:val="15"/>
              </w:rPr>
              <w:t>Spatial translation strategies, adaptation and practical constraints</w:t>
            </w:r>
          </w:p>
        </w:tc>
        <w:tc>
          <w:tcPr>
            <w:tcW w:w="2951"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4EBDF1E8">
            <w:pPr>
              <w:spacing w:before="0" w:after="0" w:line="240" w:lineRule="auto"/>
            </w:pPr>
            <w:r>
              <w:rPr>
                <w:rFonts w:ascii="Times New Roman" w:hAnsi="Times New Roman" w:eastAsia="Times New Roman"/>
                <w:color w:val="262626"/>
                <w:sz w:val="15"/>
              </w:rPr>
              <w:t>Tests how social process becomes spatial experience in practice</w:t>
            </w:r>
          </w:p>
        </w:tc>
        <w:tc>
          <w:tcPr>
            <w:tcW w:w="2088" w:type="dxa"/>
            <w:tcBorders>
              <w:top w:val="single" w:color="D6DEE8" w:sz="4" w:space="0"/>
              <w:left w:val="single" w:color="D6DEE8" w:sz="4" w:space="0"/>
              <w:bottom w:val="single" w:color="D6DEE8" w:sz="4" w:space="0"/>
              <w:right w:val="single" w:color="D6DEE8" w:sz="4" w:space="0"/>
              <w:insideH w:val="single" w:sz="4" w:space="0"/>
              <w:insideV w:val="single" w:sz="4" w:space="0"/>
            </w:tcBorders>
            <w:shd w:val="clear" w:color="auto" w:fill="FFFFFF"/>
            <w:vAlign w:val="center"/>
          </w:tcPr>
          <w:p w14:paraId="517BDBAF">
            <w:pPr>
              <w:spacing w:before="0" w:after="0" w:line="240" w:lineRule="auto"/>
            </w:pPr>
            <w:r>
              <w:rPr>
                <w:rFonts w:ascii="Times New Roman" w:hAnsi="Times New Roman" w:eastAsia="Times New Roman"/>
                <w:color w:val="262626"/>
                <w:sz w:val="15"/>
              </w:rPr>
              <w:t>Iterative comparison + synthesis</w:t>
            </w:r>
          </w:p>
        </w:tc>
      </w:tr>
    </w:tbl>
    <w:p w14:paraId="0DC17DF2">
      <w:pPr>
        <w:pStyle w:val="15"/>
        <w:spacing w:before="60" w:after="180"/>
        <w:jc w:val="center"/>
      </w:pPr>
      <w:r>
        <w:rPr>
          <w:rFonts w:ascii="Times New Roman" w:hAnsi="Times New Roman" w:eastAsia="Times New Roman"/>
          <w:i/>
          <w:color w:val="4B5563"/>
          <w:sz w:val="18"/>
        </w:rPr>
        <w:t>Table 2. Data sources and planned analysis.</w:t>
      </w:r>
    </w:p>
    <w:p w14:paraId="5F8E82BD">
      <w:pPr>
        <w:spacing w:before="120" w:after="60"/>
        <w:jc w:val="center"/>
      </w:pPr>
      <w:r>
        <w:drawing>
          <wp:inline distT="0" distB="0" distL="114300" distR="114300">
            <wp:extent cx="5577840" cy="3538220"/>
            <wp:effectExtent l="0" t="0" r="381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stretch>
                      <a:fillRect/>
                    </a:stretch>
                  </pic:blipFill>
                  <pic:spPr>
                    <a:xfrm>
                      <a:off x="0" y="0"/>
                      <a:ext cx="5577840" cy="3538524"/>
                    </a:xfrm>
                    <a:prstGeom prst="rect">
                      <a:avLst/>
                    </a:prstGeom>
                  </pic:spPr>
                </pic:pic>
              </a:graphicData>
            </a:graphic>
          </wp:inline>
        </w:drawing>
      </w:r>
    </w:p>
    <w:p w14:paraId="246CCFE4">
      <w:pPr>
        <w:pStyle w:val="15"/>
        <w:spacing w:before="60" w:after="180"/>
        <w:jc w:val="center"/>
      </w:pPr>
      <w:r>
        <w:rPr>
          <w:rFonts w:ascii="Times New Roman" w:hAnsi="Times New Roman" w:eastAsia="Times New Roman"/>
          <w:i/>
          <w:color w:val="4B5563"/>
          <w:sz w:val="18"/>
        </w:rPr>
        <w:t>Figure 4. Evidence triangulation and analytic workflow.</w:t>
      </w:r>
    </w:p>
    <w:p w14:paraId="68B24F15">
      <w:pPr>
        <w:pStyle w:val="4"/>
      </w:pPr>
      <w:r>
        <w:t>4.7 Interweaving practice, experimentation and analysis</w:t>
      </w:r>
    </w:p>
    <w:p w14:paraId="38DF05AF">
      <w:pPr>
        <w:pStyle w:val="19"/>
        <w:spacing w:after="120" w:line="360" w:lineRule="auto"/>
        <w:ind w:firstLine="425"/>
      </w:pPr>
      <w:r>
        <w:t>A major requirement of this project is that practice and analysis should not be separated artificially. I therefore propose a phased but iterative structure in which each stage places pressure on the next.</w:t>
      </w:r>
    </w:p>
    <w:p w14:paraId="1ACEABA8">
      <w:pPr>
        <w:pStyle w:val="5"/>
      </w:pPr>
      <w:r>
        <w:t>Phase 1: scoping and conceptual mapping</w:t>
      </w:r>
    </w:p>
    <w:p w14:paraId="03D00FE7">
      <w:pPr>
        <w:pStyle w:val="19"/>
        <w:spacing w:after="120" w:line="360" w:lineRule="auto"/>
        <w:ind w:firstLine="425"/>
      </w:pPr>
      <w:r>
        <w:t>I will begin by consolidating the literature review, refining case selection criteria, conducting preliminary conversations with relevant practitioners and institutions, and identifying the practical questions that emerge most forcefully from the literature. This phase is not preparatory in a trivial sense; it establishes the conceptual discipline required for later practice.</w:t>
      </w:r>
    </w:p>
    <w:p w14:paraId="6328EE49">
      <w:pPr>
        <w:pStyle w:val="5"/>
      </w:pPr>
      <w:r>
        <w:t>Phase 2: comparative case analysis</w:t>
      </w:r>
    </w:p>
    <w:p w14:paraId="60CE925D">
      <w:pPr>
        <w:pStyle w:val="19"/>
        <w:spacing w:after="120" w:line="360" w:lineRule="auto"/>
        <w:ind w:firstLine="425"/>
      </w:pPr>
      <w:r>
        <w:t>I will then undertake the main comparative case work, collecting interview, documentary, and observational data where feasible. This phase will help me understand how existing projects have framed public issues, designed participation, produced spatial forms, and managed continuity or aftercare. It will also allow me to see which of these dimensions appear most transferable and which remain highly context-bound.</w:t>
      </w:r>
    </w:p>
    <w:p w14:paraId="740D274B">
      <w:pPr>
        <w:pStyle w:val="5"/>
      </w:pPr>
      <w:r>
        <w:t>Phase 3: first practice experiment cycle</w:t>
      </w:r>
    </w:p>
    <w:p w14:paraId="1FEBCE22">
      <w:pPr>
        <w:pStyle w:val="19"/>
        <w:spacing w:after="120" w:line="360" w:lineRule="auto"/>
        <w:ind w:firstLine="425"/>
      </w:pPr>
      <w:r>
        <w:t>Based on the first analytic cycle, I plan to develop an initial practical intervention in the UK context. This experiment may take the form of a workshop-linked installation, a participatory exhibition element, or another site-responsive spatial format. Its purpose will not be to demonstrate a finished model but to expose the framework to practice and to test where translation holds, fails, or requires revision.</w:t>
      </w:r>
    </w:p>
    <w:p w14:paraId="35FF0BE8">
      <w:pPr>
        <w:pStyle w:val="5"/>
      </w:pPr>
      <w:r>
        <w:t>Phase 4: analytic return and framework building</w:t>
      </w:r>
    </w:p>
    <w:p w14:paraId="6492938A">
      <w:pPr>
        <w:pStyle w:val="19"/>
        <w:spacing w:after="120" w:line="360" w:lineRule="auto"/>
        <w:ind w:firstLine="425"/>
      </w:pPr>
      <w:r>
        <w:t>After the first experiment, I will return to analysis, comparing insights from practice with those from the selected cases. At this stage I aim to refine the four-dimensional framework and identify where assumptions made in the literature do not withstand practical testing. This recursive move is central to the doctoral contribution because it is through such returns that a transferable model can become analytically serious rather than merely aspirational.</w:t>
      </w:r>
    </w:p>
    <w:p w14:paraId="4ECE03FD">
      <w:pPr>
        <w:pStyle w:val="5"/>
      </w:pPr>
      <w:r>
        <w:t>Phase 5: further experimentation and translational refinement</w:t>
      </w:r>
    </w:p>
    <w:p w14:paraId="72746A61">
      <w:pPr>
        <w:pStyle w:val="19"/>
        <w:spacing w:after="120" w:line="360" w:lineRule="auto"/>
        <w:ind w:firstLine="425"/>
      </w:pPr>
      <w:r>
        <w:t>If feasible within the doctoral timetable, I will conduct additional small-scale experiments that test the framework in a different type of setting, for example moving from a community-oriented environment to an institutional one or vice versa. Such variation would be valuable because transferability can only be claimed persuasively if a framework has been placed under pressure in more than one kind of site.</w:t>
      </w:r>
    </w:p>
    <w:p w14:paraId="344F07C7">
      <w:pPr>
        <w:pStyle w:val="4"/>
      </w:pPr>
      <w:r>
        <w:t>4.8 Ethics as continuing practice</w:t>
      </w:r>
    </w:p>
    <w:p w14:paraId="5B933D12">
      <w:pPr>
        <w:pStyle w:val="19"/>
        <w:spacing w:after="120" w:line="360" w:lineRule="auto"/>
        <w:ind w:firstLine="425"/>
      </w:pPr>
      <w:r>
        <w:t>The ethical dimension of this project is substantial because participatory public art does not merely collect data from people; it involves them in meaning-making, representation, and sometimes in the public circulation of sensitive material. I therefore treat ethics as ongoing practice rather than one-off approval. The first question is consent, but not in the narrow sense of a single signed form. Participants may initially agree to a workshop or conversation without anticipating how their words, images or spatial contributions might later be framed in documentation, exhibition, or analysis. Consent will therefore need to be negotiated in stages and revisited whenever the form or visibility of the work changes (Pavarini et al., 2021).</w:t>
      </w:r>
    </w:p>
    <w:p w14:paraId="7C36455B">
      <w:pPr>
        <w:pStyle w:val="19"/>
        <w:spacing w:after="120" w:line="360" w:lineRule="auto"/>
        <w:ind w:firstLine="425"/>
      </w:pPr>
      <w:r>
        <w:t>Second, there is the question of authorship and ownership. If participants contribute stories, images, design ideas or material traces, I cannot assume that artistic framing gives me unrestricted interpretive authority. I plan to develop clear agreements about attribution, use and re-use, while recognising that collective work may not fit neat individual authorship models. The goal will be neither total artist control nor naïve claims of horizontality, but explicit negotiation.</w:t>
      </w:r>
    </w:p>
    <w:p w14:paraId="03FE1095">
      <w:pPr>
        <w:pStyle w:val="19"/>
        <w:spacing w:after="120" w:line="360" w:lineRule="auto"/>
        <w:ind w:firstLine="425"/>
      </w:pPr>
      <w:r>
        <w:t>Third, there is the question of care and burden. Participatory projects often ask for time, emotional energy and trust, sometimes from people or organisations already under pressure. Belfiore’s (2022) critique of hidden labour is instructive here. I will need to consider carefully what I ask from collaborators, what support the project can realistically provide, and whether a proposed experiment risks instrumentalising participants in the name of research or social good.</w:t>
      </w:r>
    </w:p>
    <w:p w14:paraId="33EE13B0">
      <w:pPr>
        <w:pStyle w:val="19"/>
        <w:spacing w:after="120" w:line="360" w:lineRule="auto"/>
        <w:ind w:firstLine="425"/>
      </w:pPr>
      <w:r>
        <w:t>Fourth, there is the question of institutional ethics. Museums, galleries, community centres and public sites all have their own expectations, risk thresholds and exclusions. Ethical practice will therefore include negotiation with institutions as well as with participants. I will need to document how institutional conditions shape what can be said, shown and sustained, because these conditions are not merely logistical; they are part of the knowledge the research is trying to produce.</w:t>
      </w:r>
    </w:p>
    <w:p w14:paraId="4AA30F4C">
      <w:pPr>
        <w:pStyle w:val="19"/>
        <w:spacing w:after="120" w:line="360" w:lineRule="auto"/>
        <w:ind w:firstLine="425"/>
        <w:rPr>
          <w:rFonts w:hint="default"/>
        </w:rPr>
      </w:pPr>
      <w:r>
        <w:t>In qualitative work of this kind, rigour cannot be reduced to replicability in a positivist sense. Following Lincoln and Guba (1985), I will pursue trustworthiness through credibility, dependability, transferability and confirmability. In practical terms, this means triangulating across interviews, documents, observation and artefacts; keeping a clear audit trail of sampling, coding and design decisions; and making explicit how interpretation develops across the project. Transferability, in particular, will be addressed not by claiming universal applicability but by providing sufficiently thick and analytically structured accounts so that readers can judge where the framework might travel and where it should be modified.</w:t>
      </w:r>
    </w:p>
    <w:p w14:paraId="426D5C1F">
      <w:pPr>
        <w:pStyle w:val="19"/>
        <w:spacing w:after="120" w:line="360" w:lineRule="auto"/>
        <w:ind w:firstLine="425"/>
      </w:pPr>
      <w:r>
        <w:t>I also expect member-oriented checking to be useful in selective ways. For example, where it is appropriate and feasible, I may share emerging interpretations with participants or collaborating practitioners to test whether my readings are recognisable, reductive or unfair. This will not function as a simplistic validation procedure in which participants have the final word on analysis; rather, it will serve as one way of exposing my interpretations to external pressure. In a project concerned with translation across institutions and publics, that kind of disciplined exposure is methodologically valuable.</w:t>
      </w:r>
    </w:p>
    <w:p w14:paraId="642E13B2">
      <w:pPr>
        <w:pStyle w:val="19"/>
        <w:spacing w:after="120" w:line="360" w:lineRule="auto"/>
        <w:ind w:firstLine="425"/>
      </w:pPr>
    </w:p>
    <w:p w14:paraId="72394E38">
      <w:pPr>
        <w:pStyle w:val="4"/>
      </w:pPr>
      <w:r>
        <w:t>4.10 Strengths and limitations of the proposed design</w:t>
      </w:r>
    </w:p>
    <w:p w14:paraId="0CDCCFE5">
      <w:pPr>
        <w:pStyle w:val="19"/>
        <w:spacing w:after="120" w:line="360" w:lineRule="auto"/>
        <w:ind w:firstLine="425"/>
      </w:pPr>
      <w:r>
        <w:t>The principal strength of this design is its fit with the problem it seeks to address. By combining comparative case analysis with future practice experiments, it avoids two common weaknesses: the abstraction of theory from practice, and the overgeneralisation of one practice as if it were already a model. It is also sufficiently open to admit methodological adjustment. Should later stages reveal that some narrower quantitative or evaluative tools would help clarify audience reach, patterning of use, or institutional uptake, they could be incorporated without displacing the project’s interpretive centre of gravity.</w:t>
      </w:r>
    </w:p>
    <w:p w14:paraId="3E6C975F">
      <w:pPr>
        <w:pStyle w:val="19"/>
        <w:spacing w:after="120" w:line="360" w:lineRule="auto"/>
        <w:ind w:firstLine="425"/>
      </w:pPr>
      <w:r>
        <w:t>A second strength is that the framework is specific enough to organise analysis without becoming formulaic. The four dimensions - issue framing, participation design, spatial translation, and site adaptability and management - provide a disciplined way to compare projects while leaving room for context-specific variation. In this sense, the framework aims for structured openness rather than rigid prescription.</w:t>
      </w:r>
    </w:p>
    <w:p w14:paraId="273E6126">
      <w:pPr>
        <w:pStyle w:val="19"/>
        <w:spacing w:after="120" w:line="360" w:lineRule="auto"/>
        <w:ind w:firstLine="425"/>
      </w:pPr>
      <w:r>
        <w:t>The design nevertheless has limitations. It will not produce statistically generalisable findings. Access to high-quality case material will vary across projects and institutions. Some cases will be richly documented while others will be partially opaque. Cross-cultural comparison also introduces asymmetries of language, archive, and institutional transparency that may shape what can be known. Moreover, because the framework is being developed through an iterative doctoral process, there is a risk that its categories may initially reflect my own conceptual commitments more strongly than the empirical material warrants. That risk cannot be eliminated, but it can be reduced through reflexive memoing, comparison, and willingness to let the framework change under pressure from the data.</w:t>
      </w:r>
    </w:p>
    <w:p w14:paraId="59EFECA8">
      <w:pPr>
        <w:pStyle w:val="19"/>
        <w:spacing w:after="120" w:line="360" w:lineRule="auto"/>
        <w:ind w:firstLine="425"/>
      </w:pPr>
      <w:r>
        <w:t>Another limitation concerns role multiplicity. Because I plan to act as artist, researcher, organiser, facilitator, and analyst at different points, I will influence the situations I study. Yet this is not a reason to abandon practice-based inquiry; it is a reason to be methodologically explicit about it. My position may grant insight into design decisions and institutional negotiation that an external observer would miss, while also creating blind spots around my own preferences and investments. The success of the project will therefore depend partly on how rigorously I document those investments and partly on whether I can build enough comparative and dialogic pressure into the design to resist merely confirming what I already hope to find.</w:t>
      </w:r>
    </w:p>
    <w:p w14:paraId="16C1854A">
      <w:pPr>
        <w:pStyle w:val="3"/>
      </w:pPr>
      <w:r>
        <w:t>5. Discussion: why this design is appropriate to the research question</w:t>
      </w:r>
    </w:p>
    <w:p w14:paraId="1B03618A">
      <w:pPr>
        <w:pStyle w:val="19"/>
        <w:spacing w:after="120" w:line="360" w:lineRule="auto"/>
        <w:ind w:firstLine="425"/>
      </w:pPr>
      <w:r>
        <w:t>The research design proposed here follows directly from the argument developed in the literature review. If participatory public art is approached only as a discursive, ethical, or event-based phenomenon, then the most important dimensions of my research problem remain invisible. The point is not simply that participation happens, but that participatory processes may or may not be translated into spatial forms, sustained through institutional care, and adapted across settings. A design limited to textual interpretation would miss how these processes are materially staged; a design limited to making would miss how they are narrated, negotiated, and compared. The proposed combination of case analysis, future practice experimentation and qualitative inquiry is therefore not methodologically eclectic for its own sake. It is a deliberate answer to the layered structure of the problem.</w:t>
      </w:r>
    </w:p>
    <w:p w14:paraId="2E56B9D2">
      <w:pPr>
        <w:pStyle w:val="19"/>
        <w:spacing w:after="120" w:line="360" w:lineRule="auto"/>
        <w:ind w:firstLine="425"/>
      </w:pPr>
      <w:r>
        <w:t>The design is also appropriate because it preserves a distinction that I consider crucial: transferability is not standardisation. The model I hope to build will not tell every community, museum, or public site to follow the same sequence of actions. Rather, it will identify dimensions that require situated judgement: what issue is being framed, who is participating and with what degree of agency, how social process is being translated spatially, and how the work is maintained, evaluated, or adapted. This is why I describe the desired outcome as a transferable framework rather than a toolkit of fixed steps. It should be able to travel conceptually while changing operationally.</w:t>
      </w:r>
    </w:p>
    <w:p w14:paraId="4694CCBA">
      <w:pPr>
        <w:pStyle w:val="19"/>
        <w:spacing w:after="120" w:line="360" w:lineRule="auto"/>
        <w:ind w:firstLine="425"/>
      </w:pPr>
      <w:r>
        <w:t>Moreover, the design aligns with my pedagogical motivation. Because I am concerned with the limited opportunities many people have to encounter art through direct co-creative practice, I need methods capable of analysing not only participation rates but forms of aesthetic experience and learning. Practice experiments, observations, interviews, and feedback materials will help me examine whether participatory public art can operate as a mode of public pedagogy rather than simply as event programming.</w:t>
      </w:r>
    </w:p>
    <w:p w14:paraId="19377368">
      <w:pPr>
        <w:pStyle w:val="19"/>
        <w:spacing w:after="120" w:line="360" w:lineRule="auto"/>
        <w:ind w:firstLine="425"/>
      </w:pPr>
      <w:r>
        <w:t>Finally, the design responds to the ethical and organisational difficulty of participatory public art. Questions of stewardship, aftercare, and institutional responsibility are often treated as secondary to the more visible moments of participation, yet they may be decisive for whether a project becomes publicly meaningful beyond its immediate event (Jackson, 2011; Belfiore, 2022). By building those concerns directly into case selection, data collection and analysis, the design seeks to avoid a recurrent weakness in the field: the tendency to describe public activation without explaining how it is held, translated, or responsibly sustained. In that respect, the project aims not only to analyse participatory public art but to recalibrate what counts as success within it.</w:t>
      </w:r>
    </w:p>
    <w:p w14:paraId="0CB78CF9">
      <w:pPr>
        <w:pStyle w:val="19"/>
        <w:spacing w:before="120" w:after="60" w:line="360" w:lineRule="auto"/>
        <w:ind w:firstLine="425"/>
        <w:jc w:val="center"/>
        <w:rPr>
          <w:rFonts w:hint="eastAsia" w:eastAsia="宋体"/>
          <w:lang w:eastAsia="zh-CN"/>
        </w:rPr>
      </w:pPr>
      <w:r>
        <w:rPr>
          <w:rFonts w:hint="eastAsia" w:eastAsia="宋体"/>
          <w:lang w:eastAsia="zh-CN"/>
        </w:rPr>
        <w:drawing>
          <wp:inline distT="0" distB="0" distL="114300" distR="114300">
            <wp:extent cx="5577840" cy="3538220"/>
            <wp:effectExtent l="0" t="0" r="1905" b="2540"/>
            <wp:docPr id="4" name="图片 4" descr="Figure 4.Adaptive transferable framework emerging from the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Figure 4.Adaptive transferable framework emerging from the study"/>
                    <pic:cNvPicPr>
                      <a:picLocks noChangeAspect="1"/>
                    </pic:cNvPicPr>
                  </pic:nvPicPr>
                  <pic:blipFill>
                    <a:blip r:embed="rId10"/>
                    <a:stretch>
                      <a:fillRect/>
                    </a:stretch>
                  </pic:blipFill>
                  <pic:spPr>
                    <a:xfrm>
                      <a:off x="0" y="0"/>
                      <a:ext cx="5577840" cy="3538524"/>
                    </a:xfrm>
                    <a:prstGeom prst="rect">
                      <a:avLst/>
                    </a:prstGeom>
                  </pic:spPr>
                </pic:pic>
              </a:graphicData>
            </a:graphic>
          </wp:inline>
        </w:drawing>
      </w:r>
    </w:p>
    <w:p w14:paraId="10D524C4">
      <w:pPr>
        <w:pStyle w:val="15"/>
        <w:spacing w:before="60" w:after="180"/>
        <w:jc w:val="center"/>
        <w:rPr>
          <w:rFonts w:hint="eastAsia" w:eastAsia="宋体"/>
          <w:lang w:eastAsia="zh-CN"/>
        </w:rPr>
      </w:pPr>
      <w:r>
        <w:rPr>
          <w:rFonts w:ascii="Times New Roman" w:hAnsi="Times New Roman" w:eastAsia="Times New Roman"/>
          <w:i/>
          <w:color w:val="4B5563"/>
          <w:sz w:val="18"/>
        </w:rPr>
        <w:t>Figure 5. Adaptive transferable framework emerging from the study.</w:t>
      </w:r>
    </w:p>
    <w:p w14:paraId="583D6CFB">
      <w:pPr>
        <w:pStyle w:val="3"/>
      </w:pPr>
      <w:r>
        <w:t>6. Conclusion</w:t>
      </w:r>
    </w:p>
    <w:p w14:paraId="5B9C63B6">
      <w:pPr>
        <w:pStyle w:val="19"/>
        <w:spacing w:after="120" w:line="360" w:lineRule="auto"/>
        <w:ind w:firstLine="425"/>
      </w:pPr>
      <w:r>
        <w:t>This article has argued that the decisive methodological challenge in participatory public art is not simply to generate interaction, but to understand how participation may be translated into spatial experience and, in turn, how such translation may support the development of adaptive and transferable models across different sites. By reorganising the literature around durability, stewardship, transferability and cross-cultural translation, I have suggested that the field’s key weakness is not a lack of enthusiasm for participation but an insufficiently developed account of what participation leaves behind, how it is materially and institutionally held, and how it might travel without becoming formulaic.</w:t>
      </w:r>
    </w:p>
    <w:p w14:paraId="4F460820">
      <w:pPr>
        <w:pStyle w:val="19"/>
        <w:spacing w:after="120" w:line="360" w:lineRule="auto"/>
        <w:ind w:firstLine="425"/>
      </w:pPr>
      <w:r>
        <w:t>In response, I have proposed a practice-integrated research design centred on qualitative inquiry and combining comparative case analysis, future practice experiments, interviews, observation, documentary analysis, reflexive journaling and thematic analysis. At the present stage, this design is the most coherent way to investigate a wicked problem in which artistic form, public pedagogy, institutional mediation, and cultural translation are inseparable (Rittel and Webber, 1973; Lincoln and Guba, 1985; Braun and Clarke, 2022). The design remains open to later methodological supplementation where analytically justified, but its present strength lies in its capacity to examine process, relation, space, and interpretation together rather than in isolation.</w:t>
      </w:r>
    </w:p>
    <w:p w14:paraId="42792911">
      <w:pPr>
        <w:pStyle w:val="19"/>
        <w:spacing w:after="120" w:line="360" w:lineRule="auto"/>
        <w:ind w:firstLine="425"/>
      </w:pPr>
      <w:r>
        <w:t>The contribution I seek is not a universal formula for socially engaged art. Rather, I aim to construct a transferable and adaptive framework that could help artists, museums, communities, and cultural institutions think more rigorously about how participatory processes become spatial experiences and how those experiences might be sustained, evaluated, and translated across settings. If successful, the project will contribute not only to debates on new genre public art, but also to wider discussions of public pedagogy, cultural governance, and practice-based research. Above all, it will argue that participation matters most not when it produces a fleeting event of visibility, but when it reorganises how publics can inhabit, learn through, and return to space.</w:t>
      </w:r>
    </w:p>
    <w:p w14:paraId="3D968D74">
      <w:pPr>
        <w:pStyle w:val="3"/>
      </w:pPr>
      <w:r>
        <w:t>References</w:t>
      </w:r>
    </w:p>
    <w:p w14:paraId="1747FF12">
      <w:pPr>
        <w:pStyle w:val="19"/>
        <w:spacing w:after="60" w:line="240" w:lineRule="auto"/>
        <w:ind w:left="425" w:hanging="425"/>
      </w:pPr>
      <w:r>
        <w:t>Baum, F., MacDougall, C. and Smith, D. (2006) 'Participatory action research', Journal of Epidemiology and Community Health, 60(10), pp. 854-857. https://doi.org/10.1136/jech.2004.028662</w:t>
      </w:r>
    </w:p>
    <w:p w14:paraId="38CA862E">
      <w:pPr>
        <w:pStyle w:val="19"/>
        <w:spacing w:after="60" w:line="240" w:lineRule="auto"/>
        <w:ind w:left="425" w:hanging="425"/>
      </w:pPr>
      <w:r>
        <w:t>Belfiore, E. (2022) 'Who cares? At what price? The hidden costs of socially engaged arts labour and the moral failure of cultural policy', European Journal of Cultural Studies, 25(1), pp. 61-78. https://doi.org/10.1177/1367549420982863</w:t>
      </w:r>
    </w:p>
    <w:p w14:paraId="68F940CB">
      <w:pPr>
        <w:pStyle w:val="19"/>
        <w:spacing w:after="60" w:line="240" w:lineRule="auto"/>
        <w:ind w:left="425" w:hanging="425"/>
      </w:pPr>
      <w:r>
        <w:t>Bishop, C. (2012) Artificial Hells: Participatory Art and the Politics of Spectatorship. London: Verso.</w:t>
      </w:r>
    </w:p>
    <w:p w14:paraId="30551A55">
      <w:pPr>
        <w:pStyle w:val="19"/>
        <w:spacing w:after="60" w:line="240" w:lineRule="auto"/>
        <w:ind w:left="425" w:hanging="425"/>
      </w:pPr>
      <w:r>
        <w:t>Braun, V. and Clarke, V. (2006) 'Using thematic analysis in psychology', Qualitative Research in Psychology, 3(2), pp. 77-101. https://doi.org/10.1191/1478088706qp063oa</w:t>
      </w:r>
    </w:p>
    <w:p w14:paraId="5DBA35E1">
      <w:pPr>
        <w:pStyle w:val="19"/>
        <w:spacing w:after="60" w:line="240" w:lineRule="auto"/>
        <w:ind w:left="425" w:hanging="425"/>
      </w:pPr>
      <w:r>
        <w:t>Braun, V. and Clarke, V. (2022) 'Toward good practice in thematic analysis: Avoiding common problems and be(com)ing a knowing researcher', International Journal of Transgender Health, 24(1), pp. 1-15. https://doi.org/10.1080/26895269.2022.2129597</w:t>
      </w:r>
    </w:p>
    <w:p w14:paraId="560984F9">
      <w:pPr>
        <w:pStyle w:val="19"/>
        <w:spacing w:after="60" w:line="240" w:lineRule="auto"/>
        <w:ind w:left="425" w:hanging="425"/>
      </w:pPr>
      <w:r>
        <w:t>Candy, L. and Edmonds, E. (2018) 'Practice-based research in the creative arts', Leonardo, 51(1), pp. 63-69. https://doi.org/10.1162/LEON_a_01471</w:t>
      </w:r>
    </w:p>
    <w:p w14:paraId="605C399B">
      <w:pPr>
        <w:pStyle w:val="19"/>
        <w:spacing w:after="60" w:line="240" w:lineRule="auto"/>
        <w:ind w:left="425" w:hanging="425"/>
      </w:pPr>
      <w:r>
        <w:t>Finlay, L. (2002) 'Outing the researcher: The provenance, process, and practice of reflexivity', Qualitative Health Research, 12(4), pp. 531-545. https://doi.org/10.1177/104973202129120052</w:t>
      </w:r>
    </w:p>
    <w:p w14:paraId="48D6307F">
      <w:pPr>
        <w:pStyle w:val="19"/>
        <w:spacing w:after="60" w:line="240" w:lineRule="auto"/>
        <w:ind w:left="425" w:hanging="425"/>
      </w:pPr>
      <w:r>
        <w:t>Hall, T. and Robertson, I. (2001) 'Public art and urban regeneration: Advocacy, claims and critical debates', Landscape Research, 26(1), pp. 5-26. https://doi.org/10.1080/01426390120024457</w:t>
      </w:r>
    </w:p>
    <w:p w14:paraId="45E3A5EF">
      <w:pPr>
        <w:pStyle w:val="19"/>
      </w:pPr>
      <w:r>
        <w:t>Hansson, P. and Öhman, J. (2022) 'Museum education and sustainable development: A public pedagogy', European Educational Research Journal, 21(3), pp. 469-483. https://doi.org/10.1177/14749041211056443</w:t>
      </w:r>
    </w:p>
    <w:p w14:paraId="02A4973D">
      <w:pPr>
        <w:pStyle w:val="19"/>
        <w:spacing w:after="60" w:line="240" w:lineRule="auto"/>
        <w:ind w:left="425" w:hanging="425"/>
      </w:pPr>
      <w:r>
        <w:t>Haseman, B. (2006) 'A manifesto for performative research', Media International Australia, 118(1), pp. 98-106. https://doi.org/10.1177/1329878X0611800113</w:t>
      </w:r>
    </w:p>
    <w:p w14:paraId="281499D8">
      <w:pPr>
        <w:pStyle w:val="19"/>
        <w:spacing w:after="60" w:line="240" w:lineRule="auto"/>
        <w:ind w:left="425" w:hanging="425"/>
      </w:pPr>
      <w:r>
        <w:t>Hein, H. (1996) 'What is public art? Time, place, and meaning', The Journal of Aesthetics and Art Criticism, 54(1), pp. 1-7. https://doi.org/10.2307/431675</w:t>
      </w:r>
    </w:p>
    <w:p w14:paraId="73589CAA">
      <w:pPr>
        <w:pStyle w:val="19"/>
        <w:spacing w:after="60" w:line="240" w:lineRule="auto"/>
        <w:ind w:left="425" w:hanging="425"/>
      </w:pPr>
      <w:r>
        <w:t>Hochtritt, L., Ahlschwede, W., Halsey-Dutton, B., Fiesel, L.M., Chevalier, L., Miller, T. and Farrar, C. (2018) 'Public pedagogy and social justice in arts education', International Journal of Art &amp; Design Education, 37(2), pp. 287-299. https://doi.org/10.1111/jade.12120</w:t>
      </w:r>
    </w:p>
    <w:p w14:paraId="188D1117">
      <w:pPr>
        <w:pStyle w:val="19"/>
      </w:pPr>
      <w:r>
        <w:t>Jackson, S. (2011) Social Works: Performing Art, Supporting Publics. New York: Routledge.</w:t>
      </w:r>
    </w:p>
    <w:p w14:paraId="49A43442">
      <w:pPr>
        <w:pStyle w:val="19"/>
        <w:spacing w:after="60" w:line="240" w:lineRule="auto"/>
        <w:ind w:left="425" w:hanging="425"/>
      </w:pPr>
      <w:r>
        <w:t>Kester, G.H. (2004) Conversation Pieces: Community and Communication in Modern Art. Berkeley, CA: University of California Press.</w:t>
      </w:r>
    </w:p>
    <w:p w14:paraId="03CD0C43">
      <w:pPr>
        <w:pStyle w:val="19"/>
      </w:pPr>
      <w:r>
        <w:t>Kester, G.H. (2011) The One and the Many: Contemporary Collaborative Art in a Global Context. Durham, NC: Duke University Press.</w:t>
      </w:r>
    </w:p>
    <w:p w14:paraId="627404B3">
      <w:pPr>
        <w:pStyle w:val="19"/>
        <w:spacing w:after="60" w:line="240" w:lineRule="auto"/>
        <w:ind w:left="425" w:hanging="425"/>
      </w:pPr>
      <w:r>
        <w:t>Kwon, M. (2002) One Place after Another: Site-Specific Art and Locational Identity. Cambridge, MA: MIT Press.</w:t>
      </w:r>
    </w:p>
    <w:p w14:paraId="0AC2A2AD">
      <w:pPr>
        <w:pStyle w:val="19"/>
        <w:spacing w:after="60" w:line="240" w:lineRule="auto"/>
        <w:ind w:left="425" w:hanging="425"/>
      </w:pPr>
      <w:r>
        <w:t>Lacy, S. (ed.) (1994) Mapping the Terrain: New Genre Public Art. Seattle, WA: Bay Press.</w:t>
      </w:r>
    </w:p>
    <w:p w14:paraId="530E2959">
      <w:pPr>
        <w:pStyle w:val="19"/>
        <w:spacing w:after="60" w:line="240" w:lineRule="auto"/>
        <w:ind w:left="425" w:hanging="425"/>
      </w:pPr>
      <w:r>
        <w:t>Li, J. (2024) 'Bringing art back to life: The practice of artistic participation in urban China', Inter-Asia Cultural Studies, 25(3), pp. 458-471. https://doi.org/10.1080/14649373.2024.2311534</w:t>
      </w:r>
    </w:p>
    <w:p w14:paraId="271CC5F5">
      <w:pPr>
        <w:pStyle w:val="19"/>
        <w:spacing w:after="60" w:line="240" w:lineRule="auto"/>
        <w:ind w:left="425" w:hanging="425"/>
      </w:pPr>
      <w:r>
        <w:t>Lincoln, Y.S. and Guba, E.G. (1985) Naturalistic Inquiry. Beverly Hills, CA: SAGE.</w:t>
      </w:r>
    </w:p>
    <w:p w14:paraId="26FAA678">
      <w:pPr>
        <w:pStyle w:val="19"/>
        <w:spacing w:after="60" w:line="240" w:lineRule="auto"/>
        <w:ind w:left="425" w:hanging="425"/>
      </w:pPr>
      <w:r>
        <w:t>Pavarini, G., Smith, L.M., Shaughnessy, N., Mankee-Williams, A., Thirumalai, J.K., Russell, N. and Bhui, K. (2021) 'Ethical issues in participatory arts methods for young people with adverse childhood experiences', Health Expectations, 24(5), pp. 1557-1569. https://doi.org/10.1111/hex.13314</w:t>
      </w:r>
    </w:p>
    <w:p w14:paraId="7E721378">
      <w:pPr>
        <w:pStyle w:val="19"/>
        <w:spacing w:after="60" w:line="240" w:lineRule="auto"/>
        <w:ind w:left="425" w:hanging="425"/>
      </w:pPr>
      <w:r>
        <w:t>Peters, S. and Barnett, T. (2024) 'Preparing artists to save the world: Community-engaged arts practice as critical pedagogy', Critical Arts, 38(4-5), pp. 159-174. https://doi.org/10.1080/02560046.2024.2338355</w:t>
      </w:r>
    </w:p>
    <w:p w14:paraId="1F246B46">
      <w:pPr>
        <w:pStyle w:val="19"/>
        <w:spacing w:after="60" w:line="240" w:lineRule="auto"/>
        <w:ind w:left="425" w:hanging="425"/>
      </w:pPr>
      <w:r>
        <w:t>Rittel, H.W.J. and Webber, M.M. (1973) 'Dilemmas in a general theory of planning', Policy Sciences, 4(2), pp. 155-169. https://doi.org/10.1007/BF01405730</w:t>
      </w:r>
    </w:p>
    <w:p w14:paraId="21D654FE">
      <w:pPr>
        <w:pStyle w:val="19"/>
        <w:spacing w:after="60" w:line="240" w:lineRule="auto"/>
        <w:ind w:left="425" w:hanging="425"/>
      </w:pPr>
      <w:r>
        <w:t>Shan, S.-L. (2014) 'Chinese cultural policy and the cultural industries', City, Culture and Society, 5(3), pp. 115-121. https://doi.org/10.1016/j.ccs.2014.07.004</w:t>
      </w:r>
    </w:p>
    <w:p w14:paraId="22525D5A">
      <w:pPr>
        <w:pStyle w:val="19"/>
      </w:pPr>
      <w:r>
        <w:t>Sharp, J., Pollock, V. and Paddison, R. (2005) 'Just art for a just city: Public art and social inclusion in urban regeneration', Urban Studies, 42(5-6), pp. 1001-1023. https://doi.org/10.1080/00420980500106963</w:t>
      </w:r>
    </w:p>
    <w:p w14:paraId="2A57E33F">
      <w:pPr>
        <w:pStyle w:val="19"/>
        <w:spacing w:after="60" w:line="240" w:lineRule="auto"/>
        <w:ind w:left="425" w:hanging="425"/>
      </w:pPr>
      <w:r>
        <w:t>Sullivan, G. (2010) Art Practice as Research: Inquiry in Visual Arts. 2nd edn. Los Angeles, CA: SAGE.</w:t>
      </w:r>
    </w:p>
    <w:p w14:paraId="77D07E4E">
      <w:pPr>
        <w:pStyle w:val="19"/>
        <w:spacing w:after="60" w:line="240" w:lineRule="auto"/>
        <w:ind w:left="425" w:hanging="425"/>
      </w:pPr>
      <w:r>
        <w:t>Wallen, L. and Docherty-Hughes, J.R. (2022) 'Caring spaces: Individual and social wellbeing in museum community engagement experiences', Journal of Museum Education, 47(1), pp. 93-102. https://doi.org/10.1080/10598650.2021.2021490</w:t>
      </w:r>
    </w:p>
    <w:p w14:paraId="72F27437">
      <w:pPr>
        <w:pStyle w:val="19"/>
        <w:spacing w:after="60" w:line="240" w:lineRule="auto"/>
        <w:ind w:left="425" w:hanging="425"/>
      </w:pPr>
      <w:r>
        <w:t>White, A. and Xu, S. (2012) 'A critique of China’s cultural policy and the development of its cultural and creative industries: The case of Shanghai', Cultural Trends, 21(3), pp. 249-257. https://doi.org/10.1080/09548963.2012.698558</w:t>
      </w:r>
    </w:p>
    <w:p w14:paraId="4A5A0855">
      <w:pPr>
        <w:pStyle w:val="19"/>
        <w:spacing w:after="60" w:line="240" w:lineRule="auto"/>
        <w:ind w:left="425" w:hanging="425"/>
      </w:pPr>
      <w:r>
        <w:t>Yin, R.K. (2018) Case Study Research and Applications: Design and Methods. 6th edn. Los Angeles, CA: SAGE.</w:t>
      </w:r>
    </w:p>
    <w:p w14:paraId="4C8E384B">
      <w:pPr>
        <w:pStyle w:val="19"/>
      </w:pPr>
      <w:r>
        <w:t>Zebracki, M. (2013) 'Beyond public artopia: public art as perceived by its publics', GeoJournal, 78(2), pp. 303-317. https://doi.org/10.1007/s10708-011-9440-8</w:t>
      </w:r>
    </w:p>
    <w:p w14:paraId="1200D245">
      <w:pPr>
        <w:pStyle w:val="19"/>
      </w:pPr>
      <w:r>
        <w:t>Zebracki, M., Van der Vaart, R. and Van Aalst, I. (2010) 'Deconstructing public artopia: Situating public-art claims within practice', Geoforum, 41(5), pp. 786-795. https://doi.org/10.1016/j.geoforum.2010.04.011</w:t>
      </w:r>
    </w:p>
    <w:p w14:paraId="735FB931">
      <w:pPr>
        <w:pStyle w:val="19"/>
        <w:spacing w:after="60" w:line="240" w:lineRule="auto"/>
        <w:ind w:left="425" w:hanging="425"/>
      </w:pPr>
      <w:r>
        <w:t>Zheng, J. (2017) 'Toward a new concept of the cultural elite state: Cultural capital and the urban sculpture planning authority in elite coalition in Shanghai', Journal of Urban Affairs, 39(4), pp. 506-527. https://doi.org/10.1080/07352166.2016.1255531</w:t>
      </w:r>
    </w:p>
    <w:p w14:paraId="5778D112">
      <w:pPr>
        <w:pStyle w:val="19"/>
        <w:spacing w:after="60" w:line="240" w:lineRule="auto"/>
        <w:ind w:left="425" w:hanging="425"/>
      </w:pPr>
      <w:r>
        <w:t>Zheng, J. (2019) 'Producing Chinese urban landscapes of public art: The urban sculpture scene in Shanghai', The China Quarterly, 239, pp. 775-803. https://doi.org/10.1017/S030574101900002X</w:t>
      </w:r>
    </w:p>
    <w:p w14:paraId="205AB82F">
      <w:pPr>
        <w:pStyle w:val="19"/>
        <w:spacing w:after="60" w:line="240" w:lineRule="auto"/>
        <w:ind w:left="425" w:hanging="425"/>
      </w:pPr>
      <w:r>
        <w:t>Zheng, J. and Zheng, X. (2022) 'Does public participation matter to planning? Urban sculpture reception in the context of elite-led planning in Shanghai', Sustainability, 14(19), 12179. https://doi.org/10.3390/su141912179</w:t>
      </w:r>
    </w:p>
    <w:p w14:paraId="48FACD38">
      <w:pPr>
        <w:pStyle w:val="19"/>
        <w:spacing w:after="60" w:line="240" w:lineRule="auto"/>
        <w:ind w:left="425" w:hanging="425"/>
      </w:pPr>
    </w:p>
    <w:sectPr>
      <w:pgSz w:w="12240" w:h="15840"/>
      <w:pgMar w:top="1304" w:right="1417" w:bottom="1304" w:left="1417"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MS Gothic">
    <w:panose1 w:val="020B0609070205080204"/>
    <w:charset w:val="80"/>
    <w:family w:val="auto"/>
    <w:pitch w:val="default"/>
    <w:sig w:usb0="E00002FF" w:usb1="6AC7FDFB" w:usb2="08000012" w:usb3="00000000" w:csb0="4002009F" w:csb1="DFD70000"/>
  </w:font>
  <w:font w:name="Courier">
    <w:altName w:val="Courier New"/>
    <w:panose1 w:val="02000500000000000000"/>
    <w:charset w:val="00"/>
    <w:family w:val="auto"/>
    <w:pitch w:val="default"/>
    <w:sig w:usb0="00000000" w:usb1="00000000" w:usb2="00000000" w:usb3="00000000" w:csb0="00000001" w:csb1="00000000"/>
  </w:font>
  <w:font w:name="ＭＳ 明朝">
    <w:altName w:val="Yu Gothic"/>
    <w:panose1 w:val="00000000000000000000"/>
    <w:charset w:val="80"/>
    <w:family w:val="roman"/>
    <w:pitch w:val="default"/>
    <w:sig w:usb0="00000000" w:usb1="00000000" w:usb2="00000010" w:usb3="00000000" w:csb0="00020000" w:csb1="00000000"/>
  </w:font>
  <w:font w:name="Yu Gothic">
    <w:panose1 w:val="020B0400000000000000"/>
    <w:charset w:val="80"/>
    <w:family w:val="auto"/>
    <w:pitch w:val="default"/>
    <w:sig w:usb0="E00002FF" w:usb1="2AC7FDFF" w:usb2="00000016" w:usb3="00000000" w:csb0="2002009F" w:csb1="00000000"/>
  </w:font>
  <w:font w:name="Cambria">
    <w:panose1 w:val="02040503050406030204"/>
    <w:charset w:val="00"/>
    <w:family w:val="auto"/>
    <w:pitch w:val="default"/>
    <w:sig w:usb0="E00006FF" w:usb1="420024FF" w:usb2="02000000" w:usb3="00000000" w:csb0="2000019F" w:csb1="00000000"/>
  </w:font>
  <w:font w:name="ＭＳ 明朝">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20"/>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13"/>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18"/>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3"/>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14"/>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16"/>
      <w:lvlText w:val=""/>
      <w:lvlJc w:val="left"/>
      <w:pPr>
        <w:tabs>
          <w:tab w:val="left" w:pos="360"/>
        </w:tabs>
        <w:ind w:left="360" w:hanging="360"/>
      </w:pPr>
      <w:rPr>
        <w:rFonts w:hint="default" w:ascii="Symbol" w:hAnsi="Symbol"/>
      </w:rPr>
    </w:lvl>
  </w:abstractNum>
  <w:num w:numId="1">
    <w:abstractNumId w:val="1"/>
  </w:num>
  <w:num w:numId="2">
    <w:abstractNumId w:val="4"/>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9"/>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6CC7276"/>
    <w:rsid w:val="07F75820"/>
    <w:rsid w:val="408C1201"/>
    <w:rsid w:val="5273733E"/>
    <w:rsid w:val="54E763DA"/>
    <w:rsid w:val="602E0BF0"/>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mc:AlternateContent>
    <mc:Choice Requires="wpsCustomData">
      <wpsCustomData:typoFeatureVersion val="0"/>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qFormat="1" w:uiPriority="99" w:semiHidden="0" w:name="List"/>
    <w:lsdException w:qFormat="1" w:uiPriority="99" w:semiHidden="0" w:name="List Bullet"/>
    <w:lsdException w:qFormat="1" w:uiPriority="99" w:semiHidden="0" w:name="List Number"/>
    <w:lsdException w:qFormat="1" w:uiPriority="99" w:semiHidden="0" w:name="List 2"/>
    <w:lsdException w:qFormat="1" w:uiPriority="99" w:semiHidden="0" w:name="List 3"/>
    <w:lsdException w:uiPriority="99" w:name="List 4"/>
    <w:lsdException w:uiPriority="99" w:name="List 5"/>
    <w:lsdException w:qFormat="1" w:uiPriority="99" w:semiHidden="0" w:name="List Bullet 2"/>
    <w:lsdException w:qFormat="1" w:uiPriority="99" w:semiHidden="0" w:name="List Bullet 3"/>
    <w:lsdException w:uiPriority="99" w:name="List Bullet 4"/>
    <w:lsdException w:uiPriority="99" w:name="List Bullet 5"/>
    <w:lsdException w:qFormat="1"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qFormat="1" w:uiPriority="99" w:semiHidden="0" w:name="List Continue"/>
    <w:lsdException w:qFormat="1" w:uiPriority="99" w:semiHidden="0" w:name="List Continue 2"/>
    <w:lsdException w:qFormat="1"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qFormat="1"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qFormat="1"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qFormat="1" w:unhideWhenUsed="0" w:uiPriority="69" w:semiHidden="0" w:name="Medium Grid 3 Accent 2"/>
    <w:lsdException w:qFormat="1"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qFormat="1"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qFormat="1" w:unhideWhenUsed="0" w:uiPriority="70" w:semiHidden="0" w:name="Dark List Accent 6"/>
    <w:lsdException w:qFormat="1"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after="200" w:line="276" w:lineRule="auto"/>
    </w:pPr>
    <w:rPr>
      <w:rFonts w:ascii="Times New Roman" w:hAnsi="Times New Roman" w:eastAsia="Times New Roman" w:cstheme="minorBidi"/>
      <w:sz w:val="24"/>
      <w:szCs w:val="22"/>
      <w:lang w:val="en-US" w:eastAsia="en-US" w:bidi="ar-SA"/>
    </w:rPr>
  </w:style>
  <w:style w:type="paragraph" w:styleId="3">
    <w:name w:val="heading 1"/>
    <w:basedOn w:val="1"/>
    <w:next w:val="1"/>
    <w:link w:val="138"/>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4">
    <w:name w:val="heading 2"/>
    <w:basedOn w:val="1"/>
    <w:next w:val="1"/>
    <w:link w:val="139"/>
    <w:unhideWhenUsed/>
    <w:qFormat/>
    <w:uiPriority w:val="9"/>
    <w:pPr>
      <w:keepNext/>
      <w:keepLines/>
      <w:spacing w:before="200" w:after="0"/>
      <w:outlineLvl w:val="1"/>
    </w:pPr>
    <w:rPr>
      <w:rFonts w:asciiTheme="majorHAnsi" w:hAnsiTheme="majorHAnsi" w:eastAsiaTheme="majorEastAsia" w:cstheme="majorBidi"/>
      <w:b/>
      <w:bCs/>
      <w:color w:val="4F81BD" w:themeColor="accent1"/>
      <w:sz w:val="25"/>
      <w:szCs w:val="26"/>
      <w14:textFill>
        <w14:solidFill>
          <w14:schemeClr w14:val="accent1"/>
        </w14:solidFill>
      </w14:textFill>
    </w:rPr>
  </w:style>
  <w:style w:type="paragraph" w:styleId="5">
    <w:name w:val="heading 3"/>
    <w:basedOn w:val="1"/>
    <w:next w:val="1"/>
    <w:link w:val="140"/>
    <w:unhideWhenUsed/>
    <w:qFormat/>
    <w:uiPriority w:val="9"/>
    <w:pPr>
      <w:keepNext/>
      <w:keepLines/>
      <w:spacing w:before="200" w:after="0"/>
      <w:outlineLvl w:val="2"/>
    </w:pPr>
    <w:rPr>
      <w:rFonts w:asciiTheme="majorHAnsi" w:hAnsiTheme="majorHAnsi" w:eastAsiaTheme="majorEastAsia" w:cstheme="majorBidi"/>
      <w:b/>
      <w:bCs/>
      <w:color w:val="4F81BD" w:themeColor="accent1"/>
      <w:sz w:val="24"/>
      <w14:textFill>
        <w14:solidFill>
          <w14:schemeClr w14:val="accent1"/>
        </w14:solidFill>
      </w14:textFill>
    </w:rPr>
  </w:style>
  <w:style w:type="paragraph" w:styleId="6">
    <w:name w:val="heading 4"/>
    <w:basedOn w:val="1"/>
    <w:next w:val="1"/>
    <w:link w:val="150"/>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7">
    <w:name w:val="heading 5"/>
    <w:basedOn w:val="1"/>
    <w:next w:val="1"/>
    <w:link w:val="151"/>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8">
    <w:name w:val="heading 6"/>
    <w:basedOn w:val="1"/>
    <w:next w:val="1"/>
    <w:link w:val="152"/>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9">
    <w:name w:val="heading 7"/>
    <w:basedOn w:val="1"/>
    <w:next w:val="1"/>
    <w:link w:val="153"/>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10">
    <w:name w:val="heading 8"/>
    <w:basedOn w:val="1"/>
    <w:next w:val="1"/>
    <w:link w:val="154"/>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1">
    <w:name w:val="heading 9"/>
    <w:basedOn w:val="1"/>
    <w:next w:val="1"/>
    <w:link w:val="155"/>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32">
    <w:name w:val="Default Paragraph Font"/>
    <w:semiHidden/>
    <w:unhideWhenUsed/>
    <w:qFormat/>
    <w:uiPriority w:val="1"/>
  </w:style>
  <w:style w:type="table" w:default="1" w:styleId="32">
    <w:name w:val="Normal Table"/>
    <w:semiHidden/>
    <w:unhideWhenUsed/>
    <w:qFormat/>
    <w:uiPriority w:val="99"/>
    <w:tblPr>
      <w:tblCellMar>
        <w:top w:w="0" w:type="dxa"/>
        <w:left w:w="108" w:type="dxa"/>
        <w:bottom w:w="0" w:type="dxa"/>
        <w:right w:w="108" w:type="dxa"/>
      </w:tblCellMar>
    </w:tblPr>
  </w:style>
  <w:style w:type="paragraph" w:styleId="2">
    <w:name w:val="macro"/>
    <w:link w:val="147"/>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12">
    <w:name w:val="List 3"/>
    <w:basedOn w:val="1"/>
    <w:unhideWhenUsed/>
    <w:qFormat/>
    <w:uiPriority w:val="99"/>
    <w:pPr>
      <w:ind w:left="1080" w:hanging="360"/>
      <w:contextualSpacing/>
    </w:pPr>
  </w:style>
  <w:style w:type="paragraph" w:styleId="13">
    <w:name w:val="List Number 2"/>
    <w:basedOn w:val="1"/>
    <w:unhideWhenUsed/>
    <w:qFormat/>
    <w:uiPriority w:val="99"/>
    <w:pPr>
      <w:numPr>
        <w:ilvl w:val="0"/>
        <w:numId w:val="1"/>
      </w:numPr>
      <w:contextualSpacing/>
    </w:pPr>
  </w:style>
  <w:style w:type="paragraph" w:styleId="14">
    <w:name w:val="List Number"/>
    <w:basedOn w:val="1"/>
    <w:unhideWhenUsed/>
    <w:qFormat/>
    <w:uiPriority w:val="99"/>
    <w:pPr>
      <w:numPr>
        <w:ilvl w:val="0"/>
        <w:numId w:val="2"/>
      </w:numPr>
      <w:contextualSpacing/>
    </w:pPr>
  </w:style>
  <w:style w:type="paragraph" w:styleId="15">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16">
    <w:name w:val="List Bullet"/>
    <w:basedOn w:val="1"/>
    <w:unhideWhenUsed/>
    <w:qFormat/>
    <w:uiPriority w:val="99"/>
    <w:pPr>
      <w:numPr>
        <w:ilvl w:val="0"/>
        <w:numId w:val="3"/>
      </w:numPr>
      <w:contextualSpacing/>
    </w:pPr>
  </w:style>
  <w:style w:type="paragraph" w:styleId="17">
    <w:name w:val="Body Text 3"/>
    <w:basedOn w:val="1"/>
    <w:link w:val="146"/>
    <w:unhideWhenUsed/>
    <w:qFormat/>
    <w:uiPriority w:val="99"/>
    <w:pPr>
      <w:spacing w:after="120"/>
    </w:pPr>
    <w:rPr>
      <w:sz w:val="16"/>
      <w:szCs w:val="16"/>
    </w:rPr>
  </w:style>
  <w:style w:type="paragraph" w:styleId="18">
    <w:name w:val="List Bullet 3"/>
    <w:basedOn w:val="1"/>
    <w:unhideWhenUsed/>
    <w:qFormat/>
    <w:uiPriority w:val="99"/>
    <w:pPr>
      <w:numPr>
        <w:ilvl w:val="0"/>
        <w:numId w:val="4"/>
      </w:numPr>
      <w:contextualSpacing/>
    </w:pPr>
  </w:style>
  <w:style w:type="paragraph" w:styleId="19">
    <w:name w:val="Body Text"/>
    <w:basedOn w:val="1"/>
    <w:link w:val="144"/>
    <w:unhideWhenUsed/>
    <w:qFormat/>
    <w:uiPriority w:val="99"/>
    <w:pPr>
      <w:spacing w:after="120"/>
    </w:pPr>
    <w:rPr>
      <w:rFonts w:ascii="Times New Roman" w:hAnsi="Times New Roman" w:eastAsia="Times New Roman"/>
      <w:sz w:val="24"/>
    </w:rPr>
  </w:style>
  <w:style w:type="paragraph" w:styleId="20">
    <w:name w:val="List Number 3"/>
    <w:basedOn w:val="1"/>
    <w:unhideWhenUsed/>
    <w:qFormat/>
    <w:uiPriority w:val="99"/>
    <w:pPr>
      <w:numPr>
        <w:ilvl w:val="0"/>
        <w:numId w:val="5"/>
      </w:numPr>
      <w:contextualSpacing/>
    </w:pPr>
  </w:style>
  <w:style w:type="paragraph" w:styleId="21">
    <w:name w:val="List 2"/>
    <w:basedOn w:val="1"/>
    <w:unhideWhenUsed/>
    <w:qFormat/>
    <w:uiPriority w:val="99"/>
    <w:pPr>
      <w:ind w:left="720" w:hanging="360"/>
      <w:contextualSpacing/>
    </w:pPr>
  </w:style>
  <w:style w:type="paragraph" w:styleId="22">
    <w:name w:val="List Continue"/>
    <w:basedOn w:val="1"/>
    <w:unhideWhenUsed/>
    <w:qFormat/>
    <w:uiPriority w:val="99"/>
    <w:pPr>
      <w:spacing w:after="120"/>
      <w:ind w:left="360"/>
      <w:contextualSpacing/>
    </w:pPr>
  </w:style>
  <w:style w:type="paragraph" w:styleId="23">
    <w:name w:val="List Bullet 2"/>
    <w:basedOn w:val="1"/>
    <w:unhideWhenUsed/>
    <w:qFormat/>
    <w:uiPriority w:val="99"/>
    <w:pPr>
      <w:numPr>
        <w:ilvl w:val="0"/>
        <w:numId w:val="6"/>
      </w:numPr>
      <w:contextualSpacing/>
    </w:pPr>
  </w:style>
  <w:style w:type="paragraph" w:styleId="24">
    <w:name w:val="footer"/>
    <w:basedOn w:val="1"/>
    <w:link w:val="136"/>
    <w:unhideWhenUsed/>
    <w:qFormat/>
    <w:uiPriority w:val="99"/>
    <w:pPr>
      <w:tabs>
        <w:tab w:val="center" w:pos="4680"/>
        <w:tab w:val="right" w:pos="9360"/>
      </w:tabs>
      <w:spacing w:after="0" w:line="240" w:lineRule="auto"/>
    </w:pPr>
  </w:style>
  <w:style w:type="paragraph" w:styleId="25">
    <w:name w:val="header"/>
    <w:basedOn w:val="1"/>
    <w:link w:val="135"/>
    <w:unhideWhenUsed/>
    <w:qFormat/>
    <w:uiPriority w:val="99"/>
    <w:pPr>
      <w:tabs>
        <w:tab w:val="center" w:pos="4680"/>
        <w:tab w:val="right" w:pos="9360"/>
      </w:tabs>
      <w:spacing w:after="0" w:line="240" w:lineRule="auto"/>
    </w:pPr>
  </w:style>
  <w:style w:type="paragraph" w:styleId="26">
    <w:name w:val="Subtitle"/>
    <w:basedOn w:val="1"/>
    <w:next w:val="1"/>
    <w:link w:val="142"/>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27">
    <w:name w:val="List"/>
    <w:basedOn w:val="1"/>
    <w:unhideWhenUsed/>
    <w:qFormat/>
    <w:uiPriority w:val="99"/>
    <w:pPr>
      <w:ind w:left="360" w:hanging="360"/>
      <w:contextualSpacing/>
    </w:pPr>
  </w:style>
  <w:style w:type="paragraph" w:styleId="28">
    <w:name w:val="Body Text 2"/>
    <w:basedOn w:val="1"/>
    <w:link w:val="145"/>
    <w:unhideWhenUsed/>
    <w:qFormat/>
    <w:uiPriority w:val="99"/>
    <w:pPr>
      <w:spacing w:after="120" w:line="480" w:lineRule="auto"/>
    </w:pPr>
  </w:style>
  <w:style w:type="paragraph" w:styleId="29">
    <w:name w:val="List Continue 2"/>
    <w:basedOn w:val="1"/>
    <w:unhideWhenUsed/>
    <w:qFormat/>
    <w:uiPriority w:val="99"/>
    <w:pPr>
      <w:spacing w:after="120"/>
      <w:ind w:left="720"/>
      <w:contextualSpacing/>
    </w:pPr>
  </w:style>
  <w:style w:type="paragraph" w:styleId="30">
    <w:name w:val="List Continue 3"/>
    <w:basedOn w:val="1"/>
    <w:unhideWhenUsed/>
    <w:qFormat/>
    <w:uiPriority w:val="99"/>
    <w:pPr>
      <w:spacing w:after="120"/>
      <w:ind w:left="1080"/>
      <w:contextualSpacing/>
    </w:pPr>
  </w:style>
  <w:style w:type="paragraph" w:styleId="31">
    <w:name w:val="Title"/>
    <w:basedOn w:val="1"/>
    <w:next w:val="1"/>
    <w:link w:val="141"/>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b/>
      <w:color w:val="17375E" w:themeColor="text2" w:themeShade="BF"/>
      <w:spacing w:val="5"/>
      <w:kern w:val="28"/>
      <w:sz w:val="32"/>
      <w:szCs w:val="52"/>
    </w:rPr>
  </w:style>
  <w:style w:type="table" w:styleId="33">
    <w:name w:val="Table Grid"/>
    <w:basedOn w:val="32"/>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34">
    <w:name w:val="Light Shading"/>
    <w:basedOn w:val="32"/>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5">
    <w:name w:val="Light Shading Accent 1"/>
    <w:basedOn w:val="32"/>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6">
    <w:name w:val="Light Shading Accent 2"/>
    <w:basedOn w:val="32"/>
    <w:qFormat/>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37">
    <w:name w:val="Light Shading Accent 3"/>
    <w:basedOn w:val="32"/>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38">
    <w:name w:val="Light Shading Accent 4"/>
    <w:basedOn w:val="32"/>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39">
    <w:name w:val="Light Shading Accent 5"/>
    <w:basedOn w:val="32"/>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0">
    <w:name w:val="Light Shading Accent 6"/>
    <w:basedOn w:val="32"/>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1">
    <w:name w:val="Light List"/>
    <w:basedOn w:val="32"/>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2">
    <w:name w:val="Light List Accent 1"/>
    <w:basedOn w:val="32"/>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3">
    <w:name w:val="Light List Accent 2"/>
    <w:basedOn w:val="32"/>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4">
    <w:name w:val="Light List Accent 3"/>
    <w:basedOn w:val="32"/>
    <w:qFormat/>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5">
    <w:name w:val="Light List Accent 4"/>
    <w:basedOn w:val="32"/>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6">
    <w:name w:val="Light List Accent 5"/>
    <w:basedOn w:val="32"/>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47">
    <w:name w:val="Light List Accent 6"/>
    <w:basedOn w:val="32"/>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48">
    <w:name w:val="Light Grid"/>
    <w:basedOn w:val="32"/>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49">
    <w:name w:val="Light Grid Accent 1"/>
    <w:basedOn w:val="32"/>
    <w:qFormat/>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0">
    <w:name w:val="Light Grid Accent 2"/>
    <w:basedOn w:val="32"/>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1">
    <w:name w:val="Light Grid Accent 3"/>
    <w:basedOn w:val="32"/>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2">
    <w:name w:val="Light Grid Accent 4"/>
    <w:basedOn w:val="32"/>
    <w:qFormat/>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3">
    <w:name w:val="Light Grid Accent 5"/>
    <w:basedOn w:val="32"/>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4">
    <w:name w:val="Light Grid Accent 6"/>
    <w:basedOn w:val="32"/>
    <w:qFormat/>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5">
    <w:name w:val="Medium Shading 1"/>
    <w:basedOn w:val="32"/>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6">
    <w:name w:val="Medium Shading 1 Accent 1"/>
    <w:basedOn w:val="32"/>
    <w:qFormat/>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57">
    <w:name w:val="Medium Shading 1 Accent 2"/>
    <w:basedOn w:val="32"/>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58">
    <w:name w:val="Medium Shading 1 Accent 3"/>
    <w:basedOn w:val="32"/>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59">
    <w:name w:val="Medium Shading 1 Accent 4"/>
    <w:basedOn w:val="32"/>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0">
    <w:name w:val="Medium Shading 1 Accent 5"/>
    <w:basedOn w:val="32"/>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1">
    <w:name w:val="Medium Shading 1 Accent 6"/>
    <w:basedOn w:val="32"/>
    <w:qFormat/>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2">
    <w:name w:val="Medium Shading 2"/>
    <w:basedOn w:val="3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3">
    <w:name w:val="Medium Shading 2 Accent 1"/>
    <w:basedOn w:val="3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4">
    <w:name w:val="Medium Shading 2 Accent 2"/>
    <w:basedOn w:val="3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5">
    <w:name w:val="Medium Shading 2 Accent 3"/>
    <w:basedOn w:val="3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4"/>
    <w:basedOn w:val="3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5"/>
    <w:basedOn w:val="3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6"/>
    <w:basedOn w:val="3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List 1"/>
    <w:basedOn w:val="32"/>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0">
    <w:name w:val="Medium List 1 Accent 1"/>
    <w:basedOn w:val="32"/>
    <w:qFormat/>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1">
    <w:name w:val="Medium List 1 Accent 2"/>
    <w:basedOn w:val="32"/>
    <w:qFormat/>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2">
    <w:name w:val="Medium List 1 Accent 3"/>
    <w:basedOn w:val="32"/>
    <w:qFormat/>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3">
    <w:name w:val="Medium List 1 Accent 4"/>
    <w:basedOn w:val="32"/>
    <w:qFormat/>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4">
    <w:name w:val="Medium List 1 Accent 5"/>
    <w:basedOn w:val="32"/>
    <w:qFormat/>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5">
    <w:name w:val="Medium List 1 Accent 6"/>
    <w:basedOn w:val="32"/>
    <w:qFormat/>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6">
    <w:name w:val="Medium List 2"/>
    <w:basedOn w:val="3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77">
    <w:name w:val="Medium List 2 Accent 1"/>
    <w:basedOn w:val="3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78">
    <w:name w:val="Medium List 2 Accent 2"/>
    <w:basedOn w:val="3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79">
    <w:name w:val="Medium List 2 Accent 3"/>
    <w:basedOn w:val="3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4"/>
    <w:basedOn w:val="3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5"/>
    <w:basedOn w:val="3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6"/>
    <w:basedOn w:val="3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Grid 1"/>
    <w:basedOn w:val="32"/>
    <w:qFormat/>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4">
    <w:name w:val="Medium Grid 1 Accent 1"/>
    <w:basedOn w:val="32"/>
    <w:qFormat/>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5">
    <w:name w:val="Medium Grid 1 Accent 2"/>
    <w:basedOn w:val="32"/>
    <w:qFormat/>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6">
    <w:name w:val="Medium Grid 1 Accent 3"/>
    <w:basedOn w:val="32"/>
    <w:qFormat/>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87">
    <w:name w:val="Medium Grid 1 Accent 4"/>
    <w:basedOn w:val="32"/>
    <w:qFormat/>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88">
    <w:name w:val="Medium Grid 1 Accent 5"/>
    <w:basedOn w:val="32"/>
    <w:qFormat/>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89">
    <w:name w:val="Medium Grid 1 Accent 6"/>
    <w:basedOn w:val="32"/>
    <w:qFormat/>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0">
    <w:name w:val="Medium Grid 2"/>
    <w:basedOn w:val="3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1">
    <w:name w:val="Medium Grid 2 Accent 1"/>
    <w:basedOn w:val="3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2">
    <w:name w:val="Medium Grid 2 Accent 2"/>
    <w:basedOn w:val="3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3">
    <w:name w:val="Medium Grid 2 Accent 3"/>
    <w:basedOn w:val="3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4">
    <w:name w:val="Medium Grid 2 Accent 4"/>
    <w:basedOn w:val="3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5">
    <w:name w:val="Medium Grid 2 Accent 5"/>
    <w:basedOn w:val="3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6">
    <w:name w:val="Medium Grid 2 Accent 6"/>
    <w:basedOn w:val="3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97">
    <w:name w:val="Medium Grid 3"/>
    <w:basedOn w:val="3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98">
    <w:name w:val="Medium Grid 3 Accent 1"/>
    <w:basedOn w:val="3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99">
    <w:name w:val="Medium Grid 3 Accent 2"/>
    <w:basedOn w:val="3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0">
    <w:name w:val="Medium Grid 3 Accent 3"/>
    <w:basedOn w:val="3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1">
    <w:name w:val="Medium Grid 3 Accent 4"/>
    <w:basedOn w:val="3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2">
    <w:name w:val="Medium Grid 3 Accent 5"/>
    <w:basedOn w:val="3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3">
    <w:name w:val="Medium Grid 3 Accent 6"/>
    <w:basedOn w:val="3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4">
    <w:name w:val="Dark List"/>
    <w:basedOn w:val="3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5">
    <w:name w:val="Dark List Accent 1"/>
    <w:basedOn w:val="3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6">
    <w:name w:val="Dark List Accent 2"/>
    <w:basedOn w:val="3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07">
    <w:name w:val="Dark List Accent 3"/>
    <w:basedOn w:val="3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08">
    <w:name w:val="Dark List Accent 4"/>
    <w:basedOn w:val="3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09">
    <w:name w:val="Dark List Accent 5"/>
    <w:basedOn w:val="3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0">
    <w:name w:val="Dark List Accent 6"/>
    <w:basedOn w:val="3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1">
    <w:name w:val="Colorful Shading"/>
    <w:basedOn w:val="3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2">
    <w:name w:val="Colorful Shading Accent 1"/>
    <w:basedOn w:val="3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3">
    <w:name w:val="Colorful Shading Accent 2"/>
    <w:basedOn w:val="3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4">
    <w:name w:val="Colorful Shading Accent 3"/>
    <w:basedOn w:val="32"/>
    <w:qFormat/>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5">
    <w:name w:val="Colorful Shading Accent 4"/>
    <w:basedOn w:val="32"/>
    <w:qFormat/>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5"/>
    <w:basedOn w:val="32"/>
    <w:qFormat/>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6"/>
    <w:basedOn w:val="32"/>
    <w:qFormat/>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List"/>
    <w:basedOn w:val="3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19">
    <w:name w:val="Colorful List Accent 1"/>
    <w:basedOn w:val="3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0">
    <w:name w:val="Colorful List Accent 2"/>
    <w:basedOn w:val="3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1">
    <w:name w:val="Colorful List Accent 3"/>
    <w:basedOn w:val="3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2">
    <w:name w:val="Colorful List Accent 4"/>
    <w:basedOn w:val="3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3">
    <w:name w:val="Colorful List Accent 5"/>
    <w:basedOn w:val="3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4">
    <w:name w:val="Colorful List Accent 6"/>
    <w:basedOn w:val="3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5">
    <w:name w:val="Colorful Grid"/>
    <w:basedOn w:val="3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6">
    <w:name w:val="Colorful Grid Accent 1"/>
    <w:basedOn w:val="3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27">
    <w:name w:val="Colorful Grid Accent 2"/>
    <w:basedOn w:val="3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28">
    <w:name w:val="Colorful Grid Accent 3"/>
    <w:basedOn w:val="3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29">
    <w:name w:val="Colorful Grid Accent 4"/>
    <w:basedOn w:val="3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0">
    <w:name w:val="Colorful Grid Accent 5"/>
    <w:basedOn w:val="3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1">
    <w:name w:val="Colorful Grid Accent 6"/>
    <w:basedOn w:val="3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133">
    <w:name w:val="Strong"/>
    <w:basedOn w:val="132"/>
    <w:qFormat/>
    <w:uiPriority w:val="22"/>
    <w:rPr>
      <w:b/>
      <w:bCs/>
    </w:rPr>
  </w:style>
  <w:style w:type="character" w:styleId="134">
    <w:name w:val="Emphasis"/>
    <w:basedOn w:val="132"/>
    <w:qFormat/>
    <w:uiPriority w:val="20"/>
    <w:rPr>
      <w:i/>
      <w:iCs/>
    </w:rPr>
  </w:style>
  <w:style w:type="character" w:customStyle="1" w:styleId="135">
    <w:name w:val="Header Char"/>
    <w:basedOn w:val="132"/>
    <w:link w:val="25"/>
    <w:qFormat/>
    <w:uiPriority w:val="99"/>
  </w:style>
  <w:style w:type="character" w:customStyle="1" w:styleId="136">
    <w:name w:val="Footer Char"/>
    <w:basedOn w:val="132"/>
    <w:link w:val="24"/>
    <w:qFormat/>
    <w:uiPriority w:val="99"/>
  </w:style>
  <w:style w:type="paragraph" w:styleId="137">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8">
    <w:name w:val="Heading 1 Char"/>
    <w:basedOn w:val="132"/>
    <w:link w:val="3"/>
    <w:qFormat/>
    <w:uiPriority w:val="9"/>
    <w:rPr>
      <w:rFonts w:asciiTheme="majorHAnsi" w:hAnsiTheme="majorHAnsi" w:eastAsiaTheme="majorEastAsia" w:cstheme="majorBidi"/>
      <w:b/>
      <w:bCs/>
      <w:color w:val="376092" w:themeColor="accent1" w:themeShade="BF"/>
      <w:sz w:val="28"/>
      <w:szCs w:val="28"/>
    </w:rPr>
  </w:style>
  <w:style w:type="character" w:customStyle="1" w:styleId="139">
    <w:name w:val="Heading 2 Char"/>
    <w:basedOn w:val="132"/>
    <w:link w:val="4"/>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0">
    <w:name w:val="Heading 3 Char"/>
    <w:basedOn w:val="132"/>
    <w:link w:val="5"/>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1">
    <w:name w:val="Title Char"/>
    <w:basedOn w:val="132"/>
    <w:link w:val="31"/>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2">
    <w:name w:val="Subtitle Char"/>
    <w:basedOn w:val="132"/>
    <w:link w:val="26"/>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3">
    <w:name w:val="List Paragraph"/>
    <w:basedOn w:val="1"/>
    <w:qFormat/>
    <w:uiPriority w:val="34"/>
    <w:pPr>
      <w:ind w:left="720"/>
      <w:contextualSpacing/>
    </w:pPr>
  </w:style>
  <w:style w:type="character" w:customStyle="1" w:styleId="144">
    <w:name w:val="Body Text Char"/>
    <w:basedOn w:val="132"/>
    <w:link w:val="19"/>
    <w:qFormat/>
    <w:uiPriority w:val="99"/>
  </w:style>
  <w:style w:type="character" w:customStyle="1" w:styleId="145">
    <w:name w:val="Body Text 2 Char"/>
    <w:basedOn w:val="132"/>
    <w:link w:val="28"/>
    <w:qFormat/>
    <w:uiPriority w:val="99"/>
  </w:style>
  <w:style w:type="character" w:customStyle="1" w:styleId="146">
    <w:name w:val="Body Text 3 Char"/>
    <w:basedOn w:val="132"/>
    <w:link w:val="17"/>
    <w:qFormat/>
    <w:uiPriority w:val="99"/>
    <w:rPr>
      <w:sz w:val="16"/>
      <w:szCs w:val="16"/>
    </w:rPr>
  </w:style>
  <w:style w:type="character" w:customStyle="1" w:styleId="147">
    <w:name w:val="Macro Text Char"/>
    <w:basedOn w:val="132"/>
    <w:link w:val="2"/>
    <w:qFormat/>
    <w:uiPriority w:val="99"/>
    <w:rPr>
      <w:rFonts w:ascii="Courier" w:hAnsi="Courier"/>
      <w:sz w:val="20"/>
      <w:szCs w:val="20"/>
    </w:rPr>
  </w:style>
  <w:style w:type="paragraph" w:styleId="148">
    <w:name w:val="Quote"/>
    <w:basedOn w:val="1"/>
    <w:next w:val="1"/>
    <w:link w:val="149"/>
    <w:qFormat/>
    <w:uiPriority w:val="29"/>
    <w:rPr>
      <w:i/>
      <w:iCs/>
      <w:color w:val="000000" w:themeColor="text1"/>
      <w14:textFill>
        <w14:solidFill>
          <w14:schemeClr w14:val="tx1"/>
        </w14:solidFill>
      </w14:textFill>
    </w:rPr>
  </w:style>
  <w:style w:type="character" w:customStyle="1" w:styleId="149">
    <w:name w:val="Quote Char"/>
    <w:basedOn w:val="132"/>
    <w:link w:val="148"/>
    <w:qFormat/>
    <w:uiPriority w:val="29"/>
    <w:rPr>
      <w:i/>
      <w:iCs/>
      <w:color w:val="000000" w:themeColor="text1"/>
      <w14:textFill>
        <w14:solidFill>
          <w14:schemeClr w14:val="tx1"/>
        </w14:solidFill>
      </w14:textFill>
    </w:rPr>
  </w:style>
  <w:style w:type="character" w:customStyle="1" w:styleId="150">
    <w:name w:val="Heading 4 Char"/>
    <w:basedOn w:val="132"/>
    <w:link w:val="6"/>
    <w:semiHidden/>
    <w:qFormat/>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1">
    <w:name w:val="Heading 5 Char"/>
    <w:basedOn w:val="132"/>
    <w:link w:val="7"/>
    <w:semiHidden/>
    <w:qFormat/>
    <w:uiPriority w:val="9"/>
    <w:rPr>
      <w:rFonts w:asciiTheme="majorHAnsi" w:hAnsiTheme="majorHAnsi" w:eastAsiaTheme="majorEastAsia" w:cstheme="majorBidi"/>
      <w:color w:val="254061" w:themeColor="accent1" w:themeShade="80"/>
    </w:rPr>
  </w:style>
  <w:style w:type="character" w:customStyle="1" w:styleId="152">
    <w:name w:val="Heading 6 Char"/>
    <w:basedOn w:val="132"/>
    <w:link w:val="8"/>
    <w:semiHidden/>
    <w:qFormat/>
    <w:uiPriority w:val="9"/>
    <w:rPr>
      <w:rFonts w:asciiTheme="majorHAnsi" w:hAnsiTheme="majorHAnsi" w:eastAsiaTheme="majorEastAsia" w:cstheme="majorBidi"/>
      <w:i/>
      <w:iCs/>
      <w:color w:val="254061" w:themeColor="accent1" w:themeShade="80"/>
    </w:rPr>
  </w:style>
  <w:style w:type="character" w:customStyle="1" w:styleId="153">
    <w:name w:val="Heading 7 Char"/>
    <w:basedOn w:val="132"/>
    <w:link w:val="9"/>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4">
    <w:name w:val="Heading 8 Char"/>
    <w:basedOn w:val="132"/>
    <w:link w:val="10"/>
    <w:semiHidden/>
    <w:qFormat/>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5">
    <w:name w:val="Heading 9 Char"/>
    <w:basedOn w:val="132"/>
    <w:link w:val="11"/>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6">
    <w:name w:val="Intense Quote"/>
    <w:basedOn w:val="1"/>
    <w:next w:val="1"/>
    <w:link w:val="157"/>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7">
    <w:name w:val="Intense Quote Char"/>
    <w:basedOn w:val="132"/>
    <w:link w:val="156"/>
    <w:qFormat/>
    <w:uiPriority w:val="30"/>
    <w:rPr>
      <w:b/>
      <w:bCs/>
      <w:i/>
      <w:iCs/>
      <w:color w:val="4F81BD" w:themeColor="accent1"/>
      <w14:textFill>
        <w14:solidFill>
          <w14:schemeClr w14:val="accent1"/>
        </w14:solidFill>
      </w14:textFill>
    </w:rPr>
  </w:style>
  <w:style w:type="character" w:customStyle="1" w:styleId="158">
    <w:name w:val="Subtle Emphasis"/>
    <w:basedOn w:val="132"/>
    <w:qFormat/>
    <w:uiPriority w:val="19"/>
    <w:rPr>
      <w:i/>
      <w:iCs/>
      <w:color w:val="808080" w:themeColor="text1" w:themeTint="80"/>
      <w14:textFill>
        <w14:solidFill>
          <w14:schemeClr w14:val="tx1">
            <w14:lumMod w14:val="50000"/>
            <w14:lumOff w14:val="50000"/>
          </w14:schemeClr>
        </w14:solidFill>
      </w14:textFill>
    </w:rPr>
  </w:style>
  <w:style w:type="character" w:customStyle="1" w:styleId="159">
    <w:name w:val="Intense Emphasis"/>
    <w:basedOn w:val="132"/>
    <w:qFormat/>
    <w:uiPriority w:val="21"/>
    <w:rPr>
      <w:b/>
      <w:bCs/>
      <w:i/>
      <w:iCs/>
      <w:color w:val="4F81BD" w:themeColor="accent1"/>
      <w14:textFill>
        <w14:solidFill>
          <w14:schemeClr w14:val="accent1"/>
        </w14:solidFill>
      </w14:textFill>
    </w:rPr>
  </w:style>
  <w:style w:type="character" w:customStyle="1" w:styleId="160">
    <w:name w:val="Subtle Reference"/>
    <w:basedOn w:val="132"/>
    <w:qFormat/>
    <w:uiPriority w:val="31"/>
    <w:rPr>
      <w:smallCaps/>
      <w:color w:val="C0504D" w:themeColor="accent2"/>
      <w:u w:val="single"/>
      <w14:textFill>
        <w14:solidFill>
          <w14:schemeClr w14:val="accent2"/>
        </w14:solidFill>
      </w14:textFill>
    </w:rPr>
  </w:style>
  <w:style w:type="character" w:customStyle="1" w:styleId="161">
    <w:name w:val="Intense Reference"/>
    <w:basedOn w:val="132"/>
    <w:qFormat/>
    <w:uiPriority w:val="32"/>
    <w:rPr>
      <w:b/>
      <w:bCs/>
      <w:smallCaps/>
      <w:color w:val="C0504D" w:themeColor="accent2"/>
      <w:spacing w:val="5"/>
      <w:u w:val="single"/>
      <w14:textFill>
        <w14:solidFill>
          <w14:schemeClr w14:val="accent2"/>
        </w14:solidFill>
      </w14:textFill>
    </w:rPr>
  </w:style>
  <w:style w:type="character" w:customStyle="1" w:styleId="162">
    <w:name w:val="Book Title"/>
    <w:basedOn w:val="132"/>
    <w:qFormat/>
    <w:uiPriority w:val="33"/>
    <w:rPr>
      <w:b/>
      <w:bCs/>
      <w:smallCaps/>
      <w:spacing w:val="5"/>
    </w:rPr>
  </w:style>
  <w:style w:type="paragraph" w:customStyle="1" w:styleId="163">
    <w:name w:val="TOC Heading"/>
    <w:basedOn w:val="3"/>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Pages>28</Pages>
  <Words>9583</Words>
  <Characters>58624</Characters>
  <Lines>0</Lines>
  <Paragraphs>0</Paragraphs>
  <TotalTime>21</TotalTime>
  <ScaleCrop>false</ScaleCrop>
  <LinksUpToDate>false</LinksUpToDate>
  <CharactersWithSpaces>68002</CharactersWithSpaces>
  <Application>WPS Office_12.1.0.25865_F1E327BC-269C-435d-A152-05C5408002CA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dc:description>generated by python-docx</dc:description>
  <cp:lastModifiedBy>虚数</cp:lastModifiedBy>
  <dcterms:modified xsi:type="dcterms:W3CDTF">2026-05-02T14:01:03Z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2052-12.1.0.25865</vt:lpwstr>
  </property>
  <property fmtid="{D5CDD505-2E9C-101B-9397-08002B2CF9AE}" pid="3" name="ICV">
    <vt:lpwstr>F2C88EB70EBC4BC083DB1DE199724097_13</vt:lpwstr>
  </property>
  <property fmtid="{D5CDD505-2E9C-101B-9397-08002B2CF9AE}" pid="4" name="KSOTemplateDocerSaveRecord">
    <vt:lpwstr>eyJoZGlkIjoiODVjZjNkZjc2NWZhYWY3Y2MyMjQxYjU0YWIwZTQ5YTQiLCJ1c2VySWQiOiI0MjQyNjUzMDgifQ==</vt:lpwstr>
  </property>
</Properties>
</file>