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EC3B42" w14:textId="77777777" w:rsidR="005C6EEF" w:rsidRPr="00E5027A" w:rsidRDefault="005C6EEF" w:rsidP="005C6EEF">
      <w:pPr>
        <w:spacing w:line="360" w:lineRule="auto"/>
        <w:rPr>
          <w:rFonts w:ascii="Arial" w:eastAsia="Calibri" w:hAnsi="Arial" w:cs="Arial"/>
          <w:b/>
          <w:bCs/>
          <w:color w:val="000000"/>
          <w:sz w:val="28"/>
          <w:szCs w:val="28"/>
          <w:lang w:eastAsia="ar-SA"/>
        </w:rPr>
      </w:pPr>
      <w:r w:rsidRPr="00E5027A">
        <w:rPr>
          <w:rFonts w:ascii="Arial" w:eastAsia="Calibri" w:hAnsi="Arial" w:cs="Arial"/>
          <w:color w:val="000000"/>
          <w:sz w:val="32"/>
          <w:szCs w:val="32"/>
          <w:lang w:eastAsia="ar-SA"/>
        </w:rPr>
        <w:t>NAME</w:t>
      </w:r>
      <w:r w:rsidRPr="00E5027A">
        <w:rPr>
          <w:rFonts w:ascii="Arial" w:eastAsia="Calibri" w:hAnsi="Arial" w:cs="Arial"/>
          <w:b/>
          <w:bCs/>
          <w:color w:val="000000"/>
          <w:sz w:val="28"/>
          <w:szCs w:val="28"/>
          <w:lang w:eastAsia="ar-SA"/>
        </w:rPr>
        <w:t xml:space="preserve">: </w:t>
      </w:r>
      <w:r>
        <w:rPr>
          <w:rFonts w:ascii="Arial" w:eastAsia="Calibri" w:hAnsi="Arial" w:cs="Arial"/>
          <w:b/>
          <w:bCs/>
          <w:color w:val="000000"/>
          <w:sz w:val="28"/>
          <w:szCs w:val="28"/>
          <w:lang w:eastAsia="ar-SA"/>
        </w:rPr>
        <w:t>Sofia Iuliana Anghel Cristea</w:t>
      </w:r>
    </w:p>
    <w:p w14:paraId="21AA13DE" w14:textId="77777777" w:rsidR="005C6EEF" w:rsidRPr="00E5027A" w:rsidRDefault="005C6EEF" w:rsidP="005C6EEF">
      <w:pPr>
        <w:spacing w:line="360" w:lineRule="auto"/>
        <w:rPr>
          <w:rFonts w:ascii="Arial" w:eastAsia="Calibri" w:hAnsi="Arial" w:cs="Arial"/>
          <w:b/>
          <w:bCs/>
          <w:color w:val="000000"/>
          <w:sz w:val="28"/>
          <w:szCs w:val="28"/>
          <w:lang w:eastAsia="ar-SA"/>
        </w:rPr>
      </w:pPr>
    </w:p>
    <w:p w14:paraId="14C8EAAB" w14:textId="77777777" w:rsidR="005C6EEF" w:rsidRPr="00E5027A" w:rsidRDefault="005C6EEF" w:rsidP="005C6EEF">
      <w:pPr>
        <w:spacing w:line="360" w:lineRule="auto"/>
        <w:rPr>
          <w:rFonts w:ascii="Arial" w:eastAsia="Calibri" w:hAnsi="Arial" w:cs="Arial"/>
          <w:color w:val="000000"/>
          <w:sz w:val="36"/>
          <w:szCs w:val="36"/>
          <w:lang w:eastAsia="ar-SA"/>
        </w:rPr>
      </w:pPr>
    </w:p>
    <w:p w14:paraId="7ADF4C61" w14:textId="77777777" w:rsidR="005C6EEF" w:rsidRPr="00E5027A" w:rsidRDefault="005C6EEF" w:rsidP="005C6EEF">
      <w:pPr>
        <w:spacing w:line="360" w:lineRule="auto"/>
        <w:rPr>
          <w:rFonts w:ascii="Arial" w:eastAsia="Calibri" w:hAnsi="Arial" w:cs="Arial"/>
          <w:b/>
          <w:bCs/>
          <w:color w:val="000000"/>
          <w:sz w:val="28"/>
          <w:szCs w:val="28"/>
          <w:lang w:eastAsia="ar-SA"/>
        </w:rPr>
      </w:pPr>
      <w:r w:rsidRPr="00E5027A">
        <w:rPr>
          <w:rFonts w:ascii="Arial" w:eastAsia="Calibri" w:hAnsi="Arial" w:cs="Arial"/>
          <w:color w:val="000000"/>
          <w:sz w:val="32"/>
          <w:szCs w:val="32"/>
          <w:lang w:eastAsia="ar-SA"/>
        </w:rPr>
        <w:t>STUDENT NUMBER:</w:t>
      </w:r>
      <w:r w:rsidRPr="00E5027A">
        <w:rPr>
          <w:rFonts w:ascii="Arial" w:eastAsia="Calibri" w:hAnsi="Arial" w:cs="Arial"/>
          <w:color w:val="000000"/>
          <w:sz w:val="36"/>
          <w:szCs w:val="36"/>
          <w:lang w:eastAsia="ar-SA"/>
        </w:rPr>
        <w:t xml:space="preserve"> </w:t>
      </w:r>
      <w:r w:rsidRPr="00E5027A">
        <w:rPr>
          <w:rFonts w:ascii="Arial" w:eastAsia="Calibri" w:hAnsi="Arial" w:cs="Arial"/>
          <w:b/>
          <w:bCs/>
          <w:color w:val="000000"/>
          <w:sz w:val="28"/>
          <w:szCs w:val="28"/>
          <w:lang w:eastAsia="ar-SA"/>
        </w:rPr>
        <w:t>18162</w:t>
      </w:r>
      <w:r>
        <w:rPr>
          <w:rFonts w:ascii="Arial" w:eastAsia="Calibri" w:hAnsi="Arial" w:cs="Arial"/>
          <w:b/>
          <w:bCs/>
          <w:color w:val="000000"/>
          <w:sz w:val="28"/>
          <w:szCs w:val="28"/>
          <w:lang w:eastAsia="ar-SA"/>
        </w:rPr>
        <w:t>91</w:t>
      </w:r>
    </w:p>
    <w:p w14:paraId="63821029" w14:textId="77777777" w:rsidR="005C6EEF" w:rsidRPr="00E5027A" w:rsidRDefault="005C6EEF" w:rsidP="005C6EEF">
      <w:pPr>
        <w:spacing w:line="360" w:lineRule="auto"/>
        <w:rPr>
          <w:rFonts w:ascii="Arial" w:eastAsia="Calibri" w:hAnsi="Arial" w:cs="Arial"/>
          <w:b/>
          <w:bCs/>
          <w:color w:val="000000"/>
          <w:sz w:val="28"/>
          <w:szCs w:val="28"/>
          <w:lang w:eastAsia="ar-SA"/>
        </w:rPr>
      </w:pPr>
    </w:p>
    <w:p w14:paraId="0FB2D688" w14:textId="77777777" w:rsidR="005C6EEF" w:rsidRPr="00E5027A" w:rsidRDefault="005C6EEF" w:rsidP="005C6EEF">
      <w:pPr>
        <w:spacing w:line="360" w:lineRule="auto"/>
        <w:rPr>
          <w:rFonts w:ascii="Arial" w:eastAsia="Calibri" w:hAnsi="Arial" w:cs="Arial"/>
          <w:b/>
          <w:bCs/>
          <w:color w:val="000000"/>
          <w:sz w:val="28"/>
          <w:szCs w:val="28"/>
          <w:lang w:eastAsia="ar-SA"/>
        </w:rPr>
      </w:pPr>
    </w:p>
    <w:p w14:paraId="5ADCC684" w14:textId="5F8BF7EA" w:rsidR="005C6EEF" w:rsidRPr="00E5027A" w:rsidRDefault="005C6EEF" w:rsidP="005C6EEF">
      <w:pPr>
        <w:spacing w:line="360" w:lineRule="auto"/>
        <w:rPr>
          <w:rFonts w:ascii="Arial" w:eastAsia="Calibri" w:hAnsi="Arial" w:cs="Arial"/>
          <w:b/>
          <w:bCs/>
          <w:color w:val="000000"/>
          <w:sz w:val="28"/>
          <w:szCs w:val="28"/>
          <w:lang w:eastAsia="ar-SA"/>
        </w:rPr>
      </w:pPr>
      <w:r w:rsidRPr="00E5027A">
        <w:rPr>
          <w:rFonts w:ascii="Arial" w:eastAsia="Calibri" w:hAnsi="Arial" w:cs="Arial"/>
          <w:color w:val="000000"/>
          <w:sz w:val="32"/>
          <w:szCs w:val="32"/>
          <w:lang w:eastAsia="ar-SA"/>
        </w:rPr>
        <w:t>MODULE TITLE:</w:t>
      </w:r>
      <w:r w:rsidRPr="00E5027A">
        <w:rPr>
          <w:rFonts w:ascii="Arial" w:eastAsia="Calibri" w:hAnsi="Arial" w:cs="Arial"/>
          <w:color w:val="000000"/>
          <w:sz w:val="36"/>
          <w:szCs w:val="36"/>
          <w:lang w:eastAsia="ar-SA"/>
        </w:rPr>
        <w:t xml:space="preserve"> </w:t>
      </w:r>
      <w:r w:rsidRPr="00E5027A">
        <w:rPr>
          <w:rFonts w:ascii="Arial" w:eastAsia="Calibri" w:hAnsi="Arial" w:cs="Arial"/>
          <w:b/>
          <w:bCs/>
          <w:color w:val="000000"/>
          <w:sz w:val="28"/>
          <w:szCs w:val="28"/>
          <w:lang w:eastAsia="ar-SA"/>
        </w:rPr>
        <w:t>M</w:t>
      </w:r>
      <w:r>
        <w:rPr>
          <w:rFonts w:ascii="Arial" w:eastAsia="Calibri" w:hAnsi="Arial" w:cs="Arial"/>
          <w:b/>
          <w:bCs/>
          <w:color w:val="000000"/>
          <w:sz w:val="28"/>
          <w:szCs w:val="28"/>
          <w:lang w:eastAsia="ar-SA"/>
        </w:rPr>
        <w:t>5X0192</w:t>
      </w:r>
      <w:r>
        <w:rPr>
          <w:rFonts w:ascii="Arial" w:eastAsia="Calibri" w:hAnsi="Arial" w:cs="Arial"/>
          <w:b/>
          <w:bCs/>
          <w:color w:val="000000"/>
          <w:sz w:val="28"/>
          <w:szCs w:val="28"/>
          <w:lang w:eastAsia="ar-SA"/>
        </w:rPr>
        <w:t>2</w:t>
      </w:r>
    </w:p>
    <w:p w14:paraId="62B8AF1C" w14:textId="77777777" w:rsidR="005C6EEF" w:rsidRPr="00E5027A" w:rsidRDefault="005C6EEF" w:rsidP="005C6EEF">
      <w:pPr>
        <w:spacing w:line="360" w:lineRule="auto"/>
        <w:rPr>
          <w:rFonts w:ascii="Arial" w:eastAsia="Calibri" w:hAnsi="Arial" w:cs="Arial"/>
          <w:b/>
          <w:bCs/>
          <w:color w:val="000000"/>
          <w:sz w:val="28"/>
          <w:szCs w:val="28"/>
          <w:lang w:eastAsia="ar-SA"/>
        </w:rPr>
      </w:pPr>
    </w:p>
    <w:p w14:paraId="6222BA5C" w14:textId="77777777" w:rsidR="005C6EEF" w:rsidRPr="00E5027A" w:rsidRDefault="005C6EEF" w:rsidP="005C6EEF">
      <w:pPr>
        <w:spacing w:line="360" w:lineRule="auto"/>
        <w:rPr>
          <w:rFonts w:ascii="Arial" w:eastAsia="Calibri" w:hAnsi="Arial" w:cs="Arial"/>
          <w:b/>
          <w:bCs/>
          <w:color w:val="000000"/>
          <w:sz w:val="28"/>
          <w:szCs w:val="28"/>
          <w:lang w:eastAsia="ar-SA"/>
        </w:rPr>
      </w:pPr>
    </w:p>
    <w:p w14:paraId="6954388E" w14:textId="16D834FC" w:rsidR="005C6EEF" w:rsidRPr="00E5027A" w:rsidRDefault="005C6EEF" w:rsidP="005C6EEF">
      <w:pPr>
        <w:spacing w:line="360" w:lineRule="auto"/>
        <w:rPr>
          <w:rFonts w:ascii="Arial" w:eastAsia="Calibri" w:hAnsi="Arial" w:cs="Arial"/>
          <w:b/>
          <w:bCs/>
          <w:color w:val="000000"/>
          <w:sz w:val="28"/>
          <w:szCs w:val="28"/>
          <w:lang w:eastAsia="ar-SA"/>
        </w:rPr>
      </w:pPr>
      <w:r w:rsidRPr="00E5027A">
        <w:rPr>
          <w:rFonts w:ascii="Arial" w:eastAsia="Calibri" w:hAnsi="Arial" w:cs="Arial"/>
          <w:color w:val="000000"/>
          <w:sz w:val="32"/>
          <w:szCs w:val="32"/>
          <w:lang w:eastAsia="ar-SA"/>
        </w:rPr>
        <w:t>ASSIGNMENT TITLE:</w:t>
      </w:r>
      <w:r w:rsidRPr="00E5027A">
        <w:rPr>
          <w:rFonts w:ascii="Arial" w:eastAsia="Calibri" w:hAnsi="Arial" w:cs="Arial"/>
          <w:color w:val="000000"/>
          <w:sz w:val="36"/>
          <w:szCs w:val="36"/>
          <w:lang w:eastAsia="ar-SA"/>
        </w:rPr>
        <w:t xml:space="preserve"> </w:t>
      </w:r>
      <w:r>
        <w:rPr>
          <w:rFonts w:ascii="Arial" w:eastAsia="Calibri" w:hAnsi="Arial" w:cs="Arial"/>
          <w:b/>
          <w:bCs/>
          <w:color w:val="000000"/>
          <w:sz w:val="28"/>
          <w:szCs w:val="28"/>
          <w:lang w:eastAsia="ar-SA"/>
        </w:rPr>
        <w:t xml:space="preserve">Financial Management for the Hotel Industry </w:t>
      </w:r>
    </w:p>
    <w:p w14:paraId="5F0A9752" w14:textId="77777777" w:rsidR="005C6EEF" w:rsidRPr="00E5027A" w:rsidRDefault="005C6EEF" w:rsidP="005C6EEF">
      <w:pPr>
        <w:spacing w:line="360" w:lineRule="auto"/>
        <w:rPr>
          <w:rFonts w:ascii="Arial" w:eastAsia="Calibri" w:hAnsi="Arial" w:cs="Arial"/>
          <w:b/>
          <w:bCs/>
          <w:color w:val="000000"/>
          <w:sz w:val="28"/>
          <w:szCs w:val="28"/>
          <w:lang w:eastAsia="ar-SA"/>
        </w:rPr>
      </w:pPr>
    </w:p>
    <w:p w14:paraId="345C08AB" w14:textId="77777777" w:rsidR="005C6EEF" w:rsidRPr="00E5027A" w:rsidRDefault="005C6EEF" w:rsidP="005C6EEF">
      <w:pPr>
        <w:spacing w:line="360" w:lineRule="auto"/>
        <w:rPr>
          <w:rFonts w:ascii="Arial" w:eastAsia="Calibri" w:hAnsi="Arial" w:cs="Arial"/>
          <w:b/>
          <w:bCs/>
          <w:color w:val="000000"/>
          <w:sz w:val="28"/>
          <w:szCs w:val="28"/>
          <w:lang w:eastAsia="ar-SA"/>
        </w:rPr>
      </w:pPr>
    </w:p>
    <w:p w14:paraId="49C566D5" w14:textId="53F32CE0" w:rsidR="005C6EEF" w:rsidRPr="00E5027A" w:rsidRDefault="005C6EEF" w:rsidP="005C6EEF">
      <w:pPr>
        <w:spacing w:line="360" w:lineRule="auto"/>
        <w:rPr>
          <w:rFonts w:ascii="Arial" w:eastAsia="Calibri" w:hAnsi="Arial" w:cs="Arial"/>
          <w:b/>
          <w:bCs/>
          <w:color w:val="000000"/>
          <w:sz w:val="28"/>
          <w:szCs w:val="28"/>
          <w:lang w:eastAsia="ar-SA"/>
        </w:rPr>
      </w:pPr>
      <w:r w:rsidRPr="00E5027A">
        <w:rPr>
          <w:rFonts w:ascii="Arial" w:eastAsia="Calibri" w:hAnsi="Arial" w:cs="Arial"/>
          <w:color w:val="000000"/>
          <w:sz w:val="32"/>
          <w:szCs w:val="32"/>
          <w:lang w:eastAsia="ar-SA"/>
        </w:rPr>
        <w:t>MODULE LECTURER’S:</w:t>
      </w:r>
      <w:r w:rsidRPr="00E5027A">
        <w:rPr>
          <w:rFonts w:ascii="Arial" w:eastAsia="Calibri" w:hAnsi="Arial" w:cs="Arial"/>
          <w:color w:val="000000"/>
          <w:sz w:val="36"/>
          <w:szCs w:val="36"/>
          <w:lang w:eastAsia="ar-SA"/>
        </w:rPr>
        <w:t xml:space="preserve"> </w:t>
      </w:r>
      <w:r>
        <w:rPr>
          <w:rFonts w:ascii="Arial" w:eastAsia="Calibri" w:hAnsi="Arial" w:cs="Arial"/>
          <w:b/>
          <w:bCs/>
          <w:color w:val="000000"/>
          <w:sz w:val="28"/>
          <w:szCs w:val="28"/>
          <w:lang w:eastAsia="ar-SA"/>
        </w:rPr>
        <w:t xml:space="preserve">Dr </w:t>
      </w:r>
      <w:r>
        <w:rPr>
          <w:rFonts w:ascii="Arial" w:eastAsia="Calibri" w:hAnsi="Arial" w:cs="Arial"/>
          <w:b/>
          <w:bCs/>
          <w:color w:val="000000"/>
          <w:sz w:val="28"/>
          <w:szCs w:val="28"/>
          <w:lang w:eastAsia="ar-SA"/>
        </w:rPr>
        <w:t>David Jenkins</w:t>
      </w:r>
    </w:p>
    <w:p w14:paraId="37BEEED7" w14:textId="77777777" w:rsidR="00294520" w:rsidRPr="00E83A8E" w:rsidRDefault="00294520" w:rsidP="00E83A8E">
      <w:pPr>
        <w:spacing w:line="360" w:lineRule="auto"/>
        <w:jc w:val="both"/>
        <w:rPr>
          <w:rFonts w:ascii="Times New Roman" w:hAnsi="Times New Roman" w:cs="Times New Roman"/>
          <w:color w:val="333333"/>
          <w:sz w:val="24"/>
          <w:szCs w:val="24"/>
          <w:shd w:val="clear" w:color="auto" w:fill="FFFFFF"/>
        </w:rPr>
      </w:pPr>
      <w:r w:rsidRPr="00E83A8E">
        <w:rPr>
          <w:rFonts w:ascii="Times New Roman" w:hAnsi="Times New Roman" w:cs="Times New Roman"/>
          <w:color w:val="333333"/>
          <w:sz w:val="24"/>
          <w:szCs w:val="24"/>
          <w:shd w:val="clear" w:color="auto" w:fill="FFFFFF"/>
        </w:rPr>
        <w:br w:type="page"/>
      </w:r>
    </w:p>
    <w:p w14:paraId="32DD864C" w14:textId="77777777" w:rsidR="00CF6D7B" w:rsidRPr="00E83A8E" w:rsidRDefault="00294520" w:rsidP="00E83A8E">
      <w:pPr>
        <w:spacing w:line="360" w:lineRule="auto"/>
        <w:jc w:val="both"/>
        <w:rPr>
          <w:rFonts w:ascii="Times New Roman" w:hAnsi="Times New Roman" w:cs="Times New Roman"/>
          <w:sz w:val="24"/>
          <w:szCs w:val="24"/>
        </w:rPr>
      </w:pPr>
      <w:bookmarkStart w:id="0" w:name="_Toc44676401"/>
      <w:bookmarkStart w:id="1" w:name="_Toc44676457"/>
      <w:r w:rsidRPr="00E83A8E">
        <w:rPr>
          <w:rFonts w:ascii="Times New Roman" w:hAnsi="Times New Roman" w:cs="Times New Roman"/>
          <w:sz w:val="24"/>
          <w:szCs w:val="24"/>
        </w:rPr>
        <w:lastRenderedPageBreak/>
        <w:t>EXECUTIVE SUMMARY</w:t>
      </w:r>
      <w:bookmarkEnd w:id="0"/>
      <w:bookmarkEnd w:id="1"/>
    </w:p>
    <w:p w14:paraId="7775E36E" w14:textId="77777777" w:rsidR="00294520" w:rsidRPr="00E83A8E" w:rsidRDefault="00294520" w:rsidP="00E83A8E">
      <w:p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ab/>
        <w:t>The report analyses Gatsby Grange's financial results by measuring various financial ratios to determine the current corporate financial situation. It also involves critical detailed ratios and any ratio variations to evaluate the operation of hotels. Along with this outlines the benefits and drawbacks of object ratios to consider their significance in decision-making.</w:t>
      </w:r>
    </w:p>
    <w:p w14:paraId="00A2DA4B" w14:textId="77777777" w:rsidR="00294520" w:rsidRPr="00E83A8E" w:rsidRDefault="00294520" w:rsidP="00E83A8E">
      <w:p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58025571"/>
        <w:docPartObj>
          <w:docPartGallery w:val="Table of Contents"/>
          <w:docPartUnique/>
        </w:docPartObj>
      </w:sdtPr>
      <w:sdtEndPr>
        <w:rPr>
          <w:b/>
          <w:bCs/>
          <w:noProof/>
        </w:rPr>
      </w:sdtEndPr>
      <w:sdtContent>
        <w:p w14:paraId="029D0EF2" w14:textId="77777777" w:rsidR="00653A95" w:rsidRDefault="00653A95">
          <w:pPr>
            <w:pStyle w:val="TOCHeading"/>
          </w:pPr>
          <w:r>
            <w:t>Contents</w:t>
          </w:r>
        </w:p>
        <w:p w14:paraId="5E530705" w14:textId="58824089" w:rsidR="00653A95" w:rsidRDefault="00653A95">
          <w:pPr>
            <w:pStyle w:val="TOC1"/>
            <w:tabs>
              <w:tab w:val="right" w:leader="dot" w:pos="9350"/>
            </w:tabs>
            <w:rPr>
              <w:noProof/>
            </w:rPr>
          </w:pPr>
          <w:r>
            <w:fldChar w:fldCharType="begin"/>
          </w:r>
          <w:r>
            <w:instrText xml:space="preserve"> TOC \o "1-3" \h \z \u </w:instrText>
          </w:r>
          <w:r>
            <w:fldChar w:fldCharType="separate"/>
          </w:r>
          <w:hyperlink w:anchor="_Toc44694682" w:history="1">
            <w:r w:rsidRPr="00407135">
              <w:rPr>
                <w:rStyle w:val="Hyperlink"/>
                <w:noProof/>
              </w:rPr>
              <w:t>INTRODUCTION</w:t>
            </w:r>
            <w:r>
              <w:rPr>
                <w:noProof/>
                <w:webHidden/>
              </w:rPr>
              <w:tab/>
            </w:r>
            <w:r w:rsidR="005C6EEF">
              <w:rPr>
                <w:noProof/>
                <w:webHidden/>
              </w:rPr>
              <w:t>1</w:t>
            </w:r>
          </w:hyperlink>
        </w:p>
        <w:p w14:paraId="32413D7E" w14:textId="513D3A35" w:rsidR="00653A95" w:rsidRDefault="005C6EEF">
          <w:pPr>
            <w:pStyle w:val="TOC1"/>
            <w:tabs>
              <w:tab w:val="right" w:leader="dot" w:pos="9350"/>
            </w:tabs>
            <w:rPr>
              <w:noProof/>
            </w:rPr>
          </w:pPr>
          <w:hyperlink w:anchor="_Toc44694683" w:history="1">
            <w:r w:rsidR="00653A95" w:rsidRPr="00407135">
              <w:rPr>
                <w:rStyle w:val="Hyperlink"/>
                <w:noProof/>
              </w:rPr>
              <w:t>MAIN BODY</w:t>
            </w:r>
            <w:r w:rsidR="00653A95">
              <w:rPr>
                <w:noProof/>
                <w:webHidden/>
              </w:rPr>
              <w:tab/>
            </w:r>
            <w:r>
              <w:rPr>
                <w:noProof/>
                <w:webHidden/>
              </w:rPr>
              <w:t>2</w:t>
            </w:r>
          </w:hyperlink>
        </w:p>
        <w:p w14:paraId="0BE0E0DF" w14:textId="4AB5F29D" w:rsidR="00653A95" w:rsidRDefault="005C6EEF">
          <w:pPr>
            <w:pStyle w:val="TOC2"/>
            <w:tabs>
              <w:tab w:val="right" w:leader="dot" w:pos="9350"/>
            </w:tabs>
            <w:rPr>
              <w:noProof/>
            </w:rPr>
          </w:pPr>
          <w:hyperlink w:anchor="_Toc44694684" w:history="1">
            <w:r w:rsidR="00653A95" w:rsidRPr="00407135">
              <w:rPr>
                <w:rStyle w:val="Hyperlink"/>
                <w:rFonts w:ascii="Times New Roman" w:hAnsi="Times New Roman" w:cs="Times New Roman"/>
                <w:noProof/>
              </w:rPr>
              <w:t>Task 1</w:t>
            </w:r>
            <w:r w:rsidR="00653A95">
              <w:rPr>
                <w:noProof/>
                <w:webHidden/>
              </w:rPr>
              <w:tab/>
            </w:r>
            <w:r>
              <w:rPr>
                <w:noProof/>
                <w:webHidden/>
              </w:rPr>
              <w:t>3</w:t>
            </w:r>
          </w:hyperlink>
        </w:p>
        <w:p w14:paraId="4D1F732C" w14:textId="6A242E49" w:rsidR="00653A95" w:rsidRDefault="005C6EEF">
          <w:pPr>
            <w:pStyle w:val="TOC2"/>
            <w:tabs>
              <w:tab w:val="right" w:leader="dot" w:pos="9350"/>
            </w:tabs>
            <w:rPr>
              <w:noProof/>
            </w:rPr>
          </w:pPr>
          <w:hyperlink w:anchor="_Toc44694685" w:history="1">
            <w:r w:rsidR="00653A95" w:rsidRPr="00407135">
              <w:rPr>
                <w:rStyle w:val="Hyperlink"/>
                <w:rFonts w:ascii="Times New Roman" w:hAnsi="Times New Roman" w:cs="Times New Roman"/>
                <w:noProof/>
              </w:rPr>
              <w:t>Task 2</w:t>
            </w:r>
            <w:r w:rsidR="00653A95">
              <w:rPr>
                <w:noProof/>
                <w:webHidden/>
              </w:rPr>
              <w:tab/>
            </w:r>
            <w:r>
              <w:rPr>
                <w:noProof/>
                <w:webHidden/>
              </w:rPr>
              <w:t>4</w:t>
            </w:r>
          </w:hyperlink>
        </w:p>
        <w:p w14:paraId="4A92469C" w14:textId="5991D5A9" w:rsidR="00653A95" w:rsidRDefault="005C6EEF">
          <w:pPr>
            <w:pStyle w:val="TOC1"/>
            <w:tabs>
              <w:tab w:val="right" w:leader="dot" w:pos="9350"/>
            </w:tabs>
            <w:rPr>
              <w:noProof/>
            </w:rPr>
          </w:pPr>
          <w:hyperlink w:anchor="_Toc44694686" w:history="1">
            <w:r w:rsidR="00653A95" w:rsidRPr="00407135">
              <w:rPr>
                <w:rStyle w:val="Hyperlink"/>
                <w:noProof/>
              </w:rPr>
              <w:t>REFERENCES</w:t>
            </w:r>
            <w:r w:rsidR="00653A95">
              <w:rPr>
                <w:noProof/>
                <w:webHidden/>
              </w:rPr>
              <w:tab/>
            </w:r>
            <w:r>
              <w:rPr>
                <w:noProof/>
                <w:webHidden/>
              </w:rPr>
              <w:t>5</w:t>
            </w:r>
          </w:hyperlink>
        </w:p>
        <w:p w14:paraId="68ABB087" w14:textId="77777777" w:rsidR="00653A95" w:rsidRDefault="00653A95">
          <w:r>
            <w:rPr>
              <w:b/>
              <w:bCs/>
              <w:noProof/>
            </w:rPr>
            <w:fldChar w:fldCharType="end"/>
          </w:r>
        </w:p>
      </w:sdtContent>
    </w:sdt>
    <w:p w14:paraId="1DA00D6D" w14:textId="77777777" w:rsidR="00294520" w:rsidRPr="00E83A8E" w:rsidRDefault="00294520" w:rsidP="00E83A8E">
      <w:p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br w:type="page"/>
      </w:r>
    </w:p>
    <w:p w14:paraId="202FD508" w14:textId="77777777" w:rsidR="00294520" w:rsidRPr="00E83A8E" w:rsidRDefault="00294520" w:rsidP="00E83A8E">
      <w:pPr>
        <w:pStyle w:val="Heading1"/>
        <w:pageBreakBefore/>
        <w:rPr>
          <w:sz w:val="24"/>
          <w:szCs w:val="24"/>
        </w:rPr>
      </w:pPr>
      <w:bookmarkStart w:id="2" w:name="_Toc44676402"/>
      <w:bookmarkStart w:id="3" w:name="_Toc44676458"/>
      <w:bookmarkStart w:id="4" w:name="_Toc44694682"/>
      <w:r w:rsidRPr="00E83A8E">
        <w:rPr>
          <w:sz w:val="24"/>
          <w:szCs w:val="24"/>
        </w:rPr>
        <w:lastRenderedPageBreak/>
        <w:t>INTRODUCTION</w:t>
      </w:r>
      <w:bookmarkEnd w:id="2"/>
      <w:bookmarkEnd w:id="3"/>
      <w:bookmarkEnd w:id="4"/>
    </w:p>
    <w:p w14:paraId="660C63DA" w14:textId="77777777" w:rsidR="00294520" w:rsidRPr="00E83A8E" w:rsidRDefault="00294520" w:rsidP="00653A95">
      <w:pPr>
        <w:spacing w:line="360" w:lineRule="auto"/>
        <w:ind w:firstLine="432"/>
        <w:jc w:val="both"/>
        <w:rPr>
          <w:rFonts w:ascii="Times New Roman" w:hAnsi="Times New Roman" w:cs="Times New Roman"/>
          <w:sz w:val="24"/>
          <w:szCs w:val="24"/>
        </w:rPr>
      </w:pPr>
      <w:r w:rsidRPr="00E83A8E">
        <w:rPr>
          <w:rFonts w:ascii="Times New Roman" w:hAnsi="Times New Roman" w:cs="Times New Roman"/>
          <w:sz w:val="24"/>
          <w:szCs w:val="24"/>
        </w:rPr>
        <w:t>Proper examination of the financial report is necessary for companies so that executives may take reasonable measures for specific styles of decisions. Financial reports analysis can be carried out using a variety of methods such as ratio analysis</w:t>
      </w:r>
      <w:r w:rsidR="00D12714" w:rsidRPr="00E83A8E">
        <w:rPr>
          <w:rFonts w:ascii="Times New Roman" w:hAnsi="Times New Roman" w:cs="Times New Roman"/>
          <w:sz w:val="24"/>
          <w:szCs w:val="24"/>
        </w:rPr>
        <w:t xml:space="preserve"> (</w:t>
      </w:r>
      <w:r w:rsidR="00D12714" w:rsidRPr="00E83A8E">
        <w:rPr>
          <w:rFonts w:ascii="Times New Roman" w:hAnsi="Times New Roman" w:cs="Times New Roman"/>
          <w:color w:val="222222"/>
          <w:sz w:val="24"/>
          <w:szCs w:val="24"/>
          <w:shd w:val="clear" w:color="auto" w:fill="FFFFFF"/>
        </w:rPr>
        <w:t>Zolfani and Chatterjee, 2019</w:t>
      </w:r>
      <w:r w:rsidR="00D12714" w:rsidRPr="00E83A8E">
        <w:rPr>
          <w:rFonts w:ascii="Times New Roman" w:hAnsi="Times New Roman" w:cs="Times New Roman"/>
          <w:sz w:val="24"/>
          <w:szCs w:val="24"/>
        </w:rPr>
        <w:t>)</w:t>
      </w:r>
      <w:r w:rsidRPr="00E83A8E">
        <w:rPr>
          <w:rFonts w:ascii="Times New Roman" w:hAnsi="Times New Roman" w:cs="Times New Roman"/>
          <w:sz w:val="24"/>
          <w:szCs w:val="24"/>
        </w:rPr>
        <w:t xml:space="preserve">. The project study is based on Gatsby Grange company's financial review, which is part of Boutique's small chain in the UK. The study covers extensive details on various kinds of ratios, the role that this methodology plays for businesses. In addition, limitation of this technique for hospitality industry companies is also mentioned. The chosen hospitality sector company is Sheraton Hotel. </w:t>
      </w:r>
    </w:p>
    <w:p w14:paraId="045F9B22" w14:textId="77777777" w:rsidR="00294520" w:rsidRPr="00E83A8E" w:rsidRDefault="00294520" w:rsidP="00E83A8E">
      <w:pPr>
        <w:pStyle w:val="Heading1"/>
        <w:rPr>
          <w:sz w:val="24"/>
          <w:szCs w:val="24"/>
        </w:rPr>
      </w:pPr>
      <w:bookmarkStart w:id="5" w:name="_Toc44676403"/>
      <w:bookmarkStart w:id="6" w:name="_Toc44676459"/>
      <w:bookmarkStart w:id="7" w:name="_Toc44694683"/>
      <w:r w:rsidRPr="00E83A8E">
        <w:rPr>
          <w:sz w:val="24"/>
          <w:szCs w:val="24"/>
        </w:rPr>
        <w:t>MAIN BODY</w:t>
      </w:r>
      <w:bookmarkEnd w:id="5"/>
      <w:bookmarkEnd w:id="6"/>
      <w:bookmarkEnd w:id="7"/>
    </w:p>
    <w:p w14:paraId="62CF2145" w14:textId="77777777" w:rsidR="00294520" w:rsidRPr="00E83A8E" w:rsidRDefault="00294520" w:rsidP="00E83A8E">
      <w:pPr>
        <w:pStyle w:val="Heading2"/>
        <w:numPr>
          <w:ilvl w:val="1"/>
          <w:numId w:val="1"/>
        </w:numPr>
        <w:suppressAutoHyphens/>
        <w:spacing w:before="113" w:line="360" w:lineRule="auto"/>
        <w:jc w:val="both"/>
        <w:rPr>
          <w:rFonts w:ascii="Times New Roman" w:hAnsi="Times New Roman" w:cs="Times New Roman"/>
          <w:color w:val="000000" w:themeColor="text1"/>
          <w:sz w:val="24"/>
          <w:szCs w:val="24"/>
          <w:u w:val="single"/>
        </w:rPr>
      </w:pPr>
      <w:bookmarkStart w:id="8" w:name="_Toc44676404"/>
      <w:bookmarkStart w:id="9" w:name="_Toc44676460"/>
      <w:bookmarkStart w:id="10" w:name="_Toc44694684"/>
      <w:r w:rsidRPr="00E83A8E">
        <w:rPr>
          <w:rFonts w:ascii="Times New Roman" w:hAnsi="Times New Roman" w:cs="Times New Roman"/>
          <w:color w:val="000000" w:themeColor="text1"/>
          <w:sz w:val="24"/>
          <w:szCs w:val="24"/>
          <w:u w:val="single"/>
        </w:rPr>
        <w:t>Task 1</w:t>
      </w:r>
      <w:bookmarkEnd w:id="8"/>
      <w:bookmarkEnd w:id="9"/>
      <w:bookmarkEnd w:id="10"/>
    </w:p>
    <w:p w14:paraId="3F3C3D91" w14:textId="77777777" w:rsidR="00294520" w:rsidRPr="00E83A8E" w:rsidRDefault="00294520" w:rsidP="00E83A8E">
      <w:pPr>
        <w:spacing w:line="360" w:lineRule="auto"/>
        <w:jc w:val="both"/>
        <w:rPr>
          <w:rFonts w:ascii="Times New Roman" w:hAnsi="Times New Roman" w:cs="Times New Roman"/>
          <w:sz w:val="24"/>
          <w:szCs w:val="24"/>
        </w:rPr>
      </w:pPr>
    </w:p>
    <w:p w14:paraId="0512B3EE" w14:textId="77777777" w:rsidR="00294520" w:rsidRPr="00E83A8E" w:rsidRDefault="00294520" w:rsidP="00E83A8E">
      <w:pPr>
        <w:numPr>
          <w:ilvl w:val="0"/>
          <w:numId w:val="2"/>
        </w:numPr>
        <w:suppressAutoHyphens/>
        <w:spacing w:after="0" w:line="360" w:lineRule="auto"/>
        <w:jc w:val="both"/>
        <w:rPr>
          <w:rFonts w:ascii="Times New Roman" w:hAnsi="Times New Roman" w:cs="Times New Roman"/>
          <w:sz w:val="24"/>
          <w:szCs w:val="24"/>
        </w:rPr>
      </w:pPr>
      <w:r w:rsidRPr="00E83A8E">
        <w:rPr>
          <w:rFonts w:ascii="Times New Roman" w:hAnsi="Times New Roman" w:cs="Times New Roman"/>
          <w:sz w:val="24"/>
          <w:szCs w:val="24"/>
        </w:rPr>
        <w:t xml:space="preserve">Calculation and analysis of financial information on the basis of ratio analysis. </w:t>
      </w:r>
    </w:p>
    <w:p w14:paraId="398D532E" w14:textId="77777777" w:rsidR="00294520" w:rsidRPr="00E83A8E" w:rsidRDefault="00294520" w:rsidP="00E83A8E">
      <w:pPr>
        <w:spacing w:line="360" w:lineRule="auto"/>
        <w:ind w:left="720" w:firstLine="360"/>
        <w:jc w:val="both"/>
        <w:rPr>
          <w:rFonts w:ascii="Times New Roman" w:hAnsi="Times New Roman" w:cs="Times New Roman"/>
          <w:sz w:val="24"/>
          <w:szCs w:val="24"/>
        </w:rPr>
      </w:pPr>
      <w:r w:rsidRPr="00E83A8E">
        <w:rPr>
          <w:rFonts w:ascii="Times New Roman" w:hAnsi="Times New Roman" w:cs="Times New Roman"/>
          <w:sz w:val="24"/>
          <w:szCs w:val="24"/>
        </w:rPr>
        <w:t>Profitability ratio- It is interpreted as a type of ratio that firms use to determine the level of profit margins of the various kinds of activities and tasks</w:t>
      </w:r>
      <w:r w:rsidR="00D12714" w:rsidRPr="00E83A8E">
        <w:rPr>
          <w:rFonts w:ascii="Times New Roman" w:hAnsi="Times New Roman" w:cs="Times New Roman"/>
          <w:sz w:val="24"/>
          <w:szCs w:val="24"/>
        </w:rPr>
        <w:t xml:space="preserve"> (</w:t>
      </w:r>
      <w:r w:rsidR="00D12714" w:rsidRPr="00E83A8E">
        <w:rPr>
          <w:rFonts w:ascii="Times New Roman" w:hAnsi="Times New Roman" w:cs="Times New Roman"/>
          <w:color w:val="222222"/>
          <w:sz w:val="24"/>
          <w:szCs w:val="24"/>
          <w:shd w:val="clear" w:color="auto" w:fill="FFFFFF"/>
        </w:rPr>
        <w:t>Hatefi, 2019</w:t>
      </w:r>
      <w:r w:rsidR="00D12714" w:rsidRPr="00E83A8E">
        <w:rPr>
          <w:rFonts w:ascii="Times New Roman" w:hAnsi="Times New Roman" w:cs="Times New Roman"/>
          <w:sz w:val="24"/>
          <w:szCs w:val="24"/>
        </w:rPr>
        <w:t>)</w:t>
      </w:r>
      <w:r w:rsidRPr="00E83A8E">
        <w:rPr>
          <w:rFonts w:ascii="Times New Roman" w:hAnsi="Times New Roman" w:cs="Times New Roman"/>
          <w:sz w:val="24"/>
          <w:szCs w:val="24"/>
        </w:rPr>
        <w:t>. A number of ratios are listed under this, and some of them are measured in this way:</w:t>
      </w:r>
    </w:p>
    <w:p w14:paraId="7DBCDB82" w14:textId="77777777" w:rsidR="00294520" w:rsidRPr="00E83A8E" w:rsidRDefault="00294520" w:rsidP="00E83A8E">
      <w:pPr>
        <w:numPr>
          <w:ilvl w:val="0"/>
          <w:numId w:val="3"/>
        </w:numPr>
        <w:suppressAutoHyphens/>
        <w:spacing w:after="0" w:line="360" w:lineRule="auto"/>
        <w:jc w:val="both"/>
        <w:rPr>
          <w:rFonts w:ascii="Times New Roman" w:hAnsi="Times New Roman" w:cs="Times New Roman"/>
          <w:sz w:val="24"/>
          <w:szCs w:val="24"/>
        </w:rPr>
      </w:pPr>
      <w:r w:rsidRPr="00E83A8E">
        <w:rPr>
          <w:rFonts w:ascii="Times New Roman" w:hAnsi="Times New Roman" w:cs="Times New Roman"/>
          <w:sz w:val="24"/>
          <w:szCs w:val="24"/>
        </w:rPr>
        <w:t>Gross profit ratio- Gross profit / net sales * 100</w:t>
      </w:r>
    </w:p>
    <w:tbl>
      <w:tblPr>
        <w:tblW w:w="4720" w:type="dxa"/>
        <w:tblInd w:w="1530" w:type="dxa"/>
        <w:tblLook w:val="04A0" w:firstRow="1" w:lastRow="0" w:firstColumn="1" w:lastColumn="0" w:noHBand="0" w:noVBand="1"/>
      </w:tblPr>
      <w:tblGrid>
        <w:gridCol w:w="2800"/>
        <w:gridCol w:w="960"/>
        <w:gridCol w:w="960"/>
      </w:tblGrid>
      <w:tr w:rsidR="00294520" w:rsidRPr="00E83A8E" w14:paraId="7FD6B65D"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3DF539"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All data in ‘000 except gross margin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0F5743B"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378E42E"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2019</w:t>
            </w:r>
          </w:p>
        </w:tc>
      </w:tr>
      <w:tr w:rsidR="00294520" w:rsidRPr="00E83A8E" w14:paraId="75806B27"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6B1EFF26"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Gross profit</w:t>
            </w:r>
          </w:p>
        </w:tc>
        <w:tc>
          <w:tcPr>
            <w:tcW w:w="960" w:type="dxa"/>
            <w:tcBorders>
              <w:top w:val="nil"/>
              <w:left w:val="nil"/>
              <w:bottom w:val="single" w:sz="4" w:space="0" w:color="auto"/>
              <w:right w:val="single" w:sz="4" w:space="0" w:color="auto"/>
            </w:tcBorders>
            <w:shd w:val="clear" w:color="auto" w:fill="auto"/>
            <w:noWrap/>
            <w:vAlign w:val="bottom"/>
            <w:hideMark/>
          </w:tcPr>
          <w:p w14:paraId="1F2F4E44"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5050</w:t>
            </w:r>
          </w:p>
        </w:tc>
        <w:tc>
          <w:tcPr>
            <w:tcW w:w="960" w:type="dxa"/>
            <w:tcBorders>
              <w:top w:val="nil"/>
              <w:left w:val="nil"/>
              <w:bottom w:val="single" w:sz="4" w:space="0" w:color="auto"/>
              <w:right w:val="single" w:sz="4" w:space="0" w:color="auto"/>
            </w:tcBorders>
            <w:shd w:val="clear" w:color="auto" w:fill="auto"/>
            <w:noWrap/>
            <w:vAlign w:val="bottom"/>
            <w:hideMark/>
          </w:tcPr>
          <w:p w14:paraId="74DA4B1C"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5150</w:t>
            </w:r>
          </w:p>
        </w:tc>
      </w:tr>
      <w:tr w:rsidR="00294520" w:rsidRPr="00E83A8E" w14:paraId="5FEF1456"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5A9BAC48"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Net sales</w:t>
            </w:r>
          </w:p>
        </w:tc>
        <w:tc>
          <w:tcPr>
            <w:tcW w:w="960" w:type="dxa"/>
            <w:tcBorders>
              <w:top w:val="nil"/>
              <w:left w:val="nil"/>
              <w:bottom w:val="single" w:sz="4" w:space="0" w:color="auto"/>
              <w:right w:val="single" w:sz="4" w:space="0" w:color="auto"/>
            </w:tcBorders>
            <w:shd w:val="clear" w:color="auto" w:fill="auto"/>
            <w:noWrap/>
            <w:vAlign w:val="bottom"/>
            <w:hideMark/>
          </w:tcPr>
          <w:p w14:paraId="212D1C67"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5500</w:t>
            </w:r>
          </w:p>
        </w:tc>
        <w:tc>
          <w:tcPr>
            <w:tcW w:w="960" w:type="dxa"/>
            <w:tcBorders>
              <w:top w:val="nil"/>
              <w:left w:val="nil"/>
              <w:bottom w:val="single" w:sz="4" w:space="0" w:color="auto"/>
              <w:right w:val="single" w:sz="4" w:space="0" w:color="auto"/>
            </w:tcBorders>
            <w:shd w:val="clear" w:color="auto" w:fill="auto"/>
            <w:noWrap/>
            <w:vAlign w:val="bottom"/>
            <w:hideMark/>
          </w:tcPr>
          <w:p w14:paraId="5AA75184"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6000</w:t>
            </w:r>
          </w:p>
        </w:tc>
      </w:tr>
      <w:tr w:rsidR="00294520" w:rsidRPr="00E83A8E" w14:paraId="52D4309B"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71EC09D8"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Gross profit ratio</w:t>
            </w:r>
          </w:p>
        </w:tc>
        <w:tc>
          <w:tcPr>
            <w:tcW w:w="960" w:type="dxa"/>
            <w:tcBorders>
              <w:top w:val="nil"/>
              <w:left w:val="nil"/>
              <w:bottom w:val="single" w:sz="4" w:space="0" w:color="auto"/>
              <w:right w:val="single" w:sz="4" w:space="0" w:color="auto"/>
            </w:tcBorders>
            <w:shd w:val="clear" w:color="auto" w:fill="auto"/>
            <w:noWrap/>
            <w:vAlign w:val="bottom"/>
            <w:hideMark/>
          </w:tcPr>
          <w:p w14:paraId="0742A52C"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91.82%</w:t>
            </w:r>
          </w:p>
        </w:tc>
        <w:tc>
          <w:tcPr>
            <w:tcW w:w="960" w:type="dxa"/>
            <w:tcBorders>
              <w:top w:val="nil"/>
              <w:left w:val="nil"/>
              <w:bottom w:val="single" w:sz="4" w:space="0" w:color="auto"/>
              <w:right w:val="single" w:sz="4" w:space="0" w:color="auto"/>
            </w:tcBorders>
            <w:shd w:val="clear" w:color="auto" w:fill="auto"/>
            <w:noWrap/>
            <w:vAlign w:val="bottom"/>
            <w:hideMark/>
          </w:tcPr>
          <w:p w14:paraId="22C74CA6" w14:textId="77777777" w:rsidR="00294520" w:rsidRPr="00E83A8E" w:rsidRDefault="00294520"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85.83%</w:t>
            </w:r>
          </w:p>
        </w:tc>
      </w:tr>
    </w:tbl>
    <w:p w14:paraId="31597BE8" w14:textId="77777777" w:rsidR="00294520" w:rsidRPr="00E83A8E" w:rsidRDefault="00294520" w:rsidP="00E83A8E">
      <w:pPr>
        <w:spacing w:line="360" w:lineRule="auto"/>
        <w:ind w:left="1440"/>
        <w:jc w:val="both"/>
        <w:rPr>
          <w:rFonts w:ascii="Times New Roman" w:hAnsi="Times New Roman" w:cs="Times New Roman"/>
          <w:sz w:val="24"/>
          <w:szCs w:val="24"/>
        </w:rPr>
      </w:pPr>
    </w:p>
    <w:p w14:paraId="50F345B4" w14:textId="77777777" w:rsidR="00294520" w:rsidRPr="00E83A8E" w:rsidRDefault="00294520" w:rsidP="00E83A8E">
      <w:pPr>
        <w:spacing w:line="360" w:lineRule="auto"/>
        <w:ind w:left="1440"/>
        <w:jc w:val="both"/>
        <w:rPr>
          <w:rFonts w:ascii="Times New Roman" w:hAnsi="Times New Roman" w:cs="Times New Roman"/>
          <w:noProof/>
          <w:sz w:val="24"/>
          <w:szCs w:val="24"/>
        </w:rPr>
      </w:pPr>
      <w:r w:rsidRPr="00E83A8E">
        <w:rPr>
          <w:rFonts w:ascii="Times New Roman" w:hAnsi="Times New Roman" w:cs="Times New Roman"/>
          <w:noProof/>
          <w:sz w:val="24"/>
          <w:szCs w:val="24"/>
        </w:rPr>
        <w:lastRenderedPageBreak/>
        <w:drawing>
          <wp:inline distT="0" distB="0" distL="0" distR="0" wp14:anchorId="3E2D11FE" wp14:editId="62181683">
            <wp:extent cx="4568825" cy="1763395"/>
            <wp:effectExtent l="0" t="0" r="3175" b="825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FC5DCBD" w14:textId="77777777" w:rsidR="00294520" w:rsidRPr="00E83A8E" w:rsidRDefault="00294520" w:rsidP="00E83A8E">
      <w:pPr>
        <w:spacing w:line="360" w:lineRule="auto"/>
        <w:ind w:left="1440"/>
        <w:jc w:val="both"/>
        <w:rPr>
          <w:rFonts w:ascii="Times New Roman" w:hAnsi="Times New Roman" w:cs="Times New Roman"/>
          <w:noProof/>
          <w:sz w:val="24"/>
          <w:szCs w:val="24"/>
        </w:rPr>
      </w:pPr>
    </w:p>
    <w:p w14:paraId="04B20A0B" w14:textId="77777777" w:rsidR="00294520" w:rsidRPr="00E83A8E" w:rsidRDefault="00294520" w:rsidP="00E83A8E">
      <w:p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Analysis-</w:t>
      </w:r>
      <w:r w:rsidR="00A6156B" w:rsidRPr="00E83A8E">
        <w:rPr>
          <w:rFonts w:ascii="Times New Roman" w:hAnsi="Times New Roman" w:cs="Times New Roman"/>
          <w:noProof/>
          <w:sz w:val="24"/>
          <w:szCs w:val="24"/>
        </w:rPr>
        <w:t xml:space="preserve"> The above chart shows that the gross margin of the company that dropped in 2019 compared to 2018. That is mainly regardless of smaller operating income rises. Therefore, organizations should concentrate on sales reducing costs</w:t>
      </w:r>
      <w:r w:rsidR="00D12714" w:rsidRPr="00E83A8E">
        <w:rPr>
          <w:rFonts w:ascii="Times New Roman" w:hAnsi="Times New Roman" w:cs="Times New Roman"/>
          <w:noProof/>
          <w:sz w:val="24"/>
          <w:szCs w:val="24"/>
        </w:rPr>
        <w:t xml:space="preserve"> (</w:t>
      </w:r>
      <w:r w:rsidR="00D12714" w:rsidRPr="00E83A8E">
        <w:rPr>
          <w:rFonts w:ascii="Times New Roman" w:hAnsi="Times New Roman" w:cs="Times New Roman"/>
          <w:color w:val="222222"/>
          <w:sz w:val="24"/>
          <w:szCs w:val="24"/>
          <w:shd w:val="clear" w:color="auto" w:fill="FFFFFF"/>
        </w:rPr>
        <w:t>Nagana Gowda and Raftery, 2019</w:t>
      </w:r>
      <w:r w:rsidR="00D12714" w:rsidRPr="00E83A8E">
        <w:rPr>
          <w:rFonts w:ascii="Times New Roman" w:hAnsi="Times New Roman" w:cs="Times New Roman"/>
          <w:noProof/>
          <w:sz w:val="24"/>
          <w:szCs w:val="24"/>
        </w:rPr>
        <w:t>)</w:t>
      </w:r>
      <w:r w:rsidR="00A6156B" w:rsidRPr="00E83A8E">
        <w:rPr>
          <w:rFonts w:ascii="Times New Roman" w:hAnsi="Times New Roman" w:cs="Times New Roman"/>
          <w:noProof/>
          <w:sz w:val="24"/>
          <w:szCs w:val="24"/>
        </w:rPr>
        <w:t>.</w:t>
      </w:r>
    </w:p>
    <w:p w14:paraId="3D37F122" w14:textId="77777777" w:rsidR="00A6156B" w:rsidRPr="00E83A8E" w:rsidRDefault="00A6156B" w:rsidP="00E83A8E">
      <w:pPr>
        <w:numPr>
          <w:ilvl w:val="0"/>
          <w:numId w:val="3"/>
        </w:numPr>
        <w:suppressAutoHyphens/>
        <w:spacing w:after="0" w:line="360" w:lineRule="auto"/>
        <w:jc w:val="both"/>
        <w:rPr>
          <w:rFonts w:ascii="Times New Roman" w:hAnsi="Times New Roman" w:cs="Times New Roman"/>
          <w:sz w:val="24"/>
          <w:szCs w:val="24"/>
        </w:rPr>
      </w:pPr>
      <w:r w:rsidRPr="00E83A8E">
        <w:rPr>
          <w:rFonts w:ascii="Times New Roman" w:hAnsi="Times New Roman" w:cs="Times New Roman"/>
          <w:sz w:val="24"/>
          <w:szCs w:val="24"/>
        </w:rPr>
        <w:t>Net profit ratio- Net profit/net sales*100</w:t>
      </w:r>
    </w:p>
    <w:tbl>
      <w:tblPr>
        <w:tblW w:w="4720" w:type="dxa"/>
        <w:tblInd w:w="1410" w:type="dxa"/>
        <w:tblLook w:val="04A0" w:firstRow="1" w:lastRow="0" w:firstColumn="1" w:lastColumn="0" w:noHBand="0" w:noVBand="1"/>
      </w:tblPr>
      <w:tblGrid>
        <w:gridCol w:w="2800"/>
        <w:gridCol w:w="960"/>
        <w:gridCol w:w="960"/>
      </w:tblGrid>
      <w:tr w:rsidR="00A6156B" w:rsidRPr="00E83A8E" w14:paraId="12223291"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2A747A"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All data in ‘000 except net margin </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5C33EF7"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6E5370FB"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2019</w:t>
            </w:r>
          </w:p>
        </w:tc>
      </w:tr>
      <w:tr w:rsidR="00A6156B" w:rsidRPr="00E83A8E" w14:paraId="1FB773A0"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FA8F03"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 xml:space="preserve">Net profit </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B4D319E"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4008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B7557D6"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4073</w:t>
            </w:r>
          </w:p>
        </w:tc>
      </w:tr>
      <w:tr w:rsidR="00A6156B" w:rsidRPr="00E83A8E" w14:paraId="647A48FC"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5BDB9485"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Net sales</w:t>
            </w:r>
          </w:p>
        </w:tc>
        <w:tc>
          <w:tcPr>
            <w:tcW w:w="960" w:type="dxa"/>
            <w:tcBorders>
              <w:top w:val="nil"/>
              <w:left w:val="nil"/>
              <w:bottom w:val="single" w:sz="4" w:space="0" w:color="auto"/>
              <w:right w:val="single" w:sz="4" w:space="0" w:color="auto"/>
            </w:tcBorders>
            <w:shd w:val="clear" w:color="auto" w:fill="auto"/>
            <w:noWrap/>
            <w:vAlign w:val="bottom"/>
            <w:hideMark/>
          </w:tcPr>
          <w:p w14:paraId="11DD9287"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5500</w:t>
            </w:r>
          </w:p>
        </w:tc>
        <w:tc>
          <w:tcPr>
            <w:tcW w:w="960" w:type="dxa"/>
            <w:tcBorders>
              <w:top w:val="nil"/>
              <w:left w:val="nil"/>
              <w:bottom w:val="single" w:sz="4" w:space="0" w:color="auto"/>
              <w:right w:val="single" w:sz="4" w:space="0" w:color="auto"/>
            </w:tcBorders>
            <w:shd w:val="clear" w:color="auto" w:fill="auto"/>
            <w:noWrap/>
            <w:vAlign w:val="bottom"/>
            <w:hideMark/>
          </w:tcPr>
          <w:p w14:paraId="7C4B0135"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6000</w:t>
            </w:r>
          </w:p>
        </w:tc>
      </w:tr>
      <w:tr w:rsidR="00A6156B" w:rsidRPr="00E83A8E" w14:paraId="019AA5B1"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424ED9C4"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Net profit ratio</w:t>
            </w:r>
          </w:p>
        </w:tc>
        <w:tc>
          <w:tcPr>
            <w:tcW w:w="960" w:type="dxa"/>
            <w:tcBorders>
              <w:top w:val="nil"/>
              <w:left w:val="nil"/>
              <w:bottom w:val="single" w:sz="4" w:space="0" w:color="auto"/>
              <w:right w:val="single" w:sz="4" w:space="0" w:color="auto"/>
            </w:tcBorders>
            <w:shd w:val="clear" w:color="auto" w:fill="auto"/>
            <w:noWrap/>
            <w:vAlign w:val="bottom"/>
            <w:hideMark/>
          </w:tcPr>
          <w:p w14:paraId="66051575"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72.87%</w:t>
            </w:r>
          </w:p>
        </w:tc>
        <w:tc>
          <w:tcPr>
            <w:tcW w:w="960" w:type="dxa"/>
            <w:tcBorders>
              <w:top w:val="nil"/>
              <w:left w:val="nil"/>
              <w:bottom w:val="single" w:sz="4" w:space="0" w:color="auto"/>
              <w:right w:val="single" w:sz="4" w:space="0" w:color="auto"/>
            </w:tcBorders>
            <w:shd w:val="clear" w:color="auto" w:fill="auto"/>
            <w:noWrap/>
            <w:vAlign w:val="bottom"/>
            <w:hideMark/>
          </w:tcPr>
          <w:p w14:paraId="6C1520DD" w14:textId="77777777" w:rsidR="00A6156B" w:rsidRPr="00E83A8E" w:rsidRDefault="00A6156B"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67.88%</w:t>
            </w:r>
          </w:p>
        </w:tc>
      </w:tr>
    </w:tbl>
    <w:p w14:paraId="24D31DE4" w14:textId="77777777" w:rsidR="00A6156B" w:rsidRPr="00E83A8E" w:rsidRDefault="00A6156B" w:rsidP="00E83A8E">
      <w:pPr>
        <w:spacing w:line="360" w:lineRule="auto"/>
        <w:ind w:left="1440"/>
        <w:jc w:val="both"/>
        <w:rPr>
          <w:rFonts w:ascii="Times New Roman" w:hAnsi="Times New Roman" w:cs="Times New Roman"/>
          <w:sz w:val="24"/>
          <w:szCs w:val="24"/>
        </w:rPr>
      </w:pPr>
    </w:p>
    <w:p w14:paraId="522E7C36" w14:textId="77777777" w:rsidR="00A6156B" w:rsidRPr="00E83A8E" w:rsidRDefault="00A6156B" w:rsidP="00E83A8E">
      <w:pPr>
        <w:spacing w:line="360" w:lineRule="auto"/>
        <w:ind w:left="1440"/>
        <w:jc w:val="both"/>
        <w:rPr>
          <w:rFonts w:ascii="Times New Roman" w:hAnsi="Times New Roman" w:cs="Times New Roman"/>
          <w:noProof/>
          <w:sz w:val="24"/>
          <w:szCs w:val="24"/>
        </w:rPr>
      </w:pPr>
      <w:r w:rsidRPr="00E83A8E">
        <w:rPr>
          <w:rFonts w:ascii="Times New Roman" w:hAnsi="Times New Roman" w:cs="Times New Roman"/>
          <w:noProof/>
          <w:sz w:val="24"/>
          <w:szCs w:val="24"/>
        </w:rPr>
        <w:drawing>
          <wp:inline distT="0" distB="0" distL="0" distR="0" wp14:anchorId="5124863E" wp14:editId="013ECC86">
            <wp:extent cx="4568825" cy="1991360"/>
            <wp:effectExtent l="0" t="0" r="3175" b="889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C5FF46D" w14:textId="77777777" w:rsidR="00A6156B" w:rsidRPr="00E83A8E" w:rsidRDefault="00A6156B" w:rsidP="00E83A8E">
      <w:pPr>
        <w:spacing w:line="360" w:lineRule="auto"/>
        <w:ind w:left="1440"/>
        <w:jc w:val="both"/>
        <w:rPr>
          <w:rFonts w:ascii="Times New Roman" w:hAnsi="Times New Roman" w:cs="Times New Roman"/>
          <w:noProof/>
          <w:sz w:val="24"/>
          <w:szCs w:val="24"/>
        </w:rPr>
      </w:pPr>
    </w:p>
    <w:p w14:paraId="6830E2CB" w14:textId="77777777" w:rsidR="00A6156B" w:rsidRPr="00E83A8E" w:rsidRDefault="00A6156B" w:rsidP="00E83A8E">
      <w:p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lastRenderedPageBreak/>
        <w:t>Analysis- As with the gross profit, the net income margin also dropped in 2019 relative to 2018. It was 72.87 percent, as in 2018, which changed to 67.88 percent in year 2019. This is leading to decreased net profit in 2019 due to higher expenditures</w:t>
      </w:r>
      <w:r w:rsidR="00D12714" w:rsidRPr="00E83A8E">
        <w:rPr>
          <w:rFonts w:ascii="Times New Roman" w:hAnsi="Times New Roman" w:cs="Times New Roman"/>
          <w:noProof/>
          <w:sz w:val="24"/>
          <w:szCs w:val="24"/>
        </w:rPr>
        <w:t xml:space="preserve"> (</w:t>
      </w:r>
      <w:r w:rsidR="00D12714" w:rsidRPr="00E83A8E">
        <w:rPr>
          <w:rFonts w:ascii="Times New Roman" w:hAnsi="Times New Roman" w:cs="Times New Roman"/>
          <w:color w:val="222222"/>
          <w:sz w:val="24"/>
          <w:szCs w:val="24"/>
          <w:shd w:val="clear" w:color="auto" w:fill="FFFFFF"/>
        </w:rPr>
        <w:t>Dance and Imade, 2019</w:t>
      </w:r>
      <w:r w:rsidR="00D12714" w:rsidRPr="00E83A8E">
        <w:rPr>
          <w:rFonts w:ascii="Times New Roman" w:hAnsi="Times New Roman" w:cs="Times New Roman"/>
          <w:noProof/>
          <w:sz w:val="24"/>
          <w:szCs w:val="24"/>
        </w:rPr>
        <w:t>)</w:t>
      </w:r>
      <w:r w:rsidRPr="00E83A8E">
        <w:rPr>
          <w:rFonts w:ascii="Times New Roman" w:hAnsi="Times New Roman" w:cs="Times New Roman"/>
          <w:noProof/>
          <w:sz w:val="24"/>
          <w:szCs w:val="24"/>
        </w:rPr>
        <w:t>.</w:t>
      </w:r>
    </w:p>
    <w:p w14:paraId="367986D9" w14:textId="77777777" w:rsidR="00D76DB9" w:rsidRPr="00E83A8E" w:rsidRDefault="00D76DB9" w:rsidP="00E83A8E">
      <w:pPr>
        <w:spacing w:line="360" w:lineRule="auto"/>
        <w:ind w:left="720"/>
        <w:jc w:val="both"/>
        <w:rPr>
          <w:rFonts w:ascii="Times New Roman" w:hAnsi="Times New Roman" w:cs="Times New Roman"/>
          <w:noProof/>
          <w:sz w:val="24"/>
          <w:szCs w:val="24"/>
        </w:rPr>
      </w:pPr>
    </w:p>
    <w:p w14:paraId="6F370B65" w14:textId="77777777" w:rsidR="00D76DB9" w:rsidRPr="00E83A8E" w:rsidRDefault="00D76DB9" w:rsidP="00E83A8E">
      <w:pPr>
        <w:numPr>
          <w:ilvl w:val="0"/>
          <w:numId w:val="3"/>
        </w:numPr>
        <w:suppressAutoHyphens/>
        <w:spacing w:after="0" w:line="360" w:lineRule="auto"/>
        <w:jc w:val="both"/>
        <w:rPr>
          <w:rFonts w:ascii="Times New Roman" w:hAnsi="Times New Roman" w:cs="Times New Roman"/>
          <w:sz w:val="24"/>
          <w:szCs w:val="24"/>
        </w:rPr>
      </w:pPr>
      <w:r w:rsidRPr="00E83A8E">
        <w:rPr>
          <w:rFonts w:ascii="Times New Roman" w:hAnsi="Times New Roman" w:cs="Times New Roman"/>
          <w:sz w:val="24"/>
          <w:szCs w:val="24"/>
        </w:rPr>
        <w:t xml:space="preserve">Return on assets ratio- Net income / Total assets </w:t>
      </w:r>
    </w:p>
    <w:tbl>
      <w:tblPr>
        <w:tblW w:w="4720" w:type="dxa"/>
        <w:tblInd w:w="1530" w:type="dxa"/>
        <w:tblLook w:val="04A0" w:firstRow="1" w:lastRow="0" w:firstColumn="1" w:lastColumn="0" w:noHBand="0" w:noVBand="1"/>
      </w:tblPr>
      <w:tblGrid>
        <w:gridCol w:w="2800"/>
        <w:gridCol w:w="960"/>
        <w:gridCol w:w="960"/>
      </w:tblGrid>
      <w:tr w:rsidR="00D76DB9" w:rsidRPr="00E83A8E" w14:paraId="1B76F7BD"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BD165B"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All data in ‘000 except return on assets ratio</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A0F73DB"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DDC6762"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2019</w:t>
            </w:r>
          </w:p>
        </w:tc>
      </w:tr>
      <w:tr w:rsidR="00D76DB9" w:rsidRPr="00E83A8E" w14:paraId="6B105A2F"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0ADF08"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Net income</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21B19C9"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4008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4B912BB"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4073</w:t>
            </w:r>
          </w:p>
        </w:tc>
      </w:tr>
      <w:tr w:rsidR="00D76DB9" w:rsidRPr="00E83A8E" w14:paraId="48EA0A3F"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6D60BD80"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 xml:space="preserve">Total assets </w:t>
            </w:r>
          </w:p>
        </w:tc>
        <w:tc>
          <w:tcPr>
            <w:tcW w:w="960" w:type="dxa"/>
            <w:tcBorders>
              <w:top w:val="nil"/>
              <w:left w:val="nil"/>
              <w:bottom w:val="single" w:sz="4" w:space="0" w:color="auto"/>
              <w:right w:val="single" w:sz="4" w:space="0" w:color="auto"/>
            </w:tcBorders>
            <w:shd w:val="clear" w:color="auto" w:fill="auto"/>
            <w:noWrap/>
            <w:vAlign w:val="bottom"/>
            <w:hideMark/>
          </w:tcPr>
          <w:p w14:paraId="3352BE3A"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7565</w:t>
            </w:r>
          </w:p>
        </w:tc>
        <w:tc>
          <w:tcPr>
            <w:tcW w:w="960" w:type="dxa"/>
            <w:tcBorders>
              <w:top w:val="nil"/>
              <w:left w:val="nil"/>
              <w:bottom w:val="single" w:sz="4" w:space="0" w:color="auto"/>
              <w:right w:val="single" w:sz="4" w:space="0" w:color="auto"/>
            </w:tcBorders>
            <w:shd w:val="clear" w:color="auto" w:fill="auto"/>
            <w:noWrap/>
            <w:vAlign w:val="bottom"/>
            <w:hideMark/>
          </w:tcPr>
          <w:p w14:paraId="0858921D"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7890</w:t>
            </w:r>
          </w:p>
        </w:tc>
      </w:tr>
      <w:tr w:rsidR="00D76DB9" w:rsidRPr="00E83A8E" w14:paraId="4F876737"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5597F711"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Return on assets ratio</w:t>
            </w:r>
          </w:p>
        </w:tc>
        <w:tc>
          <w:tcPr>
            <w:tcW w:w="960" w:type="dxa"/>
            <w:tcBorders>
              <w:top w:val="nil"/>
              <w:left w:val="nil"/>
              <w:bottom w:val="single" w:sz="4" w:space="0" w:color="auto"/>
              <w:right w:val="single" w:sz="4" w:space="0" w:color="auto"/>
            </w:tcBorders>
            <w:shd w:val="clear" w:color="auto" w:fill="auto"/>
            <w:noWrap/>
            <w:vAlign w:val="bottom"/>
            <w:hideMark/>
          </w:tcPr>
          <w:p w14:paraId="41EE1B65"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0.53</w:t>
            </w:r>
          </w:p>
        </w:tc>
        <w:tc>
          <w:tcPr>
            <w:tcW w:w="960" w:type="dxa"/>
            <w:tcBorders>
              <w:top w:val="nil"/>
              <w:left w:val="nil"/>
              <w:bottom w:val="single" w:sz="4" w:space="0" w:color="auto"/>
              <w:right w:val="single" w:sz="4" w:space="0" w:color="auto"/>
            </w:tcBorders>
            <w:shd w:val="clear" w:color="auto" w:fill="auto"/>
            <w:noWrap/>
            <w:vAlign w:val="bottom"/>
            <w:hideMark/>
          </w:tcPr>
          <w:p w14:paraId="669DD1D3"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0.52</w:t>
            </w:r>
          </w:p>
        </w:tc>
      </w:tr>
    </w:tbl>
    <w:p w14:paraId="188F8179" w14:textId="77777777" w:rsidR="00D76DB9" w:rsidRPr="00E83A8E" w:rsidRDefault="00D76DB9" w:rsidP="00E83A8E">
      <w:pPr>
        <w:spacing w:line="360" w:lineRule="auto"/>
        <w:ind w:left="1440"/>
        <w:jc w:val="both"/>
        <w:rPr>
          <w:rFonts w:ascii="Times New Roman" w:hAnsi="Times New Roman" w:cs="Times New Roman"/>
          <w:sz w:val="24"/>
          <w:szCs w:val="24"/>
        </w:rPr>
      </w:pPr>
    </w:p>
    <w:p w14:paraId="5466C64A" w14:textId="77777777" w:rsidR="00D76DB9" w:rsidRPr="00E83A8E" w:rsidRDefault="00D76DB9" w:rsidP="00E83A8E">
      <w:pPr>
        <w:spacing w:line="360" w:lineRule="auto"/>
        <w:ind w:left="1440"/>
        <w:jc w:val="both"/>
        <w:rPr>
          <w:rFonts w:ascii="Times New Roman" w:hAnsi="Times New Roman" w:cs="Times New Roman"/>
          <w:noProof/>
          <w:sz w:val="24"/>
          <w:szCs w:val="24"/>
        </w:rPr>
      </w:pPr>
      <w:r w:rsidRPr="00E83A8E">
        <w:rPr>
          <w:rFonts w:ascii="Times New Roman" w:hAnsi="Times New Roman" w:cs="Times New Roman"/>
          <w:noProof/>
          <w:sz w:val="24"/>
          <w:szCs w:val="24"/>
        </w:rPr>
        <w:drawing>
          <wp:inline distT="0" distB="0" distL="0" distR="0" wp14:anchorId="6138D58B" wp14:editId="5C651D6C">
            <wp:extent cx="4568825" cy="1450340"/>
            <wp:effectExtent l="0" t="0" r="3175" b="1651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5D1DBBB" w14:textId="77777777" w:rsidR="00A6156B" w:rsidRPr="00E83A8E" w:rsidRDefault="00D76DB9" w:rsidP="00E83A8E">
      <w:p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Analysis- In both years the productivity of producing return on the above company's assets is closely related. Their return on assets for 2018, 2019 including both, was 0.53 and 0.52. That's not in the perfect position, but again, and business must concentrate on good leadership of their assets so that they can generate higher amount of return</w:t>
      </w:r>
      <w:r w:rsidR="009000E1" w:rsidRPr="00E83A8E">
        <w:rPr>
          <w:rFonts w:ascii="Times New Roman" w:hAnsi="Times New Roman" w:cs="Times New Roman"/>
          <w:noProof/>
          <w:sz w:val="24"/>
          <w:szCs w:val="24"/>
        </w:rPr>
        <w:t xml:space="preserve"> (</w:t>
      </w:r>
      <w:r w:rsidR="009000E1" w:rsidRPr="00E83A8E">
        <w:rPr>
          <w:rFonts w:ascii="Times New Roman" w:hAnsi="Times New Roman" w:cs="Times New Roman"/>
          <w:color w:val="222222"/>
          <w:sz w:val="24"/>
          <w:szCs w:val="24"/>
          <w:shd w:val="clear" w:color="auto" w:fill="FFFFFF"/>
        </w:rPr>
        <w:t>Perton, Clayton and Beroza, 2020</w:t>
      </w:r>
      <w:r w:rsidR="009000E1" w:rsidRPr="00E83A8E">
        <w:rPr>
          <w:rFonts w:ascii="Times New Roman" w:hAnsi="Times New Roman" w:cs="Times New Roman"/>
          <w:noProof/>
          <w:sz w:val="24"/>
          <w:szCs w:val="24"/>
        </w:rPr>
        <w:t>)</w:t>
      </w:r>
      <w:r w:rsidRPr="00E83A8E">
        <w:rPr>
          <w:rFonts w:ascii="Times New Roman" w:hAnsi="Times New Roman" w:cs="Times New Roman"/>
          <w:noProof/>
          <w:sz w:val="24"/>
          <w:szCs w:val="24"/>
        </w:rPr>
        <w:t xml:space="preserve">. </w:t>
      </w:r>
    </w:p>
    <w:p w14:paraId="5EE7360D" w14:textId="77777777" w:rsidR="00D76DB9" w:rsidRPr="00E83A8E" w:rsidRDefault="00D76DB9" w:rsidP="00E83A8E">
      <w:pPr>
        <w:spacing w:line="360" w:lineRule="auto"/>
        <w:ind w:left="720"/>
        <w:jc w:val="both"/>
        <w:rPr>
          <w:rFonts w:ascii="Times New Roman" w:hAnsi="Times New Roman" w:cs="Times New Roman"/>
          <w:noProof/>
          <w:sz w:val="24"/>
          <w:szCs w:val="24"/>
        </w:rPr>
      </w:pPr>
    </w:p>
    <w:p w14:paraId="67117580" w14:textId="77777777" w:rsidR="00D76DB9" w:rsidRPr="00E83A8E" w:rsidRDefault="00D76DB9" w:rsidP="00E83A8E">
      <w:pPr>
        <w:numPr>
          <w:ilvl w:val="0"/>
          <w:numId w:val="3"/>
        </w:numPr>
        <w:suppressAutoHyphens/>
        <w:spacing w:after="0" w:line="360" w:lineRule="auto"/>
        <w:jc w:val="both"/>
        <w:rPr>
          <w:rFonts w:ascii="Times New Roman" w:hAnsi="Times New Roman" w:cs="Times New Roman"/>
          <w:sz w:val="24"/>
          <w:szCs w:val="24"/>
        </w:rPr>
      </w:pPr>
      <w:r w:rsidRPr="00E83A8E">
        <w:rPr>
          <w:rFonts w:ascii="Times New Roman" w:hAnsi="Times New Roman" w:cs="Times New Roman"/>
          <w:sz w:val="24"/>
          <w:szCs w:val="24"/>
        </w:rPr>
        <w:t>Return on capital employed- Profit before interest and tax / capital employed</w:t>
      </w:r>
    </w:p>
    <w:tbl>
      <w:tblPr>
        <w:tblW w:w="4720" w:type="dxa"/>
        <w:tblInd w:w="1590" w:type="dxa"/>
        <w:tblLook w:val="04A0" w:firstRow="1" w:lastRow="0" w:firstColumn="1" w:lastColumn="0" w:noHBand="0" w:noVBand="1"/>
      </w:tblPr>
      <w:tblGrid>
        <w:gridCol w:w="2800"/>
        <w:gridCol w:w="960"/>
        <w:gridCol w:w="960"/>
      </w:tblGrid>
      <w:tr w:rsidR="00D76DB9" w:rsidRPr="00E83A8E" w14:paraId="29271223"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D5951B"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All data in ‘000 except return on capital employed ratio</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53C5EBF9"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6AFA8E04"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2019</w:t>
            </w:r>
          </w:p>
        </w:tc>
      </w:tr>
      <w:tr w:rsidR="00D76DB9" w:rsidRPr="00E83A8E" w14:paraId="563FA7AC"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EF84BB"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lastRenderedPageBreak/>
              <w:t>Profit before interest and tax</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1C3E6BB"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5050</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37763E2"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5150</w:t>
            </w:r>
          </w:p>
        </w:tc>
      </w:tr>
      <w:tr w:rsidR="00D76DB9" w:rsidRPr="00E83A8E" w14:paraId="15637DA9"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631051C4"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Capital employed</w:t>
            </w:r>
          </w:p>
        </w:tc>
        <w:tc>
          <w:tcPr>
            <w:tcW w:w="960" w:type="dxa"/>
            <w:tcBorders>
              <w:top w:val="nil"/>
              <w:left w:val="nil"/>
              <w:bottom w:val="single" w:sz="4" w:space="0" w:color="auto"/>
              <w:right w:val="single" w:sz="4" w:space="0" w:color="auto"/>
            </w:tcBorders>
            <w:shd w:val="clear" w:color="auto" w:fill="auto"/>
            <w:noWrap/>
            <w:vAlign w:val="bottom"/>
            <w:hideMark/>
          </w:tcPr>
          <w:p w14:paraId="041DB5B5"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6226</w:t>
            </w:r>
          </w:p>
        </w:tc>
        <w:tc>
          <w:tcPr>
            <w:tcW w:w="960" w:type="dxa"/>
            <w:tcBorders>
              <w:top w:val="nil"/>
              <w:left w:val="nil"/>
              <w:bottom w:val="single" w:sz="4" w:space="0" w:color="auto"/>
              <w:right w:val="single" w:sz="4" w:space="0" w:color="auto"/>
            </w:tcBorders>
            <w:shd w:val="clear" w:color="auto" w:fill="auto"/>
            <w:noWrap/>
            <w:vAlign w:val="bottom"/>
            <w:hideMark/>
          </w:tcPr>
          <w:p w14:paraId="02D08AA5"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6274</w:t>
            </w:r>
          </w:p>
        </w:tc>
      </w:tr>
      <w:tr w:rsidR="00D76DB9" w:rsidRPr="00E83A8E" w14:paraId="6BBA0C08"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24D88C33"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Return on capital employed</w:t>
            </w:r>
          </w:p>
        </w:tc>
        <w:tc>
          <w:tcPr>
            <w:tcW w:w="960" w:type="dxa"/>
            <w:tcBorders>
              <w:top w:val="nil"/>
              <w:left w:val="nil"/>
              <w:bottom w:val="single" w:sz="4" w:space="0" w:color="auto"/>
              <w:right w:val="single" w:sz="4" w:space="0" w:color="auto"/>
            </w:tcBorders>
            <w:shd w:val="clear" w:color="auto" w:fill="auto"/>
            <w:noWrap/>
            <w:vAlign w:val="bottom"/>
            <w:hideMark/>
          </w:tcPr>
          <w:p w14:paraId="228735CE"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0.81</w:t>
            </w:r>
          </w:p>
        </w:tc>
        <w:tc>
          <w:tcPr>
            <w:tcW w:w="960" w:type="dxa"/>
            <w:tcBorders>
              <w:top w:val="nil"/>
              <w:left w:val="nil"/>
              <w:bottom w:val="single" w:sz="4" w:space="0" w:color="auto"/>
              <w:right w:val="single" w:sz="4" w:space="0" w:color="auto"/>
            </w:tcBorders>
            <w:shd w:val="clear" w:color="auto" w:fill="auto"/>
            <w:noWrap/>
            <w:vAlign w:val="bottom"/>
            <w:hideMark/>
          </w:tcPr>
          <w:p w14:paraId="3827D8EF"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0.82</w:t>
            </w:r>
          </w:p>
        </w:tc>
      </w:tr>
    </w:tbl>
    <w:p w14:paraId="5B6C8C7C" w14:textId="77777777" w:rsidR="00D76DB9" w:rsidRPr="00E83A8E" w:rsidRDefault="00D76DB9" w:rsidP="00E83A8E">
      <w:pPr>
        <w:spacing w:line="360" w:lineRule="auto"/>
        <w:ind w:left="1440"/>
        <w:jc w:val="both"/>
        <w:rPr>
          <w:rFonts w:ascii="Times New Roman" w:hAnsi="Times New Roman" w:cs="Times New Roman"/>
          <w:sz w:val="24"/>
          <w:szCs w:val="24"/>
        </w:rPr>
      </w:pPr>
    </w:p>
    <w:p w14:paraId="6E565B5E" w14:textId="77777777" w:rsidR="00D76DB9" w:rsidRPr="00E83A8E" w:rsidRDefault="00D76DB9" w:rsidP="00E83A8E">
      <w:pPr>
        <w:spacing w:line="360" w:lineRule="auto"/>
        <w:ind w:left="1440"/>
        <w:jc w:val="both"/>
        <w:rPr>
          <w:rFonts w:ascii="Times New Roman" w:hAnsi="Times New Roman" w:cs="Times New Roman"/>
          <w:noProof/>
          <w:sz w:val="24"/>
          <w:szCs w:val="24"/>
        </w:rPr>
      </w:pPr>
      <w:r w:rsidRPr="00E83A8E">
        <w:rPr>
          <w:rFonts w:ascii="Times New Roman" w:hAnsi="Times New Roman" w:cs="Times New Roman"/>
          <w:noProof/>
          <w:sz w:val="24"/>
          <w:szCs w:val="24"/>
        </w:rPr>
        <w:drawing>
          <wp:inline distT="0" distB="0" distL="0" distR="0" wp14:anchorId="2E269B11" wp14:editId="1A17A50F">
            <wp:extent cx="4568825" cy="1858010"/>
            <wp:effectExtent l="0" t="0" r="3175" b="889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1FC1BB0" w14:textId="77777777" w:rsidR="00D76DB9" w:rsidRPr="00E83A8E" w:rsidRDefault="00D76DB9" w:rsidP="00E83A8E">
      <w:pPr>
        <w:spacing w:line="360" w:lineRule="auto"/>
        <w:ind w:left="1440"/>
        <w:jc w:val="both"/>
        <w:rPr>
          <w:rFonts w:ascii="Times New Roman" w:hAnsi="Times New Roman" w:cs="Times New Roman"/>
          <w:noProof/>
          <w:sz w:val="24"/>
          <w:szCs w:val="24"/>
        </w:rPr>
      </w:pPr>
    </w:p>
    <w:p w14:paraId="3FBEF033" w14:textId="77777777" w:rsidR="00D76DB9" w:rsidRPr="00E83A8E" w:rsidRDefault="00D76DB9" w:rsidP="00E83A8E">
      <w:p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Analysis-</w:t>
      </w:r>
      <w:r w:rsidRPr="00E83A8E">
        <w:rPr>
          <w:rFonts w:ascii="Times New Roman" w:hAnsi="Times New Roman" w:cs="Times New Roman"/>
          <w:sz w:val="24"/>
          <w:szCs w:val="24"/>
        </w:rPr>
        <w:t xml:space="preserve"> </w:t>
      </w:r>
      <w:r w:rsidRPr="00E83A8E">
        <w:rPr>
          <w:rFonts w:ascii="Times New Roman" w:hAnsi="Times New Roman" w:cs="Times New Roman"/>
          <w:noProof/>
          <w:sz w:val="24"/>
          <w:szCs w:val="24"/>
        </w:rPr>
        <w:t>This corporation's return on capital employed ratio was raised by a bit of a percentage. As in 2018, that was 0.81 and for 2019 was 0.82. It states that the business produces strong return on its investments in 2019 relative to 2018. Yet their level is less than (&gt; 1) and needs to be changed</w:t>
      </w:r>
      <w:r w:rsidR="009000E1" w:rsidRPr="00E83A8E">
        <w:rPr>
          <w:rFonts w:ascii="Times New Roman" w:hAnsi="Times New Roman" w:cs="Times New Roman"/>
          <w:noProof/>
          <w:sz w:val="24"/>
          <w:szCs w:val="24"/>
        </w:rPr>
        <w:t xml:space="preserve"> (</w:t>
      </w:r>
      <w:r w:rsidR="009000E1" w:rsidRPr="00E83A8E">
        <w:rPr>
          <w:rFonts w:ascii="Times New Roman" w:hAnsi="Times New Roman" w:cs="Times New Roman"/>
          <w:color w:val="222222"/>
          <w:sz w:val="24"/>
          <w:szCs w:val="24"/>
          <w:shd w:val="clear" w:color="auto" w:fill="FFFFFF"/>
        </w:rPr>
        <w:t>Habibi, Sungkono and Sarno, 2019</w:t>
      </w:r>
      <w:r w:rsidR="009000E1" w:rsidRPr="00E83A8E">
        <w:rPr>
          <w:rFonts w:ascii="Times New Roman" w:hAnsi="Times New Roman" w:cs="Times New Roman"/>
          <w:noProof/>
          <w:sz w:val="24"/>
          <w:szCs w:val="24"/>
        </w:rPr>
        <w:t>)</w:t>
      </w:r>
      <w:r w:rsidRPr="00E83A8E">
        <w:rPr>
          <w:rFonts w:ascii="Times New Roman" w:hAnsi="Times New Roman" w:cs="Times New Roman"/>
          <w:noProof/>
          <w:sz w:val="24"/>
          <w:szCs w:val="24"/>
        </w:rPr>
        <w:t>.</w:t>
      </w:r>
    </w:p>
    <w:p w14:paraId="1B11B663" w14:textId="77777777" w:rsidR="00D76DB9" w:rsidRPr="00E83A8E" w:rsidRDefault="00D76DB9" w:rsidP="00E83A8E">
      <w:pPr>
        <w:spacing w:line="360" w:lineRule="auto"/>
        <w:ind w:left="720"/>
        <w:jc w:val="both"/>
        <w:rPr>
          <w:rFonts w:ascii="Times New Roman" w:hAnsi="Times New Roman" w:cs="Times New Roman"/>
          <w:sz w:val="24"/>
          <w:szCs w:val="24"/>
        </w:rPr>
      </w:pPr>
    </w:p>
    <w:p w14:paraId="118EC6FD" w14:textId="77777777" w:rsidR="00D76DB9" w:rsidRPr="00E83A8E" w:rsidRDefault="00D76DB9" w:rsidP="00E83A8E">
      <w:p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Liquidity ratio- This can be recognized as a group of ratio that is assessed by firms to know regarding liquidity situation for a specific time period</w:t>
      </w:r>
      <w:r w:rsidR="009000E1" w:rsidRPr="00E83A8E">
        <w:rPr>
          <w:rFonts w:ascii="Times New Roman" w:hAnsi="Times New Roman" w:cs="Times New Roman"/>
          <w:sz w:val="24"/>
          <w:szCs w:val="24"/>
        </w:rPr>
        <w:t xml:space="preserve"> (</w:t>
      </w:r>
      <w:r w:rsidR="009000E1" w:rsidRPr="00E83A8E">
        <w:rPr>
          <w:rFonts w:ascii="Times New Roman" w:hAnsi="Times New Roman" w:cs="Times New Roman"/>
          <w:color w:val="222222"/>
          <w:sz w:val="24"/>
          <w:szCs w:val="24"/>
          <w:shd w:val="clear" w:color="auto" w:fill="FFFFFF"/>
        </w:rPr>
        <w:t>Gao, Dong and Wang, 2019</w:t>
      </w:r>
      <w:r w:rsidR="009000E1" w:rsidRPr="00E83A8E">
        <w:rPr>
          <w:rFonts w:ascii="Times New Roman" w:hAnsi="Times New Roman" w:cs="Times New Roman"/>
          <w:sz w:val="24"/>
          <w:szCs w:val="24"/>
        </w:rPr>
        <w:t>)</w:t>
      </w:r>
      <w:r w:rsidRPr="00E83A8E">
        <w:rPr>
          <w:rFonts w:ascii="Times New Roman" w:hAnsi="Times New Roman" w:cs="Times New Roman"/>
          <w:sz w:val="24"/>
          <w:szCs w:val="24"/>
        </w:rPr>
        <w:t>. With the assistance of this ratio, finance executives will find it much easier to know about the worth of their total assets in addition to making payment of debts. This consists a range of ratios and some of them are as:</w:t>
      </w:r>
    </w:p>
    <w:p w14:paraId="2D749547" w14:textId="77777777" w:rsidR="00D76DB9" w:rsidRPr="00E83A8E" w:rsidRDefault="00D76DB9" w:rsidP="00E83A8E">
      <w:pPr>
        <w:numPr>
          <w:ilvl w:val="0"/>
          <w:numId w:val="3"/>
        </w:numPr>
        <w:suppressAutoHyphens/>
        <w:spacing w:after="0" w:line="360" w:lineRule="auto"/>
        <w:jc w:val="both"/>
        <w:rPr>
          <w:rFonts w:ascii="Times New Roman" w:hAnsi="Times New Roman" w:cs="Times New Roman"/>
          <w:sz w:val="24"/>
          <w:szCs w:val="24"/>
        </w:rPr>
      </w:pPr>
      <w:r w:rsidRPr="00E83A8E">
        <w:rPr>
          <w:rFonts w:ascii="Times New Roman" w:hAnsi="Times New Roman" w:cs="Times New Roman"/>
          <w:sz w:val="24"/>
          <w:szCs w:val="24"/>
        </w:rPr>
        <w:t>Current ratio- Current assets / current liabilities</w:t>
      </w:r>
    </w:p>
    <w:p w14:paraId="6C8F9590" w14:textId="77777777" w:rsidR="00D76DB9" w:rsidRPr="00E83A8E" w:rsidRDefault="00D76DB9" w:rsidP="00E83A8E">
      <w:pPr>
        <w:spacing w:line="360" w:lineRule="auto"/>
        <w:ind w:left="1440"/>
        <w:jc w:val="both"/>
        <w:rPr>
          <w:rFonts w:ascii="Times New Roman" w:hAnsi="Times New Roman" w:cs="Times New Roman"/>
          <w:sz w:val="24"/>
          <w:szCs w:val="24"/>
        </w:rPr>
      </w:pPr>
    </w:p>
    <w:tbl>
      <w:tblPr>
        <w:tblW w:w="4720" w:type="dxa"/>
        <w:tblInd w:w="1560" w:type="dxa"/>
        <w:tblLook w:val="04A0" w:firstRow="1" w:lastRow="0" w:firstColumn="1" w:lastColumn="0" w:noHBand="0" w:noVBand="1"/>
      </w:tblPr>
      <w:tblGrid>
        <w:gridCol w:w="2800"/>
        <w:gridCol w:w="960"/>
        <w:gridCol w:w="960"/>
      </w:tblGrid>
      <w:tr w:rsidR="00D76DB9" w:rsidRPr="00E83A8E" w14:paraId="2BE89D33"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69AE2C"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lastRenderedPageBreak/>
              <w:t>All data in ‘000 except current ratio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04BA761"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60DC19"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2019</w:t>
            </w:r>
          </w:p>
        </w:tc>
      </w:tr>
      <w:tr w:rsidR="00D76DB9" w:rsidRPr="00E83A8E" w14:paraId="1A3CD210"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15E387F8"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Current assets</w:t>
            </w:r>
          </w:p>
        </w:tc>
        <w:tc>
          <w:tcPr>
            <w:tcW w:w="960" w:type="dxa"/>
            <w:tcBorders>
              <w:top w:val="nil"/>
              <w:left w:val="nil"/>
              <w:bottom w:val="single" w:sz="4" w:space="0" w:color="auto"/>
              <w:right w:val="single" w:sz="4" w:space="0" w:color="auto"/>
            </w:tcBorders>
            <w:shd w:val="clear" w:color="auto" w:fill="auto"/>
            <w:noWrap/>
            <w:vAlign w:val="bottom"/>
            <w:hideMark/>
          </w:tcPr>
          <w:p w14:paraId="54E3F1C9"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1726</w:t>
            </w:r>
          </w:p>
        </w:tc>
        <w:tc>
          <w:tcPr>
            <w:tcW w:w="960" w:type="dxa"/>
            <w:tcBorders>
              <w:top w:val="nil"/>
              <w:left w:val="nil"/>
              <w:bottom w:val="single" w:sz="4" w:space="0" w:color="auto"/>
              <w:right w:val="single" w:sz="4" w:space="0" w:color="auto"/>
            </w:tcBorders>
            <w:shd w:val="clear" w:color="auto" w:fill="auto"/>
            <w:noWrap/>
            <w:vAlign w:val="bottom"/>
            <w:hideMark/>
          </w:tcPr>
          <w:p w14:paraId="47BF8ACE"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1624</w:t>
            </w:r>
          </w:p>
        </w:tc>
      </w:tr>
      <w:tr w:rsidR="00D76DB9" w:rsidRPr="00E83A8E" w14:paraId="71DDB180"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2A535F65"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Current liabilities</w:t>
            </w:r>
          </w:p>
        </w:tc>
        <w:tc>
          <w:tcPr>
            <w:tcW w:w="960" w:type="dxa"/>
            <w:tcBorders>
              <w:top w:val="nil"/>
              <w:left w:val="nil"/>
              <w:bottom w:val="single" w:sz="4" w:space="0" w:color="auto"/>
              <w:right w:val="single" w:sz="4" w:space="0" w:color="auto"/>
            </w:tcBorders>
            <w:shd w:val="clear" w:color="auto" w:fill="auto"/>
            <w:noWrap/>
            <w:vAlign w:val="bottom"/>
            <w:hideMark/>
          </w:tcPr>
          <w:p w14:paraId="5B7F6647"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1339</w:t>
            </w:r>
          </w:p>
        </w:tc>
        <w:tc>
          <w:tcPr>
            <w:tcW w:w="960" w:type="dxa"/>
            <w:tcBorders>
              <w:top w:val="nil"/>
              <w:left w:val="nil"/>
              <w:bottom w:val="single" w:sz="4" w:space="0" w:color="auto"/>
              <w:right w:val="single" w:sz="4" w:space="0" w:color="auto"/>
            </w:tcBorders>
            <w:shd w:val="clear" w:color="auto" w:fill="auto"/>
            <w:noWrap/>
            <w:vAlign w:val="bottom"/>
            <w:hideMark/>
          </w:tcPr>
          <w:p w14:paraId="4183A1A9"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1616</w:t>
            </w:r>
          </w:p>
        </w:tc>
      </w:tr>
      <w:tr w:rsidR="00D76DB9" w:rsidRPr="00E83A8E" w14:paraId="3C82725E" w14:textId="77777777" w:rsidTr="00D27802">
        <w:trPr>
          <w:trHeight w:val="26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60EF64EC"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Current ratio</w:t>
            </w:r>
          </w:p>
        </w:tc>
        <w:tc>
          <w:tcPr>
            <w:tcW w:w="960" w:type="dxa"/>
            <w:tcBorders>
              <w:top w:val="nil"/>
              <w:left w:val="nil"/>
              <w:bottom w:val="single" w:sz="4" w:space="0" w:color="auto"/>
              <w:right w:val="single" w:sz="4" w:space="0" w:color="auto"/>
            </w:tcBorders>
            <w:shd w:val="clear" w:color="auto" w:fill="auto"/>
            <w:noWrap/>
            <w:vAlign w:val="bottom"/>
            <w:hideMark/>
          </w:tcPr>
          <w:p w14:paraId="5AFFA173"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1.29 times</w:t>
            </w:r>
          </w:p>
        </w:tc>
        <w:tc>
          <w:tcPr>
            <w:tcW w:w="960" w:type="dxa"/>
            <w:tcBorders>
              <w:top w:val="nil"/>
              <w:left w:val="nil"/>
              <w:bottom w:val="single" w:sz="4" w:space="0" w:color="auto"/>
              <w:right w:val="single" w:sz="4" w:space="0" w:color="auto"/>
            </w:tcBorders>
            <w:shd w:val="clear" w:color="auto" w:fill="auto"/>
            <w:noWrap/>
            <w:vAlign w:val="bottom"/>
            <w:hideMark/>
          </w:tcPr>
          <w:p w14:paraId="1BE1B250"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1.00 times</w:t>
            </w:r>
          </w:p>
        </w:tc>
      </w:tr>
    </w:tbl>
    <w:p w14:paraId="736A48AD" w14:textId="77777777" w:rsidR="00D76DB9" w:rsidRPr="00E83A8E" w:rsidRDefault="00D76DB9" w:rsidP="00E83A8E">
      <w:pPr>
        <w:spacing w:line="360" w:lineRule="auto"/>
        <w:ind w:left="1440"/>
        <w:jc w:val="both"/>
        <w:rPr>
          <w:rFonts w:ascii="Times New Roman" w:hAnsi="Times New Roman" w:cs="Times New Roman"/>
          <w:sz w:val="24"/>
          <w:szCs w:val="24"/>
        </w:rPr>
      </w:pPr>
    </w:p>
    <w:p w14:paraId="4F730E75" w14:textId="77777777" w:rsidR="00D76DB9" w:rsidRPr="00E83A8E" w:rsidRDefault="00D76DB9" w:rsidP="00E83A8E">
      <w:pPr>
        <w:spacing w:line="360" w:lineRule="auto"/>
        <w:ind w:left="1440"/>
        <w:jc w:val="both"/>
        <w:rPr>
          <w:rFonts w:ascii="Times New Roman" w:hAnsi="Times New Roman" w:cs="Times New Roman"/>
          <w:noProof/>
          <w:sz w:val="24"/>
          <w:szCs w:val="24"/>
        </w:rPr>
      </w:pPr>
      <w:r w:rsidRPr="00E83A8E">
        <w:rPr>
          <w:rFonts w:ascii="Times New Roman" w:hAnsi="Times New Roman" w:cs="Times New Roman"/>
          <w:noProof/>
          <w:sz w:val="24"/>
          <w:szCs w:val="24"/>
        </w:rPr>
        <w:drawing>
          <wp:inline distT="0" distB="0" distL="0" distR="0" wp14:anchorId="1823E7AD" wp14:editId="347B864E">
            <wp:extent cx="4568825" cy="1858010"/>
            <wp:effectExtent l="0" t="0" r="3175" b="8890"/>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BFE70DB" w14:textId="77777777" w:rsidR="00D76DB9" w:rsidRPr="00E83A8E" w:rsidRDefault="00D76DB9" w:rsidP="00E83A8E">
      <w:pPr>
        <w:spacing w:line="360" w:lineRule="auto"/>
        <w:ind w:left="1440"/>
        <w:jc w:val="both"/>
        <w:rPr>
          <w:rFonts w:ascii="Times New Roman" w:hAnsi="Times New Roman" w:cs="Times New Roman"/>
          <w:noProof/>
          <w:sz w:val="24"/>
          <w:szCs w:val="24"/>
        </w:rPr>
      </w:pPr>
    </w:p>
    <w:p w14:paraId="3B3C2693" w14:textId="77777777" w:rsidR="00D76DB9" w:rsidRPr="00E83A8E" w:rsidRDefault="00D76DB9" w:rsidP="00E83A8E">
      <w:p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Analysis- Company tried to keep its current ratio in an ideal form of ratio of 2:1 in both years</w:t>
      </w:r>
      <w:r w:rsidR="00C13E80" w:rsidRPr="00E83A8E">
        <w:rPr>
          <w:rFonts w:ascii="Times New Roman" w:hAnsi="Times New Roman" w:cs="Times New Roman"/>
          <w:noProof/>
          <w:sz w:val="24"/>
          <w:szCs w:val="24"/>
        </w:rPr>
        <w:t>. From above chart, this can be inferred that company has poor current ratio in year 2018 and 2019. Such as in year 2018, this was of 1.29 which reduced and became of 1 times. Hence, above company should try to raise their current assets</w:t>
      </w:r>
      <w:r w:rsidR="009000E1" w:rsidRPr="00E83A8E">
        <w:rPr>
          <w:rFonts w:ascii="Times New Roman" w:hAnsi="Times New Roman" w:cs="Times New Roman"/>
          <w:noProof/>
          <w:sz w:val="24"/>
          <w:szCs w:val="24"/>
        </w:rPr>
        <w:t xml:space="preserve"> (</w:t>
      </w:r>
      <w:r w:rsidR="009000E1" w:rsidRPr="00E83A8E">
        <w:rPr>
          <w:rFonts w:ascii="Times New Roman" w:hAnsi="Times New Roman" w:cs="Times New Roman"/>
          <w:color w:val="222222"/>
          <w:sz w:val="24"/>
          <w:szCs w:val="24"/>
          <w:shd w:val="clear" w:color="auto" w:fill="FFFFFF"/>
        </w:rPr>
        <w:t>Belmekki, Hamza and Escrig, 2019</w:t>
      </w:r>
      <w:r w:rsidR="009000E1" w:rsidRPr="00E83A8E">
        <w:rPr>
          <w:rFonts w:ascii="Times New Roman" w:hAnsi="Times New Roman" w:cs="Times New Roman"/>
          <w:noProof/>
          <w:sz w:val="24"/>
          <w:szCs w:val="24"/>
        </w:rPr>
        <w:t>)</w:t>
      </w:r>
      <w:r w:rsidR="00C13E80" w:rsidRPr="00E83A8E">
        <w:rPr>
          <w:rFonts w:ascii="Times New Roman" w:hAnsi="Times New Roman" w:cs="Times New Roman"/>
          <w:noProof/>
          <w:sz w:val="24"/>
          <w:szCs w:val="24"/>
        </w:rPr>
        <w:t xml:space="preserve">. </w:t>
      </w:r>
    </w:p>
    <w:p w14:paraId="0DA0A4E8" w14:textId="77777777" w:rsidR="00D76DB9" w:rsidRPr="00E83A8E" w:rsidRDefault="00D76DB9" w:rsidP="00E83A8E">
      <w:pPr>
        <w:spacing w:line="360" w:lineRule="auto"/>
        <w:jc w:val="both"/>
        <w:rPr>
          <w:rFonts w:ascii="Times New Roman" w:hAnsi="Times New Roman" w:cs="Times New Roman"/>
          <w:noProof/>
          <w:sz w:val="24"/>
          <w:szCs w:val="24"/>
        </w:rPr>
      </w:pPr>
    </w:p>
    <w:p w14:paraId="66E3010A" w14:textId="77777777" w:rsidR="00D76DB9" w:rsidRPr="00E83A8E" w:rsidRDefault="00D76DB9" w:rsidP="00E83A8E">
      <w:pPr>
        <w:spacing w:line="360" w:lineRule="auto"/>
        <w:jc w:val="both"/>
        <w:rPr>
          <w:rFonts w:ascii="Times New Roman" w:hAnsi="Times New Roman" w:cs="Times New Roman"/>
          <w:noProof/>
          <w:sz w:val="24"/>
          <w:szCs w:val="24"/>
        </w:rPr>
      </w:pPr>
    </w:p>
    <w:p w14:paraId="2DABD5A5" w14:textId="77777777" w:rsidR="00D76DB9" w:rsidRPr="00E83A8E" w:rsidRDefault="00D76DB9" w:rsidP="00E83A8E">
      <w:pPr>
        <w:numPr>
          <w:ilvl w:val="0"/>
          <w:numId w:val="3"/>
        </w:numPr>
        <w:suppressAutoHyphens/>
        <w:spacing w:after="0" w:line="360" w:lineRule="auto"/>
        <w:jc w:val="both"/>
        <w:rPr>
          <w:rFonts w:ascii="Times New Roman" w:hAnsi="Times New Roman" w:cs="Times New Roman"/>
          <w:sz w:val="24"/>
          <w:szCs w:val="24"/>
        </w:rPr>
      </w:pPr>
      <w:r w:rsidRPr="00E83A8E">
        <w:rPr>
          <w:rFonts w:ascii="Times New Roman" w:hAnsi="Times New Roman" w:cs="Times New Roman"/>
          <w:sz w:val="24"/>
          <w:szCs w:val="24"/>
        </w:rPr>
        <w:t>Quick ratio- Quick assets / current liabilities</w:t>
      </w:r>
    </w:p>
    <w:tbl>
      <w:tblPr>
        <w:tblW w:w="4720" w:type="dxa"/>
        <w:tblInd w:w="1455" w:type="dxa"/>
        <w:tblLook w:val="04A0" w:firstRow="1" w:lastRow="0" w:firstColumn="1" w:lastColumn="0" w:noHBand="0" w:noVBand="1"/>
      </w:tblPr>
      <w:tblGrid>
        <w:gridCol w:w="2800"/>
        <w:gridCol w:w="960"/>
        <w:gridCol w:w="960"/>
      </w:tblGrid>
      <w:tr w:rsidR="00D76DB9" w:rsidRPr="00E83A8E" w14:paraId="28ECEFFD"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2FDBD5"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All data in ‘000 except quick ratio</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B113965"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ED3A850"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2019</w:t>
            </w:r>
          </w:p>
        </w:tc>
      </w:tr>
      <w:tr w:rsidR="00D76DB9" w:rsidRPr="00E83A8E" w14:paraId="37050A6B"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24BF781B"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Quick assets</w:t>
            </w:r>
          </w:p>
        </w:tc>
        <w:tc>
          <w:tcPr>
            <w:tcW w:w="960" w:type="dxa"/>
            <w:tcBorders>
              <w:top w:val="nil"/>
              <w:left w:val="nil"/>
              <w:bottom w:val="single" w:sz="4" w:space="0" w:color="auto"/>
              <w:right w:val="single" w:sz="4" w:space="0" w:color="auto"/>
            </w:tcBorders>
            <w:shd w:val="clear" w:color="auto" w:fill="auto"/>
            <w:noWrap/>
            <w:vAlign w:val="bottom"/>
            <w:hideMark/>
          </w:tcPr>
          <w:p w14:paraId="606F6A51"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276</w:t>
            </w:r>
          </w:p>
        </w:tc>
        <w:tc>
          <w:tcPr>
            <w:tcW w:w="960" w:type="dxa"/>
            <w:tcBorders>
              <w:top w:val="nil"/>
              <w:left w:val="nil"/>
              <w:bottom w:val="single" w:sz="4" w:space="0" w:color="auto"/>
              <w:right w:val="single" w:sz="4" w:space="0" w:color="auto"/>
            </w:tcBorders>
            <w:shd w:val="clear" w:color="auto" w:fill="auto"/>
            <w:noWrap/>
            <w:vAlign w:val="bottom"/>
            <w:hideMark/>
          </w:tcPr>
          <w:p w14:paraId="2D4E7C58"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204</w:t>
            </w:r>
          </w:p>
        </w:tc>
      </w:tr>
      <w:tr w:rsidR="00D76DB9" w:rsidRPr="00E83A8E" w14:paraId="3121859C"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576D8B87"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lastRenderedPageBreak/>
              <w:t>Current liabilities</w:t>
            </w:r>
          </w:p>
        </w:tc>
        <w:tc>
          <w:tcPr>
            <w:tcW w:w="960" w:type="dxa"/>
            <w:tcBorders>
              <w:top w:val="nil"/>
              <w:left w:val="nil"/>
              <w:bottom w:val="single" w:sz="4" w:space="0" w:color="auto"/>
              <w:right w:val="single" w:sz="4" w:space="0" w:color="auto"/>
            </w:tcBorders>
            <w:shd w:val="clear" w:color="auto" w:fill="auto"/>
            <w:noWrap/>
            <w:vAlign w:val="bottom"/>
            <w:hideMark/>
          </w:tcPr>
          <w:p w14:paraId="208EA006"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1339</w:t>
            </w:r>
          </w:p>
        </w:tc>
        <w:tc>
          <w:tcPr>
            <w:tcW w:w="960" w:type="dxa"/>
            <w:tcBorders>
              <w:top w:val="nil"/>
              <w:left w:val="nil"/>
              <w:bottom w:val="single" w:sz="4" w:space="0" w:color="auto"/>
              <w:right w:val="single" w:sz="4" w:space="0" w:color="auto"/>
            </w:tcBorders>
            <w:shd w:val="clear" w:color="auto" w:fill="auto"/>
            <w:noWrap/>
            <w:vAlign w:val="bottom"/>
            <w:hideMark/>
          </w:tcPr>
          <w:p w14:paraId="1A9DC1D3"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1616</w:t>
            </w:r>
          </w:p>
        </w:tc>
      </w:tr>
      <w:tr w:rsidR="00D76DB9" w:rsidRPr="00E83A8E" w14:paraId="01759236"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6E0F6FDC"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Quick ratio</w:t>
            </w:r>
          </w:p>
        </w:tc>
        <w:tc>
          <w:tcPr>
            <w:tcW w:w="960" w:type="dxa"/>
            <w:tcBorders>
              <w:top w:val="nil"/>
              <w:left w:val="nil"/>
              <w:bottom w:val="single" w:sz="4" w:space="0" w:color="auto"/>
              <w:right w:val="single" w:sz="4" w:space="0" w:color="auto"/>
            </w:tcBorders>
            <w:shd w:val="clear" w:color="auto" w:fill="auto"/>
            <w:noWrap/>
            <w:vAlign w:val="bottom"/>
            <w:hideMark/>
          </w:tcPr>
          <w:p w14:paraId="614341FB"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0.21</w:t>
            </w:r>
          </w:p>
        </w:tc>
        <w:tc>
          <w:tcPr>
            <w:tcW w:w="960" w:type="dxa"/>
            <w:tcBorders>
              <w:top w:val="nil"/>
              <w:left w:val="nil"/>
              <w:bottom w:val="single" w:sz="4" w:space="0" w:color="auto"/>
              <w:right w:val="single" w:sz="4" w:space="0" w:color="auto"/>
            </w:tcBorders>
            <w:shd w:val="clear" w:color="auto" w:fill="auto"/>
            <w:noWrap/>
            <w:vAlign w:val="bottom"/>
            <w:hideMark/>
          </w:tcPr>
          <w:p w14:paraId="6C472C26"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0.13</w:t>
            </w:r>
          </w:p>
        </w:tc>
      </w:tr>
    </w:tbl>
    <w:p w14:paraId="1676E462" w14:textId="77777777" w:rsidR="00D76DB9" w:rsidRPr="00E83A8E" w:rsidRDefault="00D76DB9" w:rsidP="00E83A8E">
      <w:pPr>
        <w:spacing w:line="360" w:lineRule="auto"/>
        <w:ind w:left="1440"/>
        <w:jc w:val="both"/>
        <w:rPr>
          <w:rFonts w:ascii="Times New Roman" w:hAnsi="Times New Roman" w:cs="Times New Roman"/>
          <w:sz w:val="24"/>
          <w:szCs w:val="24"/>
        </w:rPr>
      </w:pPr>
    </w:p>
    <w:p w14:paraId="6A243102" w14:textId="77777777" w:rsidR="00D76DB9" w:rsidRPr="00E83A8E" w:rsidRDefault="00D76DB9" w:rsidP="00E83A8E">
      <w:pPr>
        <w:spacing w:line="360" w:lineRule="auto"/>
        <w:ind w:left="1440"/>
        <w:jc w:val="both"/>
        <w:rPr>
          <w:rFonts w:ascii="Times New Roman" w:hAnsi="Times New Roman" w:cs="Times New Roman"/>
          <w:noProof/>
          <w:sz w:val="24"/>
          <w:szCs w:val="24"/>
        </w:rPr>
      </w:pPr>
      <w:r w:rsidRPr="00E83A8E">
        <w:rPr>
          <w:rFonts w:ascii="Times New Roman" w:hAnsi="Times New Roman" w:cs="Times New Roman"/>
          <w:noProof/>
          <w:sz w:val="24"/>
          <w:szCs w:val="24"/>
        </w:rPr>
        <w:drawing>
          <wp:inline distT="0" distB="0" distL="0" distR="0" wp14:anchorId="01DC297E" wp14:editId="7630815D">
            <wp:extent cx="4568825" cy="1583055"/>
            <wp:effectExtent l="0" t="0" r="3175" b="17145"/>
            <wp:docPr id="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97901EB" w14:textId="77777777" w:rsidR="00D76DB9" w:rsidRPr="00E83A8E" w:rsidRDefault="00D76DB9" w:rsidP="00E83A8E">
      <w:p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 xml:space="preserve">Analysis- </w:t>
      </w:r>
      <w:r w:rsidR="00C22704" w:rsidRPr="00E83A8E">
        <w:rPr>
          <w:rFonts w:ascii="Times New Roman" w:hAnsi="Times New Roman" w:cs="Times New Roman"/>
          <w:noProof/>
          <w:sz w:val="24"/>
          <w:szCs w:val="24"/>
        </w:rPr>
        <w:t>The business's quick ratio is therefore smaller than the optimal ratio of 1.5:1 times. The ratio was 0.21 times in 2018 but declined and became 0.13 times in 2019. Thus above business must aim to improve their liquidity position in order to improve their quick ratio</w:t>
      </w:r>
      <w:r w:rsidR="005518F8" w:rsidRPr="00E83A8E">
        <w:rPr>
          <w:rFonts w:ascii="Times New Roman" w:hAnsi="Times New Roman" w:cs="Times New Roman"/>
          <w:noProof/>
          <w:sz w:val="24"/>
          <w:szCs w:val="24"/>
        </w:rPr>
        <w:t xml:space="preserve"> (</w:t>
      </w:r>
      <w:r w:rsidR="005518F8" w:rsidRPr="00E83A8E">
        <w:rPr>
          <w:rFonts w:ascii="Times New Roman" w:hAnsi="Times New Roman" w:cs="Times New Roman"/>
          <w:color w:val="222222"/>
          <w:sz w:val="24"/>
          <w:szCs w:val="24"/>
          <w:shd w:val="clear" w:color="auto" w:fill="FFFFFF"/>
        </w:rPr>
        <w:t>Yue, Luan and Wu, 2019</w:t>
      </w:r>
      <w:r w:rsidR="005518F8" w:rsidRPr="00E83A8E">
        <w:rPr>
          <w:rFonts w:ascii="Times New Roman" w:hAnsi="Times New Roman" w:cs="Times New Roman"/>
          <w:noProof/>
          <w:sz w:val="24"/>
          <w:szCs w:val="24"/>
        </w:rPr>
        <w:t>)</w:t>
      </w:r>
      <w:r w:rsidR="00C22704" w:rsidRPr="00E83A8E">
        <w:rPr>
          <w:rFonts w:ascii="Times New Roman" w:hAnsi="Times New Roman" w:cs="Times New Roman"/>
          <w:noProof/>
          <w:sz w:val="24"/>
          <w:szCs w:val="24"/>
        </w:rPr>
        <w:t>.</w:t>
      </w:r>
    </w:p>
    <w:p w14:paraId="024B4AA0" w14:textId="77777777" w:rsidR="00D76DB9" w:rsidRPr="00E83A8E" w:rsidRDefault="00D76DB9" w:rsidP="00E83A8E">
      <w:pPr>
        <w:spacing w:line="360" w:lineRule="auto"/>
        <w:jc w:val="both"/>
        <w:rPr>
          <w:rFonts w:ascii="Times New Roman" w:hAnsi="Times New Roman" w:cs="Times New Roman"/>
          <w:noProof/>
          <w:sz w:val="24"/>
          <w:szCs w:val="24"/>
        </w:rPr>
      </w:pPr>
    </w:p>
    <w:p w14:paraId="1D7A7CB9" w14:textId="77777777" w:rsidR="00D76DB9" w:rsidRPr="00E83A8E" w:rsidRDefault="00D76DB9" w:rsidP="00E83A8E">
      <w:pPr>
        <w:spacing w:line="360" w:lineRule="auto"/>
        <w:jc w:val="both"/>
        <w:rPr>
          <w:rFonts w:ascii="Times New Roman" w:hAnsi="Times New Roman" w:cs="Times New Roman"/>
          <w:noProof/>
          <w:sz w:val="24"/>
          <w:szCs w:val="24"/>
        </w:rPr>
      </w:pPr>
    </w:p>
    <w:p w14:paraId="7F0F7935" w14:textId="77777777" w:rsidR="00D76DB9" w:rsidRPr="00E83A8E" w:rsidRDefault="00D76DB9" w:rsidP="00E83A8E">
      <w:p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 xml:space="preserve">Gearnig ratio- </w:t>
      </w:r>
      <w:r w:rsidR="00C22704" w:rsidRPr="00E83A8E">
        <w:rPr>
          <w:rFonts w:ascii="Times New Roman" w:hAnsi="Times New Roman" w:cs="Times New Roman"/>
          <w:noProof/>
          <w:sz w:val="24"/>
          <w:szCs w:val="24"/>
        </w:rPr>
        <w:t>This is classified as a form of ratio that firms use to compare debt with equity</w:t>
      </w:r>
      <w:r w:rsidR="005518F8" w:rsidRPr="00E83A8E">
        <w:rPr>
          <w:rFonts w:ascii="Times New Roman" w:hAnsi="Times New Roman" w:cs="Times New Roman"/>
          <w:noProof/>
          <w:sz w:val="24"/>
          <w:szCs w:val="24"/>
        </w:rPr>
        <w:t xml:space="preserve"> (</w:t>
      </w:r>
      <w:r w:rsidR="005518F8" w:rsidRPr="00E83A8E">
        <w:rPr>
          <w:rFonts w:ascii="Times New Roman" w:hAnsi="Times New Roman" w:cs="Times New Roman"/>
          <w:color w:val="222222"/>
          <w:sz w:val="24"/>
          <w:szCs w:val="24"/>
          <w:shd w:val="clear" w:color="auto" w:fill="FFFFFF"/>
        </w:rPr>
        <w:t>Nguyen, Nguyen and Park, 2019</w:t>
      </w:r>
      <w:r w:rsidR="005518F8" w:rsidRPr="00E83A8E">
        <w:rPr>
          <w:rFonts w:ascii="Times New Roman" w:hAnsi="Times New Roman" w:cs="Times New Roman"/>
          <w:noProof/>
          <w:sz w:val="24"/>
          <w:szCs w:val="24"/>
        </w:rPr>
        <w:t>)</w:t>
      </w:r>
      <w:r w:rsidR="00C22704" w:rsidRPr="00E83A8E">
        <w:rPr>
          <w:rFonts w:ascii="Times New Roman" w:hAnsi="Times New Roman" w:cs="Times New Roman"/>
          <w:noProof/>
          <w:sz w:val="24"/>
          <w:szCs w:val="24"/>
        </w:rPr>
        <w:t>. Those ratios are measured below in such a way as to:</w:t>
      </w:r>
    </w:p>
    <w:p w14:paraId="0FA9D959" w14:textId="77777777" w:rsidR="00D76DB9" w:rsidRPr="00E83A8E" w:rsidRDefault="00D76DB9" w:rsidP="00E83A8E">
      <w:pPr>
        <w:spacing w:line="360" w:lineRule="auto"/>
        <w:jc w:val="both"/>
        <w:rPr>
          <w:rFonts w:ascii="Times New Roman" w:hAnsi="Times New Roman" w:cs="Times New Roman"/>
          <w:sz w:val="24"/>
          <w:szCs w:val="24"/>
        </w:rPr>
      </w:pPr>
    </w:p>
    <w:p w14:paraId="0203DED0" w14:textId="77777777" w:rsidR="00D76DB9" w:rsidRPr="00E83A8E" w:rsidRDefault="00D76DB9" w:rsidP="00E83A8E">
      <w:pPr>
        <w:numPr>
          <w:ilvl w:val="0"/>
          <w:numId w:val="3"/>
        </w:numPr>
        <w:suppressAutoHyphens/>
        <w:spacing w:after="0" w:line="360" w:lineRule="auto"/>
        <w:jc w:val="both"/>
        <w:rPr>
          <w:rFonts w:ascii="Times New Roman" w:hAnsi="Times New Roman" w:cs="Times New Roman"/>
          <w:sz w:val="24"/>
          <w:szCs w:val="24"/>
        </w:rPr>
      </w:pPr>
      <w:r w:rsidRPr="00E83A8E">
        <w:rPr>
          <w:rFonts w:ascii="Times New Roman" w:hAnsi="Times New Roman" w:cs="Times New Roman"/>
          <w:sz w:val="24"/>
          <w:szCs w:val="24"/>
        </w:rPr>
        <w:t>Debt to equity ratio- Equity / debt</w:t>
      </w:r>
    </w:p>
    <w:tbl>
      <w:tblPr>
        <w:tblW w:w="4720" w:type="dxa"/>
        <w:tblInd w:w="1455" w:type="dxa"/>
        <w:tblLook w:val="04A0" w:firstRow="1" w:lastRow="0" w:firstColumn="1" w:lastColumn="0" w:noHBand="0" w:noVBand="1"/>
      </w:tblPr>
      <w:tblGrid>
        <w:gridCol w:w="2800"/>
        <w:gridCol w:w="960"/>
        <w:gridCol w:w="960"/>
      </w:tblGrid>
      <w:tr w:rsidR="00D76DB9" w:rsidRPr="00E83A8E" w14:paraId="00F4F6FF"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877CDE"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All data in ‘000 except debt to equity ratio</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DCE5068"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EEF64A5"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2019</w:t>
            </w:r>
          </w:p>
        </w:tc>
      </w:tr>
      <w:tr w:rsidR="00D76DB9" w:rsidRPr="00E83A8E" w14:paraId="51C99519"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B43B13"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Total debt</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2D4B28B6"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6076</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765A722"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6129</w:t>
            </w:r>
          </w:p>
        </w:tc>
      </w:tr>
      <w:tr w:rsidR="00D76DB9" w:rsidRPr="00E83A8E" w14:paraId="0EF17EDA"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3D69C071"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Total equity</w:t>
            </w:r>
          </w:p>
        </w:tc>
        <w:tc>
          <w:tcPr>
            <w:tcW w:w="960" w:type="dxa"/>
            <w:tcBorders>
              <w:top w:val="nil"/>
              <w:left w:val="nil"/>
              <w:bottom w:val="single" w:sz="4" w:space="0" w:color="auto"/>
              <w:right w:val="single" w:sz="4" w:space="0" w:color="auto"/>
            </w:tcBorders>
            <w:shd w:val="clear" w:color="auto" w:fill="auto"/>
            <w:noWrap/>
            <w:vAlign w:val="bottom"/>
            <w:hideMark/>
          </w:tcPr>
          <w:p w14:paraId="1D087928"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2068</w:t>
            </w:r>
          </w:p>
        </w:tc>
        <w:tc>
          <w:tcPr>
            <w:tcW w:w="960" w:type="dxa"/>
            <w:tcBorders>
              <w:top w:val="nil"/>
              <w:left w:val="nil"/>
              <w:bottom w:val="single" w:sz="4" w:space="0" w:color="auto"/>
              <w:right w:val="single" w:sz="4" w:space="0" w:color="auto"/>
            </w:tcBorders>
            <w:shd w:val="clear" w:color="auto" w:fill="auto"/>
            <w:noWrap/>
            <w:vAlign w:val="bottom"/>
            <w:hideMark/>
          </w:tcPr>
          <w:p w14:paraId="691CBFA8"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2056</w:t>
            </w:r>
          </w:p>
        </w:tc>
      </w:tr>
      <w:tr w:rsidR="00D76DB9" w:rsidRPr="00E83A8E" w14:paraId="48500613"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619C3D78"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Debt to equity ratio</w:t>
            </w:r>
          </w:p>
        </w:tc>
        <w:tc>
          <w:tcPr>
            <w:tcW w:w="960" w:type="dxa"/>
            <w:tcBorders>
              <w:top w:val="nil"/>
              <w:left w:val="nil"/>
              <w:bottom w:val="single" w:sz="4" w:space="0" w:color="auto"/>
              <w:right w:val="single" w:sz="4" w:space="0" w:color="auto"/>
            </w:tcBorders>
            <w:shd w:val="clear" w:color="auto" w:fill="auto"/>
            <w:noWrap/>
            <w:vAlign w:val="bottom"/>
            <w:hideMark/>
          </w:tcPr>
          <w:p w14:paraId="41EF2159"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0.34</w:t>
            </w:r>
          </w:p>
        </w:tc>
        <w:tc>
          <w:tcPr>
            <w:tcW w:w="960" w:type="dxa"/>
            <w:tcBorders>
              <w:top w:val="nil"/>
              <w:left w:val="nil"/>
              <w:bottom w:val="single" w:sz="4" w:space="0" w:color="auto"/>
              <w:right w:val="single" w:sz="4" w:space="0" w:color="auto"/>
            </w:tcBorders>
            <w:shd w:val="clear" w:color="auto" w:fill="auto"/>
            <w:noWrap/>
            <w:vAlign w:val="bottom"/>
            <w:hideMark/>
          </w:tcPr>
          <w:p w14:paraId="0DDF3DBC"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0.34</w:t>
            </w:r>
          </w:p>
        </w:tc>
      </w:tr>
    </w:tbl>
    <w:p w14:paraId="4105EA42" w14:textId="77777777" w:rsidR="00D76DB9" w:rsidRPr="00E83A8E" w:rsidRDefault="00D76DB9" w:rsidP="00E83A8E">
      <w:pPr>
        <w:spacing w:line="360" w:lineRule="auto"/>
        <w:ind w:left="1440"/>
        <w:jc w:val="both"/>
        <w:rPr>
          <w:rFonts w:ascii="Times New Roman" w:hAnsi="Times New Roman" w:cs="Times New Roman"/>
          <w:sz w:val="24"/>
          <w:szCs w:val="24"/>
        </w:rPr>
      </w:pPr>
    </w:p>
    <w:p w14:paraId="1AF8BA46" w14:textId="77777777" w:rsidR="00D76DB9" w:rsidRPr="00E83A8E" w:rsidRDefault="00D76DB9" w:rsidP="00E83A8E">
      <w:pPr>
        <w:spacing w:line="360" w:lineRule="auto"/>
        <w:ind w:left="1440"/>
        <w:jc w:val="both"/>
        <w:rPr>
          <w:rFonts w:ascii="Times New Roman" w:hAnsi="Times New Roman" w:cs="Times New Roman"/>
          <w:noProof/>
          <w:sz w:val="24"/>
          <w:szCs w:val="24"/>
        </w:rPr>
      </w:pPr>
      <w:r w:rsidRPr="00E83A8E">
        <w:rPr>
          <w:rFonts w:ascii="Times New Roman" w:hAnsi="Times New Roman" w:cs="Times New Roman"/>
          <w:noProof/>
          <w:sz w:val="24"/>
          <w:szCs w:val="24"/>
        </w:rPr>
        <w:lastRenderedPageBreak/>
        <w:drawing>
          <wp:inline distT="0" distB="0" distL="0" distR="0" wp14:anchorId="3DDFCEA4" wp14:editId="4E072BBD">
            <wp:extent cx="4568825" cy="1962785"/>
            <wp:effectExtent l="0" t="0" r="3175" b="18415"/>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30ED02B" w14:textId="77777777" w:rsidR="00D76DB9" w:rsidRPr="00E83A8E" w:rsidRDefault="00D76DB9" w:rsidP="00E83A8E">
      <w:pPr>
        <w:spacing w:line="360" w:lineRule="auto"/>
        <w:ind w:left="1440"/>
        <w:jc w:val="both"/>
        <w:rPr>
          <w:rFonts w:ascii="Times New Roman" w:hAnsi="Times New Roman" w:cs="Times New Roman"/>
          <w:noProof/>
          <w:sz w:val="24"/>
          <w:szCs w:val="24"/>
        </w:rPr>
      </w:pPr>
    </w:p>
    <w:p w14:paraId="7A54D90F" w14:textId="77777777" w:rsidR="00D76DB9" w:rsidRPr="00E83A8E" w:rsidRDefault="00D76DB9" w:rsidP="00E83A8E">
      <w:p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 xml:space="preserve">Analysis- </w:t>
      </w:r>
      <w:r w:rsidR="00C22704" w:rsidRPr="00E83A8E">
        <w:rPr>
          <w:rFonts w:ascii="Times New Roman" w:hAnsi="Times New Roman" w:cs="Times New Roman"/>
          <w:noProof/>
          <w:sz w:val="24"/>
          <w:szCs w:val="24"/>
        </w:rPr>
        <w:t>The corporation's debt-to - equity ratio for both years is closely related, which is 0.34. Nonetheless, this figure is smaller than 1 and indicates the corporation's poor success in making loan payments as they do not have ample resources or equities to pay the differ volume of debts</w:t>
      </w:r>
      <w:r w:rsidR="005518F8" w:rsidRPr="00E83A8E">
        <w:rPr>
          <w:rFonts w:ascii="Times New Roman" w:hAnsi="Times New Roman" w:cs="Times New Roman"/>
          <w:noProof/>
          <w:sz w:val="24"/>
          <w:szCs w:val="24"/>
        </w:rPr>
        <w:t xml:space="preserve"> (</w:t>
      </w:r>
      <w:r w:rsidR="005518F8" w:rsidRPr="00E83A8E">
        <w:rPr>
          <w:rFonts w:ascii="Times New Roman" w:hAnsi="Times New Roman" w:cs="Times New Roman"/>
          <w:color w:val="222222"/>
          <w:sz w:val="24"/>
          <w:szCs w:val="24"/>
          <w:shd w:val="clear" w:color="auto" w:fill="FFFFFF"/>
        </w:rPr>
        <w:t>Lee, Lee and Hwang, 2019</w:t>
      </w:r>
      <w:r w:rsidR="005518F8" w:rsidRPr="00E83A8E">
        <w:rPr>
          <w:rFonts w:ascii="Times New Roman" w:hAnsi="Times New Roman" w:cs="Times New Roman"/>
          <w:noProof/>
          <w:sz w:val="24"/>
          <w:szCs w:val="24"/>
        </w:rPr>
        <w:t>)</w:t>
      </w:r>
      <w:r w:rsidR="00C22704" w:rsidRPr="00E83A8E">
        <w:rPr>
          <w:rFonts w:ascii="Times New Roman" w:hAnsi="Times New Roman" w:cs="Times New Roman"/>
          <w:noProof/>
          <w:sz w:val="24"/>
          <w:szCs w:val="24"/>
        </w:rPr>
        <w:t>.</w:t>
      </w:r>
    </w:p>
    <w:p w14:paraId="241813AE" w14:textId="77777777" w:rsidR="00D76DB9" w:rsidRPr="00E83A8E" w:rsidRDefault="00D76DB9" w:rsidP="00E83A8E">
      <w:pPr>
        <w:spacing w:line="360" w:lineRule="auto"/>
        <w:jc w:val="both"/>
        <w:rPr>
          <w:rFonts w:ascii="Times New Roman" w:hAnsi="Times New Roman" w:cs="Times New Roman"/>
          <w:noProof/>
          <w:sz w:val="24"/>
          <w:szCs w:val="24"/>
        </w:rPr>
      </w:pPr>
    </w:p>
    <w:p w14:paraId="4AB7BE2C" w14:textId="77777777" w:rsidR="00D76DB9" w:rsidRPr="00E83A8E" w:rsidRDefault="00D76DB9" w:rsidP="00E83A8E">
      <w:pPr>
        <w:spacing w:line="360" w:lineRule="auto"/>
        <w:jc w:val="both"/>
        <w:rPr>
          <w:rFonts w:ascii="Times New Roman" w:hAnsi="Times New Roman" w:cs="Times New Roman"/>
          <w:noProof/>
          <w:sz w:val="24"/>
          <w:szCs w:val="24"/>
        </w:rPr>
      </w:pPr>
    </w:p>
    <w:p w14:paraId="06076E29" w14:textId="77777777" w:rsidR="00D76DB9" w:rsidRPr="00E83A8E" w:rsidRDefault="00D76DB9" w:rsidP="00E83A8E">
      <w:pPr>
        <w:numPr>
          <w:ilvl w:val="0"/>
          <w:numId w:val="3"/>
        </w:numPr>
        <w:suppressAutoHyphens/>
        <w:spacing w:after="0" w:line="360" w:lineRule="auto"/>
        <w:jc w:val="both"/>
        <w:rPr>
          <w:rFonts w:ascii="Times New Roman" w:hAnsi="Times New Roman" w:cs="Times New Roman"/>
          <w:sz w:val="24"/>
          <w:szCs w:val="24"/>
        </w:rPr>
      </w:pPr>
      <w:r w:rsidRPr="00E83A8E">
        <w:rPr>
          <w:rFonts w:ascii="Times New Roman" w:hAnsi="Times New Roman" w:cs="Times New Roman"/>
          <w:sz w:val="24"/>
          <w:szCs w:val="24"/>
        </w:rPr>
        <w:t>Debt ratio- Total assets / Total debt</w:t>
      </w:r>
    </w:p>
    <w:tbl>
      <w:tblPr>
        <w:tblW w:w="4720" w:type="dxa"/>
        <w:tblInd w:w="1440" w:type="dxa"/>
        <w:tblLook w:val="04A0" w:firstRow="1" w:lastRow="0" w:firstColumn="1" w:lastColumn="0" w:noHBand="0" w:noVBand="1"/>
      </w:tblPr>
      <w:tblGrid>
        <w:gridCol w:w="2800"/>
        <w:gridCol w:w="960"/>
        <w:gridCol w:w="960"/>
      </w:tblGrid>
      <w:tr w:rsidR="00D76DB9" w:rsidRPr="00E83A8E" w14:paraId="6276805B"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19DC01"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All data in ‘000 except debt ratio</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91A0CA6"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2018</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47640090"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Year 2019</w:t>
            </w:r>
          </w:p>
        </w:tc>
      </w:tr>
      <w:tr w:rsidR="00D76DB9" w:rsidRPr="00E83A8E" w14:paraId="74625C33" w14:textId="77777777" w:rsidTr="00D27802">
        <w:trPr>
          <w:trHeight w:val="300"/>
        </w:trPr>
        <w:tc>
          <w:tcPr>
            <w:tcW w:w="28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272069"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Total debt</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331357ED"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6076</w:t>
            </w:r>
          </w:p>
        </w:tc>
        <w:tc>
          <w:tcPr>
            <w:tcW w:w="960" w:type="dxa"/>
            <w:tcBorders>
              <w:top w:val="single" w:sz="4" w:space="0" w:color="auto"/>
              <w:left w:val="nil"/>
              <w:bottom w:val="single" w:sz="4" w:space="0" w:color="auto"/>
              <w:right w:val="single" w:sz="4" w:space="0" w:color="auto"/>
            </w:tcBorders>
            <w:shd w:val="clear" w:color="auto" w:fill="auto"/>
            <w:noWrap/>
            <w:vAlign w:val="bottom"/>
          </w:tcPr>
          <w:p w14:paraId="0820FBA3"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6129</w:t>
            </w:r>
          </w:p>
        </w:tc>
      </w:tr>
      <w:tr w:rsidR="00D76DB9" w:rsidRPr="00E83A8E" w14:paraId="5A7D5D96"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7C78155F"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Total assets</w:t>
            </w:r>
          </w:p>
        </w:tc>
        <w:tc>
          <w:tcPr>
            <w:tcW w:w="960" w:type="dxa"/>
            <w:tcBorders>
              <w:top w:val="nil"/>
              <w:left w:val="nil"/>
              <w:bottom w:val="single" w:sz="4" w:space="0" w:color="auto"/>
              <w:right w:val="single" w:sz="4" w:space="0" w:color="auto"/>
            </w:tcBorders>
            <w:shd w:val="clear" w:color="auto" w:fill="auto"/>
            <w:noWrap/>
            <w:vAlign w:val="bottom"/>
            <w:hideMark/>
          </w:tcPr>
          <w:p w14:paraId="25D8DFAA"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7565</w:t>
            </w:r>
          </w:p>
        </w:tc>
        <w:tc>
          <w:tcPr>
            <w:tcW w:w="960" w:type="dxa"/>
            <w:tcBorders>
              <w:top w:val="nil"/>
              <w:left w:val="nil"/>
              <w:bottom w:val="single" w:sz="4" w:space="0" w:color="auto"/>
              <w:right w:val="single" w:sz="4" w:space="0" w:color="auto"/>
            </w:tcBorders>
            <w:shd w:val="clear" w:color="auto" w:fill="auto"/>
            <w:noWrap/>
            <w:vAlign w:val="bottom"/>
            <w:hideMark/>
          </w:tcPr>
          <w:p w14:paraId="0C0943DE"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7890</w:t>
            </w:r>
          </w:p>
        </w:tc>
      </w:tr>
      <w:tr w:rsidR="00D76DB9" w:rsidRPr="00E83A8E" w14:paraId="5EBA260A" w14:textId="77777777" w:rsidTr="00D27802">
        <w:trPr>
          <w:trHeight w:val="300"/>
        </w:trPr>
        <w:tc>
          <w:tcPr>
            <w:tcW w:w="2800" w:type="dxa"/>
            <w:tcBorders>
              <w:top w:val="nil"/>
              <w:left w:val="single" w:sz="4" w:space="0" w:color="auto"/>
              <w:bottom w:val="single" w:sz="4" w:space="0" w:color="auto"/>
              <w:right w:val="single" w:sz="4" w:space="0" w:color="auto"/>
            </w:tcBorders>
            <w:shd w:val="clear" w:color="auto" w:fill="auto"/>
            <w:noWrap/>
            <w:vAlign w:val="bottom"/>
            <w:hideMark/>
          </w:tcPr>
          <w:p w14:paraId="167C1757"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Debt ratio</w:t>
            </w:r>
          </w:p>
        </w:tc>
        <w:tc>
          <w:tcPr>
            <w:tcW w:w="960" w:type="dxa"/>
            <w:tcBorders>
              <w:top w:val="nil"/>
              <w:left w:val="nil"/>
              <w:bottom w:val="single" w:sz="4" w:space="0" w:color="auto"/>
              <w:right w:val="single" w:sz="4" w:space="0" w:color="auto"/>
            </w:tcBorders>
            <w:shd w:val="clear" w:color="auto" w:fill="auto"/>
            <w:noWrap/>
            <w:vAlign w:val="bottom"/>
            <w:hideMark/>
          </w:tcPr>
          <w:p w14:paraId="319821E6"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1.24</w:t>
            </w:r>
          </w:p>
        </w:tc>
        <w:tc>
          <w:tcPr>
            <w:tcW w:w="960" w:type="dxa"/>
            <w:tcBorders>
              <w:top w:val="nil"/>
              <w:left w:val="nil"/>
              <w:bottom w:val="single" w:sz="4" w:space="0" w:color="auto"/>
              <w:right w:val="single" w:sz="4" w:space="0" w:color="auto"/>
            </w:tcBorders>
            <w:shd w:val="clear" w:color="auto" w:fill="auto"/>
            <w:noWrap/>
            <w:vAlign w:val="bottom"/>
            <w:hideMark/>
          </w:tcPr>
          <w:p w14:paraId="34593E5C" w14:textId="77777777" w:rsidR="00D76DB9" w:rsidRPr="00E83A8E" w:rsidRDefault="00D76DB9" w:rsidP="00E83A8E">
            <w:pPr>
              <w:spacing w:line="360" w:lineRule="auto"/>
              <w:jc w:val="both"/>
              <w:rPr>
                <w:rFonts w:ascii="Times New Roman" w:eastAsia="Times New Roman" w:hAnsi="Times New Roman" w:cs="Times New Roman"/>
                <w:sz w:val="24"/>
                <w:szCs w:val="24"/>
              </w:rPr>
            </w:pPr>
            <w:r w:rsidRPr="00E83A8E">
              <w:rPr>
                <w:rFonts w:ascii="Times New Roman" w:eastAsia="Times New Roman" w:hAnsi="Times New Roman" w:cs="Times New Roman"/>
                <w:sz w:val="24"/>
                <w:szCs w:val="24"/>
              </w:rPr>
              <w:t>1.29</w:t>
            </w:r>
          </w:p>
        </w:tc>
      </w:tr>
    </w:tbl>
    <w:p w14:paraId="26522693" w14:textId="77777777" w:rsidR="00D76DB9" w:rsidRPr="00E83A8E" w:rsidRDefault="00D76DB9" w:rsidP="00E83A8E">
      <w:pPr>
        <w:spacing w:line="360" w:lineRule="auto"/>
        <w:ind w:left="1440"/>
        <w:jc w:val="both"/>
        <w:rPr>
          <w:rFonts w:ascii="Times New Roman" w:hAnsi="Times New Roman" w:cs="Times New Roman"/>
          <w:sz w:val="24"/>
          <w:szCs w:val="24"/>
        </w:rPr>
      </w:pPr>
    </w:p>
    <w:p w14:paraId="389EA02E" w14:textId="77777777" w:rsidR="00C22704" w:rsidRPr="00E83A8E" w:rsidRDefault="00C22704" w:rsidP="00E83A8E">
      <w:pPr>
        <w:spacing w:line="360" w:lineRule="auto"/>
        <w:ind w:left="1440"/>
        <w:jc w:val="both"/>
        <w:rPr>
          <w:rFonts w:ascii="Times New Roman" w:hAnsi="Times New Roman" w:cs="Times New Roman"/>
          <w:sz w:val="24"/>
          <w:szCs w:val="24"/>
        </w:rPr>
      </w:pPr>
    </w:p>
    <w:p w14:paraId="3873E931" w14:textId="77777777" w:rsidR="00D76DB9" w:rsidRPr="00E83A8E" w:rsidRDefault="00D76DB9" w:rsidP="00E83A8E">
      <w:pPr>
        <w:spacing w:line="360" w:lineRule="auto"/>
        <w:ind w:left="1440"/>
        <w:jc w:val="both"/>
        <w:rPr>
          <w:rFonts w:ascii="Times New Roman" w:hAnsi="Times New Roman" w:cs="Times New Roman"/>
          <w:noProof/>
          <w:sz w:val="24"/>
          <w:szCs w:val="24"/>
        </w:rPr>
      </w:pPr>
      <w:r w:rsidRPr="00E83A8E">
        <w:rPr>
          <w:rFonts w:ascii="Times New Roman" w:hAnsi="Times New Roman" w:cs="Times New Roman"/>
          <w:noProof/>
          <w:sz w:val="24"/>
          <w:szCs w:val="24"/>
        </w:rPr>
        <w:lastRenderedPageBreak/>
        <w:drawing>
          <wp:inline distT="0" distB="0" distL="0" distR="0" wp14:anchorId="0425DA6A" wp14:editId="3B38C570">
            <wp:extent cx="4568825" cy="2740025"/>
            <wp:effectExtent l="0" t="0" r="3175" b="317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1C5C688" w14:textId="77777777" w:rsidR="00D76DB9" w:rsidRPr="00E83A8E" w:rsidRDefault="00D76DB9" w:rsidP="00E83A8E">
      <w:pPr>
        <w:spacing w:line="360" w:lineRule="auto"/>
        <w:ind w:left="1440"/>
        <w:jc w:val="both"/>
        <w:rPr>
          <w:rFonts w:ascii="Times New Roman" w:hAnsi="Times New Roman" w:cs="Times New Roman"/>
          <w:noProof/>
          <w:sz w:val="24"/>
          <w:szCs w:val="24"/>
        </w:rPr>
      </w:pPr>
    </w:p>
    <w:p w14:paraId="2B5E1F0E" w14:textId="77777777" w:rsidR="00D76DB9" w:rsidRPr="00E83A8E" w:rsidRDefault="00D76DB9" w:rsidP="00E83A8E">
      <w:p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 xml:space="preserve">Analysis- </w:t>
      </w:r>
      <w:r w:rsidR="00C22704" w:rsidRPr="00E83A8E">
        <w:rPr>
          <w:rFonts w:ascii="Times New Roman" w:hAnsi="Times New Roman" w:cs="Times New Roman"/>
          <w:noProof/>
          <w:sz w:val="24"/>
          <w:szCs w:val="24"/>
        </w:rPr>
        <w:t>The firm ’s debt level is in relatively good condition, because they have enough money to allow their loans payable. As in 2018, their ratio was 1.24 and rose and in 2019 was 1.29. This indicates that in both fiscal years, business has a strong financial position to service its debts</w:t>
      </w:r>
      <w:r w:rsidR="005518F8" w:rsidRPr="00E83A8E">
        <w:rPr>
          <w:rFonts w:ascii="Times New Roman" w:hAnsi="Times New Roman" w:cs="Times New Roman"/>
          <w:noProof/>
          <w:sz w:val="24"/>
          <w:szCs w:val="24"/>
        </w:rPr>
        <w:t xml:space="preserve"> (</w:t>
      </w:r>
      <w:r w:rsidR="005518F8" w:rsidRPr="00E83A8E">
        <w:rPr>
          <w:rFonts w:ascii="Times New Roman" w:hAnsi="Times New Roman" w:cs="Times New Roman"/>
          <w:color w:val="222222"/>
          <w:sz w:val="24"/>
          <w:szCs w:val="24"/>
          <w:shd w:val="clear" w:color="auto" w:fill="FFFFFF"/>
        </w:rPr>
        <w:t>Rudasill and Kamath, 2019</w:t>
      </w:r>
      <w:r w:rsidR="005518F8" w:rsidRPr="00E83A8E">
        <w:rPr>
          <w:rFonts w:ascii="Times New Roman" w:hAnsi="Times New Roman" w:cs="Times New Roman"/>
          <w:noProof/>
          <w:sz w:val="24"/>
          <w:szCs w:val="24"/>
        </w:rPr>
        <w:t>)</w:t>
      </w:r>
      <w:r w:rsidR="00C22704" w:rsidRPr="00E83A8E">
        <w:rPr>
          <w:rFonts w:ascii="Times New Roman" w:hAnsi="Times New Roman" w:cs="Times New Roman"/>
          <w:noProof/>
          <w:sz w:val="24"/>
          <w:szCs w:val="24"/>
        </w:rPr>
        <w:t>.</w:t>
      </w:r>
    </w:p>
    <w:p w14:paraId="54DA3925" w14:textId="77777777" w:rsidR="00522E3B" w:rsidRPr="00E83A8E" w:rsidRDefault="00522E3B" w:rsidP="00E83A8E">
      <w:pPr>
        <w:spacing w:line="360" w:lineRule="auto"/>
        <w:jc w:val="both"/>
        <w:rPr>
          <w:rFonts w:ascii="Times New Roman" w:hAnsi="Times New Roman" w:cs="Times New Roman"/>
          <w:noProof/>
          <w:sz w:val="24"/>
          <w:szCs w:val="24"/>
        </w:rPr>
      </w:pPr>
    </w:p>
    <w:p w14:paraId="52CF3135" w14:textId="77777777" w:rsidR="00522E3B" w:rsidRPr="00E83A8E" w:rsidRDefault="00522E3B" w:rsidP="00E83A8E">
      <w:pPr>
        <w:pStyle w:val="ListParagraph"/>
        <w:numPr>
          <w:ilvl w:val="0"/>
          <w:numId w:val="2"/>
        </w:numPr>
        <w:spacing w:line="360" w:lineRule="auto"/>
        <w:jc w:val="both"/>
        <w:rPr>
          <w:rFonts w:ascii="Times New Roman" w:hAnsi="Times New Roman" w:cs="Times New Roman"/>
          <w:noProof/>
          <w:sz w:val="24"/>
          <w:szCs w:val="24"/>
        </w:rPr>
      </w:pPr>
      <w:r w:rsidRPr="00E83A8E">
        <w:rPr>
          <w:rFonts w:ascii="Times New Roman" w:hAnsi="Times New Roman" w:cs="Times New Roman"/>
          <w:noProof/>
          <w:sz w:val="24"/>
          <w:szCs w:val="24"/>
        </w:rPr>
        <w:t>Why understanding of ratio analysis is important.</w:t>
      </w:r>
    </w:p>
    <w:p w14:paraId="719FA640" w14:textId="77777777" w:rsidR="005C7488" w:rsidRPr="00E83A8E" w:rsidRDefault="005C7488" w:rsidP="00E83A8E">
      <w:p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Different types of ratios are included in the accounting ratios, and each one plays a key role in integrating knowledge in a company's financial position</w:t>
      </w:r>
      <w:r w:rsidR="005518F8" w:rsidRPr="00E83A8E">
        <w:rPr>
          <w:rFonts w:ascii="Times New Roman" w:hAnsi="Times New Roman" w:cs="Times New Roman"/>
          <w:noProof/>
          <w:sz w:val="24"/>
          <w:szCs w:val="24"/>
        </w:rPr>
        <w:t xml:space="preserve"> (</w:t>
      </w:r>
      <w:r w:rsidR="005518F8" w:rsidRPr="00E83A8E">
        <w:rPr>
          <w:rFonts w:ascii="Times New Roman" w:hAnsi="Times New Roman" w:cs="Times New Roman"/>
          <w:color w:val="222222"/>
          <w:sz w:val="24"/>
          <w:szCs w:val="24"/>
          <w:shd w:val="clear" w:color="auto" w:fill="FFFFFF"/>
        </w:rPr>
        <w:t>Small, Dollie and Yasseen, 2019</w:t>
      </w:r>
      <w:r w:rsidR="005518F8" w:rsidRPr="00E83A8E">
        <w:rPr>
          <w:rFonts w:ascii="Times New Roman" w:hAnsi="Times New Roman" w:cs="Times New Roman"/>
          <w:noProof/>
          <w:sz w:val="24"/>
          <w:szCs w:val="24"/>
        </w:rPr>
        <w:t>)</w:t>
      </w:r>
      <w:r w:rsidRPr="00E83A8E">
        <w:rPr>
          <w:rFonts w:ascii="Times New Roman" w:hAnsi="Times New Roman" w:cs="Times New Roman"/>
          <w:noProof/>
          <w:sz w:val="24"/>
          <w:szCs w:val="24"/>
        </w:rPr>
        <w:t>. Three forms of ratios which are the productivity, liquidity and gearing ratio were measured and evaluated in the above section of the study. In this way, the lower value of such ratios in relation to the above-described compay is stated:</w:t>
      </w:r>
    </w:p>
    <w:p w14:paraId="14B9E9F3" w14:textId="77777777" w:rsidR="005C7488" w:rsidRPr="00E83A8E" w:rsidRDefault="005C7488" w:rsidP="00E83A8E">
      <w:pPr>
        <w:pStyle w:val="ListParagraph"/>
        <w:numPr>
          <w:ilvl w:val="0"/>
          <w:numId w:val="3"/>
        </w:num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The assessment and variance of the ratios plays a key role in the hospitality management industry sectors</w:t>
      </w:r>
      <w:r w:rsidR="005518F8" w:rsidRPr="00E83A8E">
        <w:rPr>
          <w:rFonts w:ascii="Times New Roman" w:hAnsi="Times New Roman" w:cs="Times New Roman"/>
          <w:noProof/>
          <w:sz w:val="24"/>
          <w:szCs w:val="24"/>
        </w:rPr>
        <w:t xml:space="preserve"> (</w:t>
      </w:r>
      <w:r w:rsidR="005518F8" w:rsidRPr="00E83A8E">
        <w:rPr>
          <w:rFonts w:ascii="Times New Roman" w:hAnsi="Times New Roman" w:cs="Times New Roman"/>
          <w:color w:val="222222"/>
          <w:sz w:val="24"/>
          <w:szCs w:val="24"/>
          <w:shd w:val="clear" w:color="auto" w:fill="FFFFFF"/>
        </w:rPr>
        <w:t>Sanny and Yanti, 2019</w:t>
      </w:r>
      <w:r w:rsidR="005518F8" w:rsidRPr="00E83A8E">
        <w:rPr>
          <w:rFonts w:ascii="Times New Roman" w:hAnsi="Times New Roman" w:cs="Times New Roman"/>
          <w:noProof/>
          <w:sz w:val="24"/>
          <w:szCs w:val="24"/>
        </w:rPr>
        <w:t>)</w:t>
      </w:r>
      <w:r w:rsidRPr="00E83A8E">
        <w:rPr>
          <w:rFonts w:ascii="Times New Roman" w:hAnsi="Times New Roman" w:cs="Times New Roman"/>
          <w:noProof/>
          <w:sz w:val="24"/>
          <w:szCs w:val="24"/>
        </w:rPr>
        <w:t xml:space="preserve">. That is that of a business may detect changes in financial results over the span of two years and then implement appropriate approaches appropriately. As in the business Gatsby Grange above, various types of factors are determined using prepared income reports. Using these ratios they can evaluate those areas where their performance is weak. </w:t>
      </w:r>
      <w:r w:rsidRPr="00E83A8E">
        <w:rPr>
          <w:rFonts w:ascii="Times New Roman" w:hAnsi="Times New Roman" w:cs="Times New Roman"/>
          <w:noProof/>
          <w:sz w:val="24"/>
          <w:szCs w:val="24"/>
        </w:rPr>
        <w:lastRenderedPageBreak/>
        <w:t>They can also establish innovative plans and tactics for next year, in order to solve weak points.</w:t>
      </w:r>
    </w:p>
    <w:p w14:paraId="3B50DD21" w14:textId="77777777" w:rsidR="005C7488" w:rsidRPr="00E83A8E" w:rsidRDefault="005C7488" w:rsidP="00E83A8E">
      <w:pPr>
        <w:pStyle w:val="ListParagraph"/>
        <w:numPr>
          <w:ilvl w:val="0"/>
          <w:numId w:val="3"/>
        </w:num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In addition, the ratio analysis also plays an important role for firms in assessing financial performance is properly evaluated in less time. It 's important that it will become challenging for businesses to recognize and interpret their respective financial statements</w:t>
      </w:r>
      <w:r w:rsidR="005518F8" w:rsidRPr="00E83A8E">
        <w:rPr>
          <w:rFonts w:ascii="Times New Roman" w:hAnsi="Times New Roman" w:cs="Times New Roman"/>
          <w:noProof/>
          <w:sz w:val="24"/>
          <w:szCs w:val="24"/>
        </w:rPr>
        <w:t xml:space="preserve"> (</w:t>
      </w:r>
      <w:r w:rsidR="005518F8" w:rsidRPr="00E83A8E">
        <w:rPr>
          <w:rFonts w:ascii="Times New Roman" w:hAnsi="Times New Roman" w:cs="Times New Roman"/>
          <w:color w:val="222222"/>
          <w:sz w:val="24"/>
          <w:szCs w:val="24"/>
          <w:shd w:val="clear" w:color="auto" w:fill="FFFFFF"/>
        </w:rPr>
        <w:t>Shelton IV, Bakos and Harris, Ethicon 2019</w:t>
      </w:r>
      <w:r w:rsidR="005518F8" w:rsidRPr="00E83A8E">
        <w:rPr>
          <w:rFonts w:ascii="Times New Roman" w:hAnsi="Times New Roman" w:cs="Times New Roman"/>
          <w:noProof/>
          <w:sz w:val="24"/>
          <w:szCs w:val="24"/>
        </w:rPr>
        <w:t>)</w:t>
      </w:r>
      <w:r w:rsidRPr="00E83A8E">
        <w:rPr>
          <w:rFonts w:ascii="Times New Roman" w:hAnsi="Times New Roman" w:cs="Times New Roman"/>
          <w:noProof/>
          <w:sz w:val="24"/>
          <w:szCs w:val="24"/>
        </w:rPr>
        <w:t xml:space="preserve">. Analysis of the ratio gives a clear analysis of any factor including productivity, gearing performance etc. As in the above-mentioned business Gatsby Grange, they have calculated various forms of ratios and each gives a comprehensive description of all kinds of aspects. Although the business can face various forms of challenges in the lack of a ratio study, these time usage may be used to assess financial results through ratio analysis. </w:t>
      </w:r>
    </w:p>
    <w:p w14:paraId="28400A44" w14:textId="77777777" w:rsidR="005C7488" w:rsidRPr="00E83A8E" w:rsidRDefault="005C7488" w:rsidP="00E83A8E">
      <w:pPr>
        <w:pStyle w:val="ListParagraph"/>
        <w:numPr>
          <w:ilvl w:val="0"/>
          <w:numId w:val="3"/>
        </w:numPr>
        <w:spacing w:line="360" w:lineRule="auto"/>
        <w:jc w:val="both"/>
        <w:rPr>
          <w:rFonts w:ascii="Times New Roman" w:hAnsi="Times New Roman" w:cs="Times New Roman"/>
          <w:sz w:val="24"/>
          <w:szCs w:val="24"/>
        </w:rPr>
      </w:pPr>
      <w:r w:rsidRPr="00E83A8E">
        <w:rPr>
          <w:rFonts w:ascii="Times New Roman" w:hAnsi="Times New Roman" w:cs="Times New Roman"/>
          <w:noProof/>
          <w:sz w:val="24"/>
          <w:szCs w:val="24"/>
        </w:rPr>
        <w:t>A crucial aspect of the ratio study is the financial results over two separate forms over years is measured using this methodology. With that, administrators figuring the variability in results is simpler</w:t>
      </w:r>
      <w:r w:rsidR="005518F8" w:rsidRPr="00E83A8E">
        <w:rPr>
          <w:rFonts w:ascii="Times New Roman" w:hAnsi="Times New Roman" w:cs="Times New Roman"/>
          <w:noProof/>
          <w:sz w:val="24"/>
          <w:szCs w:val="24"/>
        </w:rPr>
        <w:t xml:space="preserve"> (</w:t>
      </w:r>
      <w:r w:rsidR="005518F8" w:rsidRPr="00E83A8E">
        <w:rPr>
          <w:rFonts w:ascii="Times New Roman" w:hAnsi="Times New Roman" w:cs="Times New Roman"/>
          <w:color w:val="222222"/>
          <w:sz w:val="24"/>
          <w:szCs w:val="24"/>
          <w:shd w:val="clear" w:color="auto" w:fill="FFFFFF"/>
        </w:rPr>
        <w:t>Karlin and Lessard, 2020</w:t>
      </w:r>
      <w:r w:rsidR="005518F8" w:rsidRPr="00E83A8E">
        <w:rPr>
          <w:rFonts w:ascii="Times New Roman" w:hAnsi="Times New Roman" w:cs="Times New Roman"/>
          <w:noProof/>
          <w:sz w:val="24"/>
          <w:szCs w:val="24"/>
        </w:rPr>
        <w:t>)</w:t>
      </w:r>
      <w:r w:rsidRPr="00E83A8E">
        <w:rPr>
          <w:rFonts w:ascii="Times New Roman" w:hAnsi="Times New Roman" w:cs="Times New Roman"/>
          <w:noProof/>
          <w:sz w:val="24"/>
          <w:szCs w:val="24"/>
        </w:rPr>
        <w:t>. They computed different kinds of ratios with regard to a variety of aspects, as in the above-mentioned firm. Because of this, understanding trends in financial results of 2018 and 2019 became beneficial for them.</w:t>
      </w:r>
    </w:p>
    <w:p w14:paraId="3BD68CEC" w14:textId="77777777" w:rsidR="005C7488" w:rsidRPr="00E83A8E" w:rsidRDefault="005C7488" w:rsidP="00E83A8E">
      <w:pPr>
        <w:pStyle w:val="ListParagraph"/>
        <w:spacing w:line="360" w:lineRule="auto"/>
        <w:jc w:val="both"/>
        <w:rPr>
          <w:rFonts w:ascii="Times New Roman" w:hAnsi="Times New Roman" w:cs="Times New Roman"/>
          <w:noProof/>
          <w:sz w:val="24"/>
          <w:szCs w:val="24"/>
        </w:rPr>
      </w:pPr>
    </w:p>
    <w:p w14:paraId="30E918BF" w14:textId="77777777" w:rsidR="00D76DB9" w:rsidRPr="00E83A8E" w:rsidRDefault="00D76DB9" w:rsidP="00E83A8E">
      <w:pPr>
        <w:spacing w:line="360" w:lineRule="auto"/>
        <w:ind w:left="720"/>
        <w:jc w:val="both"/>
        <w:rPr>
          <w:rFonts w:ascii="Times New Roman" w:hAnsi="Times New Roman" w:cs="Times New Roman"/>
          <w:sz w:val="24"/>
          <w:szCs w:val="24"/>
        </w:rPr>
      </w:pPr>
    </w:p>
    <w:p w14:paraId="79671726" w14:textId="77777777" w:rsidR="005C7488" w:rsidRPr="00E83A8E" w:rsidRDefault="005C7488" w:rsidP="00E83A8E">
      <w:p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(c) Benefits and limitations related to application of ratios analysis to support or help in decision making within tourism or hotel Industry:</w:t>
      </w:r>
    </w:p>
    <w:p w14:paraId="02EFFCC0" w14:textId="77777777" w:rsidR="005C7488" w:rsidRPr="00E83A8E" w:rsidRDefault="005C7488" w:rsidP="00E83A8E">
      <w:pPr>
        <w:spacing w:line="360" w:lineRule="auto"/>
        <w:ind w:firstLine="360"/>
        <w:jc w:val="both"/>
        <w:rPr>
          <w:rFonts w:ascii="Times New Roman" w:hAnsi="Times New Roman" w:cs="Times New Roman"/>
          <w:sz w:val="24"/>
          <w:szCs w:val="24"/>
        </w:rPr>
      </w:pPr>
      <w:r w:rsidRPr="00E83A8E">
        <w:rPr>
          <w:rFonts w:ascii="Times New Roman" w:hAnsi="Times New Roman" w:cs="Times New Roman"/>
          <w:sz w:val="24"/>
          <w:szCs w:val="24"/>
        </w:rPr>
        <w:t>The ratio study, when correctly implemented, sheds light on several of the problems confronting the business and also highlights some potential ones</w:t>
      </w:r>
      <w:r w:rsidR="005518F8" w:rsidRPr="00E83A8E">
        <w:rPr>
          <w:rFonts w:ascii="Times New Roman" w:hAnsi="Times New Roman" w:cs="Times New Roman"/>
          <w:sz w:val="24"/>
          <w:szCs w:val="24"/>
        </w:rPr>
        <w:t xml:space="preserve"> (</w:t>
      </w:r>
      <w:r w:rsidR="005518F8" w:rsidRPr="00E83A8E">
        <w:rPr>
          <w:rFonts w:ascii="Times New Roman" w:hAnsi="Times New Roman" w:cs="Times New Roman"/>
          <w:color w:val="222222"/>
          <w:sz w:val="24"/>
          <w:szCs w:val="24"/>
          <w:shd w:val="clear" w:color="auto" w:fill="FFFFFF"/>
        </w:rPr>
        <w:t>RAOand NARAYANA, 2020</w:t>
      </w:r>
      <w:r w:rsidR="005518F8" w:rsidRPr="00E83A8E">
        <w:rPr>
          <w:rFonts w:ascii="Times New Roman" w:hAnsi="Times New Roman" w:cs="Times New Roman"/>
          <w:sz w:val="24"/>
          <w:szCs w:val="24"/>
        </w:rPr>
        <w:t>)</w:t>
      </w:r>
      <w:r w:rsidRPr="00E83A8E">
        <w:rPr>
          <w:rFonts w:ascii="Times New Roman" w:hAnsi="Times New Roman" w:cs="Times New Roman"/>
          <w:sz w:val="24"/>
          <w:szCs w:val="24"/>
        </w:rPr>
        <w:t>. In reality, ratios are spies, they draw manager's attention to issues that need action. Here are some other key benefits of assessing the ratios for above Sheraton Hotel:</w:t>
      </w:r>
    </w:p>
    <w:p w14:paraId="4BC0139D" w14:textId="77777777" w:rsidR="00105764" w:rsidRPr="00E83A8E" w:rsidRDefault="00105764" w:rsidP="00E83A8E">
      <w:pPr>
        <w:pStyle w:val="ListParagraph"/>
        <w:numPr>
          <w:ilvl w:val="0"/>
          <w:numId w:val="7"/>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 xml:space="preserve">Financial ratio review may help explain or disprove the funding, spending and organizational judgment of the company. They convert the financial statement into comparative figures, thereby enabling management to accurately assess and evaluate the </w:t>
      </w:r>
      <w:r w:rsidRPr="00E83A8E">
        <w:rPr>
          <w:rFonts w:ascii="Times New Roman" w:hAnsi="Times New Roman" w:cs="Times New Roman"/>
          <w:sz w:val="24"/>
          <w:szCs w:val="24"/>
        </w:rPr>
        <w:lastRenderedPageBreak/>
        <w:t>financial condition and effects of any actions on the business</w:t>
      </w:r>
      <w:r w:rsidR="005518F8" w:rsidRPr="00E83A8E">
        <w:rPr>
          <w:rFonts w:ascii="Times New Roman" w:hAnsi="Times New Roman" w:cs="Times New Roman"/>
          <w:sz w:val="24"/>
          <w:szCs w:val="24"/>
        </w:rPr>
        <w:t xml:space="preserve"> (</w:t>
      </w:r>
      <w:r w:rsidR="005518F8" w:rsidRPr="00E83A8E">
        <w:rPr>
          <w:rFonts w:ascii="Times New Roman" w:hAnsi="Times New Roman" w:cs="Times New Roman"/>
          <w:color w:val="222222"/>
          <w:sz w:val="24"/>
          <w:szCs w:val="24"/>
          <w:shd w:val="clear" w:color="auto" w:fill="FFFFFF"/>
        </w:rPr>
        <w:t>MANISHA and SATYANARAYANA, 2020</w:t>
      </w:r>
      <w:r w:rsidR="005518F8" w:rsidRPr="00E83A8E">
        <w:rPr>
          <w:rFonts w:ascii="Times New Roman" w:hAnsi="Times New Roman" w:cs="Times New Roman"/>
          <w:sz w:val="24"/>
          <w:szCs w:val="24"/>
        </w:rPr>
        <w:t>)</w:t>
      </w:r>
      <w:r w:rsidRPr="00E83A8E">
        <w:rPr>
          <w:rFonts w:ascii="Times New Roman" w:hAnsi="Times New Roman" w:cs="Times New Roman"/>
          <w:sz w:val="24"/>
          <w:szCs w:val="24"/>
        </w:rPr>
        <w:t>.</w:t>
      </w:r>
    </w:p>
    <w:p w14:paraId="22BD3AEB" w14:textId="77777777" w:rsidR="00294520" w:rsidRPr="00E83A8E" w:rsidRDefault="00105764" w:rsidP="00E83A8E">
      <w:pPr>
        <w:pStyle w:val="ListParagraph"/>
        <w:numPr>
          <w:ilvl w:val="0"/>
          <w:numId w:val="4"/>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This optimizes convoluted monetary financial accounts information into standard operating ratios, corporate strategy.</w:t>
      </w:r>
    </w:p>
    <w:p w14:paraId="5089FB6C" w14:textId="77777777" w:rsidR="00105764" w:rsidRPr="00E83A8E" w:rsidRDefault="00105764" w:rsidP="00E83A8E">
      <w:pPr>
        <w:pStyle w:val="ListParagraph"/>
        <w:numPr>
          <w:ilvl w:val="0"/>
          <w:numId w:val="4"/>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Management often has a stake in the overall extent or degree of productivity of the company. We would like to consider that the organization has the potential to meet both its short-term and long-term commitments against its borrowers, to guarantee a reasonable return to its shareholders and to obtain optimum use of the properties of the organization. It is possible as all the percentages are taken together.</w:t>
      </w:r>
    </w:p>
    <w:p w14:paraId="587F44F6" w14:textId="77777777" w:rsidR="00105764" w:rsidRPr="00E83A8E" w:rsidRDefault="00105764" w:rsidP="00E83A8E">
      <w:pPr>
        <w:pStyle w:val="ListParagraph"/>
        <w:numPr>
          <w:ilvl w:val="0"/>
          <w:numId w:val="4"/>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Ratio assessment helps to define weaknesses and inmates to planning in those regions. There is a misunderstanding of many of the specifics in the complex financial accounts and estimates will help identify certain problems</w:t>
      </w:r>
      <w:r w:rsidR="005518F8" w:rsidRPr="00E83A8E">
        <w:rPr>
          <w:rFonts w:ascii="Times New Roman" w:hAnsi="Times New Roman" w:cs="Times New Roman"/>
          <w:sz w:val="24"/>
          <w:szCs w:val="24"/>
        </w:rPr>
        <w:t xml:space="preserve"> (</w:t>
      </w:r>
      <w:r w:rsidR="005518F8" w:rsidRPr="00E83A8E">
        <w:rPr>
          <w:rFonts w:ascii="Times New Roman" w:hAnsi="Times New Roman" w:cs="Times New Roman"/>
          <w:color w:val="222222"/>
          <w:sz w:val="24"/>
          <w:szCs w:val="24"/>
          <w:shd w:val="clear" w:color="auto" w:fill="FFFFFF"/>
        </w:rPr>
        <w:t>Puustinen,Hilska and Guina, 2019</w:t>
      </w:r>
      <w:r w:rsidR="005518F8" w:rsidRPr="00E83A8E">
        <w:rPr>
          <w:rFonts w:ascii="Times New Roman" w:hAnsi="Times New Roman" w:cs="Times New Roman"/>
          <w:sz w:val="24"/>
          <w:szCs w:val="24"/>
        </w:rPr>
        <w:t>)</w:t>
      </w:r>
      <w:r w:rsidRPr="00E83A8E">
        <w:rPr>
          <w:rFonts w:ascii="Times New Roman" w:hAnsi="Times New Roman" w:cs="Times New Roman"/>
          <w:sz w:val="24"/>
          <w:szCs w:val="24"/>
        </w:rPr>
        <w:t>.</w:t>
      </w:r>
    </w:p>
    <w:p w14:paraId="25856C55" w14:textId="77777777" w:rsidR="00105764" w:rsidRPr="00E83A8E" w:rsidRDefault="00105764" w:rsidP="00E83A8E">
      <w:pPr>
        <w:pStyle w:val="ListParagraph"/>
        <w:numPr>
          <w:ilvl w:val="0"/>
          <w:numId w:val="4"/>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It assists the company to conduct comparison analyzes with other firms, industry standards, intra - company predictions etc. This should allow the organization to properly understand its fiscal position.</w:t>
      </w:r>
    </w:p>
    <w:p w14:paraId="0A99BFFD" w14:textId="77777777" w:rsidR="00105764" w:rsidRPr="00E83A8E" w:rsidRDefault="00105764" w:rsidP="00E83A8E">
      <w:pPr>
        <w:pStyle w:val="ListParagraph"/>
        <w:numPr>
          <w:ilvl w:val="0"/>
          <w:numId w:val="4"/>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Financial ratio review indicates the degree to which the funds are treated or operated and utilized productively. Similar operating ratios show the operating performance. In fact, the solvency of a business is based on the revenue collected by using its assets.</w:t>
      </w:r>
    </w:p>
    <w:p w14:paraId="47670ED9" w14:textId="77777777" w:rsidR="00105764" w:rsidRPr="00E83A8E" w:rsidRDefault="00272DBD" w:rsidP="00E83A8E">
      <w:pPr>
        <w:pStyle w:val="ListParagraph"/>
        <w:numPr>
          <w:ilvl w:val="0"/>
          <w:numId w:val="4"/>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In turn, ratio analysis is used to assess the capacity of a business to service long-term debts. Long-term solvency position of every creditor is a top consideration for present and potential owners of long-term creditors, security professionals and sector. This is assessed through leverage / capital structure and profitability ratios implying earnings potential and operating effectiveness. Ratio analysis depicts both major features and corporate lack of strength in this respect</w:t>
      </w:r>
      <w:r w:rsidR="005518F8" w:rsidRPr="00E83A8E">
        <w:rPr>
          <w:rFonts w:ascii="Times New Roman" w:hAnsi="Times New Roman" w:cs="Times New Roman"/>
          <w:sz w:val="24"/>
          <w:szCs w:val="24"/>
        </w:rPr>
        <w:t xml:space="preserve"> (</w:t>
      </w:r>
      <w:r w:rsidR="005518F8" w:rsidRPr="00E83A8E">
        <w:rPr>
          <w:rFonts w:ascii="Times New Roman" w:hAnsi="Times New Roman" w:cs="Times New Roman"/>
          <w:color w:val="222222"/>
          <w:sz w:val="24"/>
          <w:szCs w:val="24"/>
          <w:shd w:val="clear" w:color="auto" w:fill="FFFFFF"/>
        </w:rPr>
        <w:t>WADEKAR and ASHTEKAR, 2020</w:t>
      </w:r>
      <w:r w:rsidR="005518F8" w:rsidRPr="00E83A8E">
        <w:rPr>
          <w:rFonts w:ascii="Times New Roman" w:hAnsi="Times New Roman" w:cs="Times New Roman"/>
          <w:sz w:val="24"/>
          <w:szCs w:val="24"/>
        </w:rPr>
        <w:t>)</w:t>
      </w:r>
      <w:r w:rsidRPr="00E83A8E">
        <w:rPr>
          <w:rFonts w:ascii="Times New Roman" w:hAnsi="Times New Roman" w:cs="Times New Roman"/>
          <w:sz w:val="24"/>
          <w:szCs w:val="24"/>
        </w:rPr>
        <w:t>.</w:t>
      </w:r>
    </w:p>
    <w:p w14:paraId="57B16EAD" w14:textId="77777777" w:rsidR="00272DBD" w:rsidRPr="00E83A8E" w:rsidRDefault="00272DBD" w:rsidP="00E83A8E">
      <w:pPr>
        <w:spacing w:line="360" w:lineRule="auto"/>
        <w:ind w:left="360"/>
        <w:jc w:val="both"/>
        <w:rPr>
          <w:rFonts w:ascii="Times New Roman" w:hAnsi="Times New Roman" w:cs="Times New Roman"/>
          <w:sz w:val="24"/>
          <w:szCs w:val="24"/>
        </w:rPr>
      </w:pPr>
      <w:r w:rsidRPr="00E83A8E">
        <w:rPr>
          <w:rFonts w:ascii="Times New Roman" w:hAnsi="Times New Roman" w:cs="Times New Roman"/>
          <w:sz w:val="24"/>
          <w:szCs w:val="24"/>
        </w:rPr>
        <w:t>Limitations of Ratio Analysis: Although ratios are very critical aspects of fundamental reporting, they have some disadvantages in the tourism and hotel industry company Sheraton Hotel such as:</w:t>
      </w:r>
    </w:p>
    <w:p w14:paraId="4CEFC680" w14:textId="77777777" w:rsidR="00272DBD" w:rsidRPr="00E83A8E" w:rsidRDefault="00272DBD" w:rsidP="00E83A8E">
      <w:pPr>
        <w:pStyle w:val="ListParagraph"/>
        <w:numPr>
          <w:ilvl w:val="0"/>
          <w:numId w:val="6"/>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A corporation can make some year-end changes to its financial report to boost their ratios. The percentages ultimately end up losing and become nothing more than model optimization.</w:t>
      </w:r>
    </w:p>
    <w:p w14:paraId="259F0CAB" w14:textId="77777777" w:rsidR="00272DBD" w:rsidRPr="00E83A8E" w:rsidRDefault="00272DBD" w:rsidP="00E83A8E">
      <w:p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lastRenderedPageBreak/>
        <w:t>Levels ignore inflation-driven demand changes</w:t>
      </w:r>
      <w:r w:rsidR="005518F8" w:rsidRPr="00E83A8E">
        <w:rPr>
          <w:rFonts w:ascii="Times New Roman" w:hAnsi="Times New Roman" w:cs="Times New Roman"/>
          <w:sz w:val="24"/>
          <w:szCs w:val="24"/>
        </w:rPr>
        <w:t xml:space="preserve"> (</w:t>
      </w:r>
      <w:r w:rsidR="005518F8" w:rsidRPr="00E83A8E">
        <w:rPr>
          <w:rFonts w:ascii="Times New Roman" w:hAnsi="Times New Roman" w:cs="Times New Roman"/>
          <w:color w:val="222222"/>
          <w:sz w:val="24"/>
          <w:szCs w:val="24"/>
          <w:shd w:val="clear" w:color="auto" w:fill="FFFFFF"/>
        </w:rPr>
        <w:t>Lei, Wang and Sui, 2019</w:t>
      </w:r>
      <w:r w:rsidR="005518F8" w:rsidRPr="00E83A8E">
        <w:rPr>
          <w:rFonts w:ascii="Times New Roman" w:hAnsi="Times New Roman" w:cs="Times New Roman"/>
          <w:sz w:val="24"/>
          <w:szCs w:val="24"/>
        </w:rPr>
        <w:t>)</w:t>
      </w:r>
      <w:r w:rsidRPr="00E83A8E">
        <w:rPr>
          <w:rFonts w:ascii="Times New Roman" w:hAnsi="Times New Roman" w:cs="Times New Roman"/>
          <w:sz w:val="24"/>
          <w:szCs w:val="24"/>
        </w:rPr>
        <w:t>. Many measurements are calculated using past values, and the changes within years of market rates are neglected. Which does not adequately reflect the financial position.</w:t>
      </w:r>
    </w:p>
    <w:p w14:paraId="61B5D2BD" w14:textId="77777777" w:rsidR="00947472" w:rsidRPr="00E83A8E" w:rsidRDefault="00272DBD" w:rsidP="00E83A8E">
      <w:pPr>
        <w:pStyle w:val="ListParagraph"/>
        <w:numPr>
          <w:ilvl w:val="0"/>
          <w:numId w:val="6"/>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Financial indicators totally ignore the intangible dimensions of the Business. They just take the income-relevant (quantitative) aspects into account.</w:t>
      </w:r>
    </w:p>
    <w:p w14:paraId="1762759A" w14:textId="77777777" w:rsidR="00947472" w:rsidRPr="00E83A8E" w:rsidRDefault="00947472" w:rsidP="00E83A8E">
      <w:pPr>
        <w:pStyle w:val="ListParagraph"/>
        <w:numPr>
          <w:ilvl w:val="0"/>
          <w:numId w:val="6"/>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Since ratios only represent one aspect, they do not necessarily provide the true picture, because several other considerations, such as public policy, economic conditions, accessible capital, etc., need to be taken into account while evaluating ratios</w:t>
      </w:r>
      <w:r w:rsidR="005518F8" w:rsidRPr="00E83A8E">
        <w:rPr>
          <w:rFonts w:ascii="Times New Roman" w:hAnsi="Times New Roman" w:cs="Times New Roman"/>
          <w:sz w:val="24"/>
          <w:szCs w:val="24"/>
        </w:rPr>
        <w:t xml:space="preserve"> (</w:t>
      </w:r>
      <w:r w:rsidR="005518F8" w:rsidRPr="00E83A8E">
        <w:rPr>
          <w:rFonts w:ascii="Times New Roman" w:hAnsi="Times New Roman" w:cs="Times New Roman"/>
          <w:color w:val="222222"/>
          <w:sz w:val="24"/>
          <w:szCs w:val="24"/>
          <w:shd w:val="clear" w:color="auto" w:fill="FFFFFF"/>
        </w:rPr>
        <w:t>Shaikh, 2020</w:t>
      </w:r>
      <w:r w:rsidR="005518F8" w:rsidRPr="00E83A8E">
        <w:rPr>
          <w:rFonts w:ascii="Times New Roman" w:hAnsi="Times New Roman" w:cs="Times New Roman"/>
          <w:sz w:val="24"/>
          <w:szCs w:val="24"/>
        </w:rPr>
        <w:t>)</w:t>
      </w:r>
      <w:r w:rsidRPr="00E83A8E">
        <w:rPr>
          <w:rFonts w:ascii="Times New Roman" w:hAnsi="Times New Roman" w:cs="Times New Roman"/>
          <w:sz w:val="24"/>
          <w:szCs w:val="24"/>
        </w:rPr>
        <w:t>.</w:t>
      </w:r>
    </w:p>
    <w:p w14:paraId="37465FB9" w14:textId="77777777" w:rsidR="00947472" w:rsidRPr="00E83A8E" w:rsidRDefault="005518F8" w:rsidP="00E83A8E">
      <w:pPr>
        <w:pStyle w:val="ListParagraph"/>
        <w:numPr>
          <w:ilvl w:val="0"/>
          <w:numId w:val="6"/>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D</w:t>
      </w:r>
      <w:r w:rsidR="00947472" w:rsidRPr="00E83A8E">
        <w:rPr>
          <w:rFonts w:ascii="Times New Roman" w:hAnsi="Times New Roman" w:cs="Times New Roman"/>
          <w:sz w:val="24"/>
          <w:szCs w:val="24"/>
        </w:rPr>
        <w:t>ifferent financial policies relating to cost accounting, amortization etc. value generated stats and profitability statements indistinguishable for 2 companies There are no verification phases to the ratios. Thus companies can use various equations for various amounts. One such case is Current Ratio, in which some firms take into consideration all financial liabilities, while others neglect financial services overdraft charges from contractual liabilities when assessing the current ratio.</w:t>
      </w:r>
    </w:p>
    <w:p w14:paraId="21D320B0" w14:textId="77777777" w:rsidR="00947472" w:rsidRPr="00E83A8E" w:rsidRDefault="00947472" w:rsidP="00E83A8E">
      <w:pPr>
        <w:pStyle w:val="ListParagraph"/>
        <w:numPr>
          <w:ilvl w:val="0"/>
          <w:numId w:val="6"/>
        </w:num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t>Strong function care should be exerted when assessing a measured profitability statement for business in the hospitality sector. For e.g., Sheraton hotel in particular experiences higher profits in a single season and its revenues are 35 percent of the annual revenue for the remaining year. Hence gross margin and operating earnings give a biased picture</w:t>
      </w:r>
      <w:r w:rsidR="005518F8" w:rsidRPr="00E83A8E">
        <w:rPr>
          <w:rFonts w:ascii="Times New Roman" w:hAnsi="Times New Roman" w:cs="Times New Roman"/>
          <w:sz w:val="24"/>
          <w:szCs w:val="24"/>
        </w:rPr>
        <w:t xml:space="preserve"> (</w:t>
      </w:r>
      <w:r w:rsidR="005518F8" w:rsidRPr="00E83A8E">
        <w:rPr>
          <w:rFonts w:ascii="Times New Roman" w:hAnsi="Times New Roman" w:cs="Times New Roman"/>
          <w:color w:val="222222"/>
          <w:sz w:val="24"/>
          <w:szCs w:val="24"/>
          <w:shd w:val="clear" w:color="auto" w:fill="FFFFFF"/>
        </w:rPr>
        <w:t>Raina, 2020</w:t>
      </w:r>
      <w:r w:rsidR="005518F8" w:rsidRPr="00E83A8E">
        <w:rPr>
          <w:rFonts w:ascii="Times New Roman" w:hAnsi="Times New Roman" w:cs="Times New Roman"/>
          <w:sz w:val="24"/>
          <w:szCs w:val="24"/>
        </w:rPr>
        <w:t>)</w:t>
      </w:r>
      <w:r w:rsidRPr="00E83A8E">
        <w:rPr>
          <w:rFonts w:ascii="Times New Roman" w:hAnsi="Times New Roman" w:cs="Times New Roman"/>
          <w:sz w:val="24"/>
          <w:szCs w:val="24"/>
        </w:rPr>
        <w:t>.</w:t>
      </w:r>
    </w:p>
    <w:p w14:paraId="3B99C9AB" w14:textId="77777777" w:rsidR="00947472" w:rsidRPr="00E83A8E" w:rsidRDefault="00947472" w:rsidP="00E83A8E">
      <w:pPr>
        <w:spacing w:line="360" w:lineRule="auto"/>
        <w:ind w:left="360"/>
        <w:jc w:val="both"/>
        <w:rPr>
          <w:rFonts w:ascii="Times New Roman" w:hAnsi="Times New Roman" w:cs="Times New Roman"/>
          <w:sz w:val="24"/>
          <w:szCs w:val="24"/>
        </w:rPr>
      </w:pPr>
    </w:p>
    <w:p w14:paraId="15DA74C6" w14:textId="77777777" w:rsidR="0002418F" w:rsidRPr="0002418F" w:rsidRDefault="0002418F" w:rsidP="0002418F">
      <w:pPr>
        <w:pStyle w:val="Heading2"/>
        <w:jc w:val="both"/>
        <w:rPr>
          <w:rFonts w:ascii="Times New Roman" w:hAnsi="Times New Roman" w:cs="Times New Roman"/>
          <w:color w:val="000000" w:themeColor="text1"/>
          <w:sz w:val="24"/>
          <w:szCs w:val="24"/>
          <w:u w:val="single"/>
        </w:rPr>
      </w:pPr>
      <w:bookmarkStart w:id="11" w:name="_Toc44676406"/>
      <w:bookmarkStart w:id="12" w:name="_Toc44676461"/>
      <w:bookmarkStart w:id="13" w:name="_Toc44694685"/>
      <w:r w:rsidRPr="0002418F">
        <w:rPr>
          <w:rFonts w:ascii="Times New Roman" w:hAnsi="Times New Roman" w:cs="Times New Roman"/>
          <w:color w:val="000000" w:themeColor="text1"/>
          <w:sz w:val="24"/>
          <w:szCs w:val="24"/>
          <w:u w:val="single"/>
        </w:rPr>
        <w:t>Task 2</w:t>
      </w:r>
      <w:bookmarkEnd w:id="11"/>
      <w:bookmarkEnd w:id="12"/>
      <w:bookmarkEnd w:id="13"/>
    </w:p>
    <w:p w14:paraId="78BE86A0" w14:textId="77777777" w:rsidR="0002418F" w:rsidRPr="00405D9B" w:rsidRDefault="0002418F" w:rsidP="0002418F">
      <w:r w:rsidRPr="00405D9B">
        <w:t xml:space="preserve">Covered in PPT. </w:t>
      </w:r>
    </w:p>
    <w:p w14:paraId="403F98E4" w14:textId="77777777" w:rsidR="00947472" w:rsidRPr="00E83A8E" w:rsidRDefault="00947472" w:rsidP="00E83A8E">
      <w:pPr>
        <w:spacing w:line="360" w:lineRule="auto"/>
        <w:jc w:val="both"/>
        <w:rPr>
          <w:rFonts w:ascii="Times New Roman" w:hAnsi="Times New Roman" w:cs="Times New Roman"/>
          <w:sz w:val="24"/>
          <w:szCs w:val="24"/>
        </w:rPr>
      </w:pPr>
      <w:r w:rsidRPr="00E83A8E">
        <w:rPr>
          <w:rFonts w:ascii="Times New Roman" w:hAnsi="Times New Roman" w:cs="Times New Roman"/>
          <w:sz w:val="24"/>
          <w:szCs w:val="24"/>
        </w:rPr>
        <w:br w:type="page"/>
      </w:r>
    </w:p>
    <w:p w14:paraId="62D94AE7" w14:textId="77777777" w:rsidR="00272DBD" w:rsidRPr="00E83A8E" w:rsidRDefault="00947472" w:rsidP="00E83A8E">
      <w:pPr>
        <w:pStyle w:val="Heading1"/>
        <w:rPr>
          <w:sz w:val="24"/>
          <w:szCs w:val="24"/>
        </w:rPr>
      </w:pPr>
      <w:bookmarkStart w:id="14" w:name="_Toc44694686"/>
      <w:r w:rsidRPr="00E83A8E">
        <w:rPr>
          <w:sz w:val="24"/>
          <w:szCs w:val="24"/>
        </w:rPr>
        <w:lastRenderedPageBreak/>
        <w:t>REFERENCES</w:t>
      </w:r>
      <w:bookmarkEnd w:id="14"/>
    </w:p>
    <w:p w14:paraId="451B6539" w14:textId="77777777" w:rsidR="00947472" w:rsidRPr="00E83A8E" w:rsidRDefault="00947472" w:rsidP="00E83A8E">
      <w:pPr>
        <w:spacing w:line="360" w:lineRule="auto"/>
        <w:jc w:val="both"/>
        <w:rPr>
          <w:rFonts w:ascii="Times New Roman" w:hAnsi="Times New Roman" w:cs="Times New Roman"/>
          <w:sz w:val="24"/>
          <w:szCs w:val="24"/>
          <w:lang w:val="en-GB" w:eastAsia="ar-SA"/>
        </w:rPr>
      </w:pPr>
      <w:r w:rsidRPr="00E83A8E">
        <w:rPr>
          <w:rFonts w:ascii="Times New Roman" w:hAnsi="Times New Roman" w:cs="Times New Roman"/>
          <w:sz w:val="24"/>
          <w:szCs w:val="24"/>
          <w:u w:val="single"/>
          <w:lang w:val="en-GB" w:eastAsia="ar-SA"/>
        </w:rPr>
        <w:t>Books and journal</w:t>
      </w:r>
      <w:r w:rsidRPr="00E83A8E">
        <w:rPr>
          <w:rFonts w:ascii="Times New Roman" w:hAnsi="Times New Roman" w:cs="Times New Roman"/>
          <w:sz w:val="24"/>
          <w:szCs w:val="24"/>
          <w:lang w:val="en-GB" w:eastAsia="ar-SA"/>
        </w:rPr>
        <w:t>:</w:t>
      </w:r>
    </w:p>
    <w:p w14:paraId="4707055D" w14:textId="77777777" w:rsidR="00947472"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Zolfani, S.H. and Chatterjee, P., 2019. Comparative evaluation of sustainable design based on Step-Wise Weight Assessment Ratio Analysis (SWARA) and Best Worst Method (BWM) methods: a perspective on household furnishing materials. </w:t>
      </w:r>
      <w:r w:rsidRPr="00E83A8E">
        <w:rPr>
          <w:rFonts w:ascii="Times New Roman" w:hAnsi="Times New Roman" w:cs="Times New Roman"/>
          <w:i/>
          <w:iCs/>
          <w:color w:val="222222"/>
          <w:sz w:val="24"/>
          <w:szCs w:val="24"/>
          <w:shd w:val="clear" w:color="auto" w:fill="FFFFFF"/>
        </w:rPr>
        <w:t>Symmetry</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11</w:t>
      </w:r>
      <w:r w:rsidRPr="00E83A8E">
        <w:rPr>
          <w:rFonts w:ascii="Times New Roman" w:hAnsi="Times New Roman" w:cs="Times New Roman"/>
          <w:color w:val="222222"/>
          <w:sz w:val="24"/>
          <w:szCs w:val="24"/>
          <w:shd w:val="clear" w:color="auto" w:fill="FFFFFF"/>
        </w:rPr>
        <w:t>(1), p.74.</w:t>
      </w:r>
    </w:p>
    <w:p w14:paraId="73658976" w14:textId="77777777" w:rsidR="005401BC"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Hatefi, M.A., 2019. Indifference threshold-based attribute ratio analysis: A method for assigning the weights to the attributes in multiple attribute decision making. </w:t>
      </w:r>
      <w:r w:rsidRPr="00E83A8E">
        <w:rPr>
          <w:rFonts w:ascii="Times New Roman" w:hAnsi="Times New Roman" w:cs="Times New Roman"/>
          <w:i/>
          <w:iCs/>
          <w:color w:val="222222"/>
          <w:sz w:val="24"/>
          <w:szCs w:val="24"/>
          <w:shd w:val="clear" w:color="auto" w:fill="FFFFFF"/>
        </w:rPr>
        <w:t>Applied Soft Computing</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74</w:t>
      </w:r>
      <w:r w:rsidRPr="00E83A8E">
        <w:rPr>
          <w:rFonts w:ascii="Times New Roman" w:hAnsi="Times New Roman" w:cs="Times New Roman"/>
          <w:color w:val="222222"/>
          <w:sz w:val="24"/>
          <w:szCs w:val="24"/>
          <w:shd w:val="clear" w:color="auto" w:fill="FFFFFF"/>
        </w:rPr>
        <w:t>, pp.643-651.</w:t>
      </w:r>
    </w:p>
    <w:p w14:paraId="19577B6A" w14:textId="77777777" w:rsidR="005401BC"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Paudel, L., Nagana Gowda, G.A. and Raftery, D., 2019. Extractive ratio analysis NMR spectroscopy for metabolite identification in complex biological mixtures. </w:t>
      </w:r>
      <w:r w:rsidRPr="00E83A8E">
        <w:rPr>
          <w:rFonts w:ascii="Times New Roman" w:hAnsi="Times New Roman" w:cs="Times New Roman"/>
          <w:i/>
          <w:iCs/>
          <w:color w:val="222222"/>
          <w:sz w:val="24"/>
          <w:szCs w:val="24"/>
          <w:shd w:val="clear" w:color="auto" w:fill="FFFFFF"/>
        </w:rPr>
        <w:t>Analytical chemistry</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91</w:t>
      </w:r>
      <w:r w:rsidRPr="00E83A8E">
        <w:rPr>
          <w:rFonts w:ascii="Times New Roman" w:hAnsi="Times New Roman" w:cs="Times New Roman"/>
          <w:color w:val="222222"/>
          <w:sz w:val="24"/>
          <w:szCs w:val="24"/>
          <w:shd w:val="clear" w:color="auto" w:fill="FFFFFF"/>
        </w:rPr>
        <w:t>(11), pp.7373-7378.</w:t>
      </w:r>
    </w:p>
    <w:p w14:paraId="4C265B9D" w14:textId="77777777" w:rsidR="005401BC"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Dance, M. and Imade, S., 2019. Financial Ratio Analysis in Predicting Financial Conditions Distress in Indonesia Stock Exchange. </w:t>
      </w:r>
      <w:r w:rsidRPr="00E83A8E">
        <w:rPr>
          <w:rFonts w:ascii="Times New Roman" w:hAnsi="Times New Roman" w:cs="Times New Roman"/>
          <w:i/>
          <w:iCs/>
          <w:color w:val="222222"/>
          <w:sz w:val="24"/>
          <w:szCs w:val="24"/>
          <w:shd w:val="clear" w:color="auto" w:fill="FFFFFF"/>
        </w:rPr>
        <w:t>Russian Journal of Agricultural and Socio-Economic Sciences</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86</w:t>
      </w:r>
      <w:r w:rsidRPr="00E83A8E">
        <w:rPr>
          <w:rFonts w:ascii="Times New Roman" w:hAnsi="Times New Roman" w:cs="Times New Roman"/>
          <w:color w:val="222222"/>
          <w:sz w:val="24"/>
          <w:szCs w:val="24"/>
          <w:shd w:val="clear" w:color="auto" w:fill="FFFFFF"/>
        </w:rPr>
        <w:t>(2).</w:t>
      </w:r>
    </w:p>
    <w:p w14:paraId="76956229" w14:textId="77777777" w:rsidR="005401BC"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Perton, M., Spica, Z.J., Clayton, R.W. and Beroza, G.C., 2020. Shear wave structure of a transect of the Los Angeles basin from multimode surface waves and H/V spectral ratio analysis. </w:t>
      </w:r>
      <w:r w:rsidRPr="00E83A8E">
        <w:rPr>
          <w:rFonts w:ascii="Times New Roman" w:hAnsi="Times New Roman" w:cs="Times New Roman"/>
          <w:i/>
          <w:iCs/>
          <w:color w:val="222222"/>
          <w:sz w:val="24"/>
          <w:szCs w:val="24"/>
          <w:shd w:val="clear" w:color="auto" w:fill="FFFFFF"/>
        </w:rPr>
        <w:t>Geophysical Journal International</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220</w:t>
      </w:r>
      <w:r w:rsidRPr="00E83A8E">
        <w:rPr>
          <w:rFonts w:ascii="Times New Roman" w:hAnsi="Times New Roman" w:cs="Times New Roman"/>
          <w:color w:val="222222"/>
          <w:sz w:val="24"/>
          <w:szCs w:val="24"/>
          <w:shd w:val="clear" w:color="auto" w:fill="FFFFFF"/>
        </w:rPr>
        <w:t>(1), pp.415-427.</w:t>
      </w:r>
    </w:p>
    <w:p w14:paraId="5BE3ADB6" w14:textId="5996976F" w:rsidR="005401BC"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 xml:space="preserve">Habibi, A.N., Sungkono, K.R. and Sarno, R., 2019, September. Determination of Hospital Rank by Using Technique </w:t>
      </w:r>
      <w:r w:rsidR="005C6EEF" w:rsidRPr="00E83A8E">
        <w:rPr>
          <w:rFonts w:ascii="Times New Roman" w:hAnsi="Times New Roman" w:cs="Times New Roman"/>
          <w:color w:val="222222"/>
          <w:sz w:val="24"/>
          <w:szCs w:val="24"/>
          <w:shd w:val="clear" w:color="auto" w:fill="FFFFFF"/>
        </w:rPr>
        <w:t>for</w:t>
      </w:r>
      <w:r w:rsidRPr="00E83A8E">
        <w:rPr>
          <w:rFonts w:ascii="Times New Roman" w:hAnsi="Times New Roman" w:cs="Times New Roman"/>
          <w:color w:val="222222"/>
          <w:sz w:val="24"/>
          <w:szCs w:val="24"/>
          <w:shd w:val="clear" w:color="auto" w:fill="FFFFFF"/>
        </w:rPr>
        <w:t xml:space="preserve"> Order Preference by Similiarity to Ideal Solution (TOPSIS) and Multi Objective Optimization on the Basis of Ratio Analysis (MOORA). In </w:t>
      </w:r>
      <w:r w:rsidRPr="00E83A8E">
        <w:rPr>
          <w:rFonts w:ascii="Times New Roman" w:hAnsi="Times New Roman" w:cs="Times New Roman"/>
          <w:i/>
          <w:iCs/>
          <w:color w:val="222222"/>
          <w:sz w:val="24"/>
          <w:szCs w:val="24"/>
          <w:shd w:val="clear" w:color="auto" w:fill="FFFFFF"/>
        </w:rPr>
        <w:t>2019 International Seminar on Application for Technology of Information and Communication (iSemantic)</w:t>
      </w:r>
      <w:r w:rsidRPr="00E83A8E">
        <w:rPr>
          <w:rFonts w:ascii="Times New Roman" w:hAnsi="Times New Roman" w:cs="Times New Roman"/>
          <w:color w:val="222222"/>
          <w:sz w:val="24"/>
          <w:szCs w:val="24"/>
          <w:shd w:val="clear" w:color="auto" w:fill="FFFFFF"/>
        </w:rPr>
        <w:t> (pp. 574-578). IEEE.</w:t>
      </w:r>
    </w:p>
    <w:p w14:paraId="488C11D5" w14:textId="24B04BFA" w:rsidR="005401BC"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 xml:space="preserve">Gao, R., Li, D., Dong, L. and Wang, X., 2019. Numerical Analysis of the Mechanical Properties of 3D Random Voronoi Structures </w:t>
      </w:r>
      <w:r w:rsidR="005C6EEF" w:rsidRPr="00E83A8E">
        <w:rPr>
          <w:rFonts w:ascii="Times New Roman" w:hAnsi="Times New Roman" w:cs="Times New Roman"/>
          <w:color w:val="222222"/>
          <w:sz w:val="24"/>
          <w:szCs w:val="24"/>
          <w:shd w:val="clear" w:color="auto" w:fill="FFFFFF"/>
        </w:rPr>
        <w:t>with</w:t>
      </w:r>
      <w:r w:rsidRPr="00E83A8E">
        <w:rPr>
          <w:rFonts w:ascii="Times New Roman" w:hAnsi="Times New Roman" w:cs="Times New Roman"/>
          <w:color w:val="222222"/>
          <w:sz w:val="24"/>
          <w:szCs w:val="24"/>
          <w:shd w:val="clear" w:color="auto" w:fill="FFFFFF"/>
        </w:rPr>
        <w:t xml:space="preserve"> Negative Poisson's Ratio. </w:t>
      </w:r>
      <w:r w:rsidRPr="00E83A8E">
        <w:rPr>
          <w:rFonts w:ascii="Times New Roman" w:hAnsi="Times New Roman" w:cs="Times New Roman"/>
          <w:i/>
          <w:iCs/>
          <w:color w:val="222222"/>
          <w:sz w:val="24"/>
          <w:szCs w:val="24"/>
          <w:shd w:val="clear" w:color="auto" w:fill="FFFFFF"/>
        </w:rPr>
        <w:t>physica status solidi (b)</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256</w:t>
      </w:r>
      <w:r w:rsidRPr="00E83A8E">
        <w:rPr>
          <w:rFonts w:ascii="Times New Roman" w:hAnsi="Times New Roman" w:cs="Times New Roman"/>
          <w:color w:val="222222"/>
          <w:sz w:val="24"/>
          <w:szCs w:val="24"/>
          <w:shd w:val="clear" w:color="auto" w:fill="FFFFFF"/>
        </w:rPr>
        <w:t>(7), p.1800539.</w:t>
      </w:r>
    </w:p>
    <w:p w14:paraId="4094F5BD" w14:textId="77777777" w:rsidR="005401BC"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Belmekki, B.E.Y., Hamza, A. and Escrig, B., 2019, October. Outage analysis of cooperative noma using maximum ratio combining at intersections. In </w:t>
      </w:r>
      <w:r w:rsidRPr="00E83A8E">
        <w:rPr>
          <w:rFonts w:ascii="Times New Roman" w:hAnsi="Times New Roman" w:cs="Times New Roman"/>
          <w:i/>
          <w:iCs/>
          <w:color w:val="222222"/>
          <w:sz w:val="24"/>
          <w:szCs w:val="24"/>
          <w:shd w:val="clear" w:color="auto" w:fill="FFFFFF"/>
        </w:rPr>
        <w:t>2019 International Conference on Wireless and Mobile Computing, Networking and Communications (WiMob)</w:t>
      </w:r>
      <w:r w:rsidRPr="00E83A8E">
        <w:rPr>
          <w:rFonts w:ascii="Times New Roman" w:hAnsi="Times New Roman" w:cs="Times New Roman"/>
          <w:color w:val="222222"/>
          <w:sz w:val="24"/>
          <w:szCs w:val="24"/>
          <w:shd w:val="clear" w:color="auto" w:fill="FFFFFF"/>
        </w:rPr>
        <w:t> (pp. 1-6). IEEE.</w:t>
      </w:r>
    </w:p>
    <w:p w14:paraId="2DA439F0" w14:textId="77777777" w:rsidR="005401BC"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Yue, P., Luan, X., Yi, X., Cui, Z. and Wu, M., 2019. Beam-wander analysis in turbulent ocean with the effect of the eddy diffusivity ratio and the outer scale. </w:t>
      </w:r>
      <w:r w:rsidRPr="00E83A8E">
        <w:rPr>
          <w:rFonts w:ascii="Times New Roman" w:hAnsi="Times New Roman" w:cs="Times New Roman"/>
          <w:i/>
          <w:iCs/>
          <w:color w:val="222222"/>
          <w:sz w:val="24"/>
          <w:szCs w:val="24"/>
          <w:shd w:val="clear" w:color="auto" w:fill="FFFFFF"/>
        </w:rPr>
        <w:t>JOSA A</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36</w:t>
      </w:r>
      <w:r w:rsidRPr="00E83A8E">
        <w:rPr>
          <w:rFonts w:ascii="Times New Roman" w:hAnsi="Times New Roman" w:cs="Times New Roman"/>
          <w:color w:val="222222"/>
          <w:sz w:val="24"/>
          <w:szCs w:val="24"/>
          <w:shd w:val="clear" w:color="auto" w:fill="FFFFFF"/>
        </w:rPr>
        <w:t>(4), pp.556-562.</w:t>
      </w:r>
    </w:p>
    <w:p w14:paraId="104F83B5" w14:textId="77777777" w:rsidR="005401BC"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Nguyen, D.D., Lee, T.H., Nguyen, V.Q. and Park, D., 2019. Seismic damage analysis of box metro tunnels accounting for aspect ratio and shear failure. </w:t>
      </w:r>
      <w:r w:rsidRPr="00E83A8E">
        <w:rPr>
          <w:rFonts w:ascii="Times New Roman" w:hAnsi="Times New Roman" w:cs="Times New Roman"/>
          <w:i/>
          <w:iCs/>
          <w:color w:val="222222"/>
          <w:sz w:val="24"/>
          <w:szCs w:val="24"/>
          <w:shd w:val="clear" w:color="auto" w:fill="FFFFFF"/>
        </w:rPr>
        <w:t>Applied Sciences</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9</w:t>
      </w:r>
      <w:r w:rsidRPr="00E83A8E">
        <w:rPr>
          <w:rFonts w:ascii="Times New Roman" w:hAnsi="Times New Roman" w:cs="Times New Roman"/>
          <w:color w:val="222222"/>
          <w:sz w:val="24"/>
          <w:szCs w:val="24"/>
          <w:shd w:val="clear" w:color="auto" w:fill="FFFFFF"/>
        </w:rPr>
        <w:t>(16), p.3207.</w:t>
      </w:r>
    </w:p>
    <w:p w14:paraId="557C7039" w14:textId="77777777" w:rsidR="005401BC"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Lee, S.I., Lee, J. and Hwang, B., 2019. Microstructure-based prediction of yield ratio and uniform elongation in high-strength bainitic steels using multiple linear regression analysis. </w:t>
      </w:r>
      <w:r w:rsidRPr="00E83A8E">
        <w:rPr>
          <w:rFonts w:ascii="Times New Roman" w:hAnsi="Times New Roman" w:cs="Times New Roman"/>
          <w:i/>
          <w:iCs/>
          <w:color w:val="222222"/>
          <w:sz w:val="24"/>
          <w:szCs w:val="24"/>
          <w:shd w:val="clear" w:color="auto" w:fill="FFFFFF"/>
        </w:rPr>
        <w:t>Materials Science and Engineering: A</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758</w:t>
      </w:r>
      <w:r w:rsidRPr="00E83A8E">
        <w:rPr>
          <w:rFonts w:ascii="Times New Roman" w:hAnsi="Times New Roman" w:cs="Times New Roman"/>
          <w:color w:val="222222"/>
          <w:sz w:val="24"/>
          <w:szCs w:val="24"/>
          <w:shd w:val="clear" w:color="auto" w:fill="FFFFFF"/>
        </w:rPr>
        <w:t>, pp.56-59.</w:t>
      </w:r>
    </w:p>
    <w:p w14:paraId="21EA20C3" w14:textId="77777777" w:rsidR="005401BC" w:rsidRPr="00E83A8E" w:rsidRDefault="005401BC"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Rudasill, S.E., Liu, J. and Kamath, A.F., 2019. Revisiting the international normalized ratio (INR) threshold for complications in primary total knee arthroplasty: an analysis of 21,239 cases. </w:t>
      </w:r>
      <w:r w:rsidRPr="00E83A8E">
        <w:rPr>
          <w:rFonts w:ascii="Times New Roman" w:hAnsi="Times New Roman" w:cs="Times New Roman"/>
          <w:i/>
          <w:iCs/>
          <w:color w:val="222222"/>
          <w:sz w:val="24"/>
          <w:szCs w:val="24"/>
          <w:shd w:val="clear" w:color="auto" w:fill="FFFFFF"/>
        </w:rPr>
        <w:t>JBJS</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101</w:t>
      </w:r>
      <w:r w:rsidRPr="00E83A8E">
        <w:rPr>
          <w:rFonts w:ascii="Times New Roman" w:hAnsi="Times New Roman" w:cs="Times New Roman"/>
          <w:color w:val="222222"/>
          <w:sz w:val="24"/>
          <w:szCs w:val="24"/>
          <w:shd w:val="clear" w:color="auto" w:fill="FFFFFF"/>
        </w:rPr>
        <w:t>(6), pp.514-522.</w:t>
      </w:r>
    </w:p>
    <w:p w14:paraId="2DF79B74" w14:textId="77777777" w:rsidR="005401BC" w:rsidRPr="00E83A8E" w:rsidRDefault="00D12714"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lastRenderedPageBreak/>
        <w:t>Small, R., Dollie, Z. and Yasseen, Y., 2019. Independent review–understanding ratio analysis. </w:t>
      </w:r>
      <w:r w:rsidRPr="00E83A8E">
        <w:rPr>
          <w:rFonts w:ascii="Times New Roman" w:hAnsi="Times New Roman" w:cs="Times New Roman"/>
          <w:i/>
          <w:iCs/>
          <w:color w:val="222222"/>
          <w:sz w:val="24"/>
          <w:szCs w:val="24"/>
          <w:shd w:val="clear" w:color="auto" w:fill="FFFFFF"/>
        </w:rPr>
        <w:t>Professional Accountant</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2019</w:t>
      </w:r>
      <w:r w:rsidRPr="00E83A8E">
        <w:rPr>
          <w:rFonts w:ascii="Times New Roman" w:hAnsi="Times New Roman" w:cs="Times New Roman"/>
          <w:color w:val="222222"/>
          <w:sz w:val="24"/>
          <w:szCs w:val="24"/>
          <w:shd w:val="clear" w:color="auto" w:fill="FFFFFF"/>
        </w:rPr>
        <w:t>(35), pp.12-13.</w:t>
      </w:r>
    </w:p>
    <w:p w14:paraId="0F1376FA" w14:textId="77777777" w:rsidR="00D12714" w:rsidRPr="00E83A8E" w:rsidRDefault="00D12714"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Shelton IV, F.E., Bakos, G.J. and Harris, J.L., Ethicon LLC, 2019. </w:t>
      </w:r>
      <w:r w:rsidRPr="00E83A8E">
        <w:rPr>
          <w:rFonts w:ascii="Times New Roman" w:hAnsi="Times New Roman" w:cs="Times New Roman"/>
          <w:i/>
          <w:iCs/>
          <w:color w:val="222222"/>
          <w:sz w:val="24"/>
          <w:szCs w:val="24"/>
          <w:shd w:val="clear" w:color="auto" w:fill="FFFFFF"/>
        </w:rPr>
        <w:t>Surgical instrument comprising an articulation system ratio</w:t>
      </w:r>
      <w:r w:rsidRPr="00E83A8E">
        <w:rPr>
          <w:rFonts w:ascii="Times New Roman" w:hAnsi="Times New Roman" w:cs="Times New Roman"/>
          <w:color w:val="222222"/>
          <w:sz w:val="24"/>
          <w:szCs w:val="24"/>
          <w:shd w:val="clear" w:color="auto" w:fill="FFFFFF"/>
        </w:rPr>
        <w:t>. U.S. Patent Application 15/635,785.</w:t>
      </w:r>
    </w:p>
    <w:p w14:paraId="78C81362" w14:textId="77777777" w:rsidR="00D12714" w:rsidRPr="00E83A8E" w:rsidRDefault="00D12714"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MANISHA, C.L.C. and SATYANARAYANA, R., 2020. Ratio Analysis at Cormandel International Limited Kkd. </w:t>
      </w:r>
      <w:r w:rsidRPr="00E83A8E">
        <w:rPr>
          <w:rFonts w:ascii="Times New Roman" w:hAnsi="Times New Roman" w:cs="Times New Roman"/>
          <w:i/>
          <w:iCs/>
          <w:color w:val="222222"/>
          <w:sz w:val="24"/>
          <w:szCs w:val="24"/>
          <w:shd w:val="clear" w:color="auto" w:fill="FFFFFF"/>
        </w:rPr>
        <w:t>Studies in Indian Place Names</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40</w:t>
      </w:r>
      <w:r w:rsidRPr="00E83A8E">
        <w:rPr>
          <w:rFonts w:ascii="Times New Roman" w:hAnsi="Times New Roman" w:cs="Times New Roman"/>
          <w:color w:val="222222"/>
          <w:sz w:val="24"/>
          <w:szCs w:val="24"/>
          <w:shd w:val="clear" w:color="auto" w:fill="FFFFFF"/>
        </w:rPr>
        <w:t>(60), pp.5594-5600.</w:t>
      </w:r>
    </w:p>
    <w:p w14:paraId="2E9C8A24" w14:textId="0E20C5EB" w:rsidR="00D12714" w:rsidRPr="00E83A8E" w:rsidRDefault="00D12714"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 xml:space="preserve">Puustinen, J., Hilska, J. and Guina, M., 2019. Analysis of GaAsBi growth regimes in high resolution with respect to </w:t>
      </w:r>
      <w:r w:rsidR="005C6EEF" w:rsidRPr="00E83A8E">
        <w:rPr>
          <w:rFonts w:ascii="Times New Roman" w:hAnsi="Times New Roman" w:cs="Times New Roman"/>
          <w:color w:val="222222"/>
          <w:sz w:val="24"/>
          <w:szCs w:val="24"/>
          <w:shd w:val="clear" w:color="auto" w:fill="FFFFFF"/>
        </w:rPr>
        <w:t>as</w:t>
      </w:r>
      <w:r w:rsidRPr="00E83A8E">
        <w:rPr>
          <w:rFonts w:ascii="Times New Roman" w:hAnsi="Times New Roman" w:cs="Times New Roman"/>
          <w:color w:val="222222"/>
          <w:sz w:val="24"/>
          <w:szCs w:val="24"/>
          <w:shd w:val="clear" w:color="auto" w:fill="FFFFFF"/>
        </w:rPr>
        <w:t>/Ga ratio using stationary MBE growth. </w:t>
      </w:r>
      <w:r w:rsidRPr="00E83A8E">
        <w:rPr>
          <w:rFonts w:ascii="Times New Roman" w:hAnsi="Times New Roman" w:cs="Times New Roman"/>
          <w:i/>
          <w:iCs/>
          <w:color w:val="222222"/>
          <w:sz w:val="24"/>
          <w:szCs w:val="24"/>
          <w:shd w:val="clear" w:color="auto" w:fill="FFFFFF"/>
        </w:rPr>
        <w:t>Journal of Crystal Growth</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511</w:t>
      </w:r>
      <w:r w:rsidRPr="00E83A8E">
        <w:rPr>
          <w:rFonts w:ascii="Times New Roman" w:hAnsi="Times New Roman" w:cs="Times New Roman"/>
          <w:color w:val="222222"/>
          <w:sz w:val="24"/>
          <w:szCs w:val="24"/>
          <w:shd w:val="clear" w:color="auto" w:fill="FFFFFF"/>
        </w:rPr>
        <w:t>, pp.33-41.</w:t>
      </w:r>
    </w:p>
    <w:p w14:paraId="466C6483" w14:textId="77777777" w:rsidR="00D12714" w:rsidRPr="00E83A8E" w:rsidRDefault="00D12714"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Lei, Y.Y., Li, Y.T., Hu, Q.L., Wang, J. and Sui, A.X., 2019. Prognostic impact of neutrophil-to-lymphocyte ratio in gliomas: a systematic review and meta-analysis. </w:t>
      </w:r>
      <w:r w:rsidRPr="00E83A8E">
        <w:rPr>
          <w:rFonts w:ascii="Times New Roman" w:hAnsi="Times New Roman" w:cs="Times New Roman"/>
          <w:i/>
          <w:iCs/>
          <w:color w:val="222222"/>
          <w:sz w:val="24"/>
          <w:szCs w:val="24"/>
          <w:shd w:val="clear" w:color="auto" w:fill="FFFFFF"/>
        </w:rPr>
        <w:t>World journal of surgical oncology</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17</w:t>
      </w:r>
      <w:r w:rsidRPr="00E83A8E">
        <w:rPr>
          <w:rFonts w:ascii="Times New Roman" w:hAnsi="Times New Roman" w:cs="Times New Roman"/>
          <w:color w:val="222222"/>
          <w:sz w:val="24"/>
          <w:szCs w:val="24"/>
          <w:shd w:val="clear" w:color="auto" w:fill="FFFFFF"/>
        </w:rPr>
        <w:t>(1), p.152.</w:t>
      </w:r>
    </w:p>
    <w:p w14:paraId="4758E2D6" w14:textId="77777777" w:rsidR="00D12714" w:rsidRPr="00E83A8E" w:rsidRDefault="00D12714"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Shaikh, S., 2020. MCQ Ratio Analysis of Financial Statements.</w:t>
      </w:r>
    </w:p>
    <w:p w14:paraId="3802FF23" w14:textId="27EDD7B8" w:rsidR="00D12714" w:rsidRPr="00E83A8E" w:rsidRDefault="00D12714"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 xml:space="preserve">Raina, S., 2020. Ratio </w:t>
      </w:r>
      <w:r w:rsidR="005C6EEF" w:rsidRPr="00E83A8E">
        <w:rPr>
          <w:rFonts w:ascii="Times New Roman" w:hAnsi="Times New Roman" w:cs="Times New Roman"/>
          <w:color w:val="222222"/>
          <w:sz w:val="24"/>
          <w:szCs w:val="24"/>
          <w:shd w:val="clear" w:color="auto" w:fill="FFFFFF"/>
        </w:rPr>
        <w:t>Analysis: -</w:t>
      </w:r>
      <w:r w:rsidRPr="00E83A8E">
        <w:rPr>
          <w:rFonts w:ascii="Times New Roman" w:hAnsi="Times New Roman" w:cs="Times New Roman"/>
          <w:color w:val="222222"/>
          <w:sz w:val="24"/>
          <w:szCs w:val="24"/>
          <w:shd w:val="clear" w:color="auto" w:fill="FFFFFF"/>
        </w:rPr>
        <w:t>A Study on Performance of Hindustan Unilever Limited. </w:t>
      </w:r>
      <w:r w:rsidRPr="00E83A8E">
        <w:rPr>
          <w:rFonts w:ascii="Times New Roman" w:hAnsi="Times New Roman" w:cs="Times New Roman"/>
          <w:i/>
          <w:iCs/>
          <w:color w:val="222222"/>
          <w:sz w:val="24"/>
          <w:szCs w:val="24"/>
          <w:shd w:val="clear" w:color="auto" w:fill="FFFFFF"/>
        </w:rPr>
        <w:t>Tathapi with ISSN 2320-0693 is an UGC CARE Journal</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19</w:t>
      </w:r>
      <w:r w:rsidRPr="00E83A8E">
        <w:rPr>
          <w:rFonts w:ascii="Times New Roman" w:hAnsi="Times New Roman" w:cs="Times New Roman"/>
          <w:color w:val="222222"/>
          <w:sz w:val="24"/>
          <w:szCs w:val="24"/>
          <w:shd w:val="clear" w:color="auto" w:fill="FFFFFF"/>
        </w:rPr>
        <w:t>(32), pp.271-282.</w:t>
      </w:r>
    </w:p>
    <w:p w14:paraId="6602C1EC" w14:textId="77777777" w:rsidR="00D12714" w:rsidRPr="00E83A8E" w:rsidRDefault="00D12714"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Sanny, A. and Yanti, E.D., 2019. Du Pont Analysis Integrative Approach to Ratio Analysis at PT. Federal International Finance. </w:t>
      </w:r>
      <w:r w:rsidRPr="00E83A8E">
        <w:rPr>
          <w:rFonts w:ascii="Times New Roman" w:hAnsi="Times New Roman" w:cs="Times New Roman"/>
          <w:i/>
          <w:iCs/>
          <w:color w:val="222222"/>
          <w:sz w:val="24"/>
          <w:szCs w:val="24"/>
          <w:shd w:val="clear" w:color="auto" w:fill="FFFFFF"/>
        </w:rPr>
        <w:t>International Journal of Research and Review</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6</w:t>
      </w:r>
      <w:r w:rsidRPr="00E83A8E">
        <w:rPr>
          <w:rFonts w:ascii="Times New Roman" w:hAnsi="Times New Roman" w:cs="Times New Roman"/>
          <w:color w:val="222222"/>
          <w:sz w:val="24"/>
          <w:szCs w:val="24"/>
          <w:shd w:val="clear" w:color="auto" w:fill="FFFFFF"/>
        </w:rPr>
        <w:t>(11), pp.319-326.</w:t>
      </w:r>
    </w:p>
    <w:p w14:paraId="12D65D45" w14:textId="0E672D91" w:rsidR="00D12714" w:rsidRPr="00E83A8E" w:rsidRDefault="00D12714"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Karlin, S. and Lessard, S., 2020. </w:t>
      </w:r>
      <w:r w:rsidRPr="00E83A8E">
        <w:rPr>
          <w:rFonts w:ascii="Times New Roman" w:hAnsi="Times New Roman" w:cs="Times New Roman"/>
          <w:i/>
          <w:iCs/>
          <w:color w:val="222222"/>
          <w:sz w:val="24"/>
          <w:szCs w:val="24"/>
          <w:shd w:val="clear" w:color="auto" w:fill="FFFFFF"/>
        </w:rPr>
        <w:t xml:space="preserve">Theoretical Studies on Sex Ratio </w:t>
      </w:r>
      <w:r w:rsidR="005C6EEF" w:rsidRPr="00E83A8E">
        <w:rPr>
          <w:rFonts w:ascii="Times New Roman" w:hAnsi="Times New Roman" w:cs="Times New Roman"/>
          <w:i/>
          <w:iCs/>
          <w:color w:val="222222"/>
          <w:sz w:val="24"/>
          <w:szCs w:val="24"/>
          <w:shd w:val="clear" w:color="auto" w:fill="FFFFFF"/>
        </w:rPr>
        <w:t>Evolution. (</w:t>
      </w:r>
      <w:r w:rsidRPr="00E83A8E">
        <w:rPr>
          <w:rFonts w:ascii="Times New Roman" w:hAnsi="Times New Roman" w:cs="Times New Roman"/>
          <w:i/>
          <w:iCs/>
          <w:color w:val="222222"/>
          <w:sz w:val="24"/>
          <w:szCs w:val="24"/>
          <w:shd w:val="clear" w:color="auto" w:fill="FFFFFF"/>
        </w:rPr>
        <w:t>MPB-22), Volume 22</w:t>
      </w:r>
      <w:r w:rsidRPr="00E83A8E">
        <w:rPr>
          <w:rFonts w:ascii="Times New Roman" w:hAnsi="Times New Roman" w:cs="Times New Roman"/>
          <w:color w:val="222222"/>
          <w:sz w:val="24"/>
          <w:szCs w:val="24"/>
          <w:shd w:val="clear" w:color="auto" w:fill="FFFFFF"/>
        </w:rPr>
        <w:t> (Vol. 115). Princeton University Press.</w:t>
      </w:r>
    </w:p>
    <w:p w14:paraId="44C4CE13" w14:textId="77777777" w:rsidR="00D12714" w:rsidRPr="00E83A8E" w:rsidRDefault="00D12714" w:rsidP="0002418F">
      <w:pPr>
        <w:spacing w:line="240" w:lineRule="auto"/>
        <w:ind w:left="720" w:hanging="720"/>
        <w:jc w:val="both"/>
        <w:rPr>
          <w:rFonts w:ascii="Times New Roman" w:hAnsi="Times New Roman" w:cs="Times New Roman"/>
          <w:color w:val="222222"/>
          <w:sz w:val="24"/>
          <w:szCs w:val="24"/>
          <w:shd w:val="clear" w:color="auto" w:fill="FFFFFF"/>
        </w:rPr>
      </w:pPr>
      <w:r w:rsidRPr="00E83A8E">
        <w:rPr>
          <w:rFonts w:ascii="Times New Roman" w:hAnsi="Times New Roman" w:cs="Times New Roman"/>
          <w:color w:val="222222"/>
          <w:sz w:val="24"/>
          <w:szCs w:val="24"/>
          <w:shd w:val="clear" w:color="auto" w:fill="FFFFFF"/>
        </w:rPr>
        <w:t>RAO, G.D. and NARAYANA, R.S., 2020. Ratio Analysis (At International Paper Appm Ltd, Kadiyam, East Godavari Dt, Ap). </w:t>
      </w:r>
      <w:r w:rsidRPr="00E83A8E">
        <w:rPr>
          <w:rFonts w:ascii="Times New Roman" w:hAnsi="Times New Roman" w:cs="Times New Roman"/>
          <w:i/>
          <w:iCs/>
          <w:color w:val="222222"/>
          <w:sz w:val="24"/>
          <w:szCs w:val="24"/>
          <w:shd w:val="clear" w:color="auto" w:fill="FFFFFF"/>
        </w:rPr>
        <w:t>Studies in Indian Place Names</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40</w:t>
      </w:r>
      <w:r w:rsidRPr="00E83A8E">
        <w:rPr>
          <w:rFonts w:ascii="Times New Roman" w:hAnsi="Times New Roman" w:cs="Times New Roman"/>
          <w:color w:val="222222"/>
          <w:sz w:val="24"/>
          <w:szCs w:val="24"/>
          <w:shd w:val="clear" w:color="auto" w:fill="FFFFFF"/>
        </w:rPr>
        <w:t>(60), pp.5636-5645.</w:t>
      </w:r>
    </w:p>
    <w:p w14:paraId="4D22769C" w14:textId="77777777" w:rsidR="00D12714" w:rsidRPr="00E83A8E" w:rsidRDefault="00D12714" w:rsidP="0002418F">
      <w:pPr>
        <w:spacing w:line="240" w:lineRule="auto"/>
        <w:ind w:left="720" w:hanging="720"/>
        <w:jc w:val="both"/>
        <w:rPr>
          <w:rFonts w:ascii="Times New Roman" w:hAnsi="Times New Roman" w:cs="Times New Roman"/>
          <w:sz w:val="24"/>
          <w:szCs w:val="24"/>
          <w:lang w:val="en-GB" w:eastAsia="ar-SA"/>
        </w:rPr>
      </w:pPr>
      <w:r w:rsidRPr="00E83A8E">
        <w:rPr>
          <w:rFonts w:ascii="Times New Roman" w:hAnsi="Times New Roman" w:cs="Times New Roman"/>
          <w:color w:val="222222"/>
          <w:sz w:val="24"/>
          <w:szCs w:val="24"/>
          <w:shd w:val="clear" w:color="auto" w:fill="FFFFFF"/>
        </w:rPr>
        <w:t>WADEKAR, S. and ASHTEKAR, M.S.M., 2020. Working Capital Management with Ratio Analysis in BG Shirke construction Pvt. Ltd. </w:t>
      </w:r>
      <w:r w:rsidRPr="00E83A8E">
        <w:rPr>
          <w:rFonts w:ascii="Times New Roman" w:hAnsi="Times New Roman" w:cs="Times New Roman"/>
          <w:i/>
          <w:iCs/>
          <w:color w:val="222222"/>
          <w:sz w:val="24"/>
          <w:szCs w:val="24"/>
          <w:shd w:val="clear" w:color="auto" w:fill="FFFFFF"/>
        </w:rPr>
        <w:t>Studies in Indian Place Names</w:t>
      </w:r>
      <w:r w:rsidRPr="00E83A8E">
        <w:rPr>
          <w:rFonts w:ascii="Times New Roman" w:hAnsi="Times New Roman" w:cs="Times New Roman"/>
          <w:color w:val="222222"/>
          <w:sz w:val="24"/>
          <w:szCs w:val="24"/>
          <w:shd w:val="clear" w:color="auto" w:fill="FFFFFF"/>
        </w:rPr>
        <w:t>, </w:t>
      </w:r>
      <w:r w:rsidRPr="00E83A8E">
        <w:rPr>
          <w:rFonts w:ascii="Times New Roman" w:hAnsi="Times New Roman" w:cs="Times New Roman"/>
          <w:i/>
          <w:iCs/>
          <w:color w:val="222222"/>
          <w:sz w:val="24"/>
          <w:szCs w:val="24"/>
          <w:shd w:val="clear" w:color="auto" w:fill="FFFFFF"/>
        </w:rPr>
        <w:t>40</w:t>
      </w:r>
      <w:r w:rsidRPr="00E83A8E">
        <w:rPr>
          <w:rFonts w:ascii="Times New Roman" w:hAnsi="Times New Roman" w:cs="Times New Roman"/>
          <w:color w:val="222222"/>
          <w:sz w:val="24"/>
          <w:szCs w:val="24"/>
          <w:shd w:val="clear" w:color="auto" w:fill="FFFFFF"/>
        </w:rPr>
        <w:t>(70), pp.4677-4689.</w:t>
      </w:r>
    </w:p>
    <w:sectPr w:rsidR="00D12714" w:rsidRPr="00E83A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E0586A"/>
    <w:multiLevelType w:val="hybridMultilevel"/>
    <w:tmpl w:val="448E4A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F65905"/>
    <w:multiLevelType w:val="hybridMultilevel"/>
    <w:tmpl w:val="A7F4E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BD6A20"/>
    <w:multiLevelType w:val="hybridMultilevel"/>
    <w:tmpl w:val="1F06A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7328A8"/>
    <w:multiLevelType w:val="hybridMultilevel"/>
    <w:tmpl w:val="16481C52"/>
    <w:lvl w:ilvl="0" w:tplc="8C5AFC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8E2A3E"/>
    <w:multiLevelType w:val="hybridMultilevel"/>
    <w:tmpl w:val="6D6AE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2201BD"/>
    <w:multiLevelType w:val="hybridMultilevel"/>
    <w:tmpl w:val="091A6D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6"/>
  </w:num>
  <w:num w:numId="4">
    <w:abstractNumId w:val="2"/>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3C3"/>
    <w:rsid w:val="0002418F"/>
    <w:rsid w:val="00105764"/>
    <w:rsid w:val="00272DBD"/>
    <w:rsid w:val="00294520"/>
    <w:rsid w:val="00522E3B"/>
    <w:rsid w:val="005401BC"/>
    <w:rsid w:val="005518F8"/>
    <w:rsid w:val="005C6EEF"/>
    <w:rsid w:val="005C7488"/>
    <w:rsid w:val="00653A95"/>
    <w:rsid w:val="009000E1"/>
    <w:rsid w:val="00947472"/>
    <w:rsid w:val="009903C3"/>
    <w:rsid w:val="00A6156B"/>
    <w:rsid w:val="00C13E80"/>
    <w:rsid w:val="00C22704"/>
    <w:rsid w:val="00CF6D7B"/>
    <w:rsid w:val="00D12714"/>
    <w:rsid w:val="00D76DB9"/>
    <w:rsid w:val="00E83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76371"/>
  <w15:chartTrackingRefBased/>
  <w15:docId w15:val="{FF4B9D56-DE79-449B-8549-72C3FFE50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94520"/>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val="en-GB" w:eastAsia="ar-SA"/>
    </w:rPr>
  </w:style>
  <w:style w:type="paragraph" w:styleId="Heading2">
    <w:name w:val="heading 2"/>
    <w:basedOn w:val="Normal"/>
    <w:next w:val="Normal"/>
    <w:link w:val="Heading2Char"/>
    <w:uiPriority w:val="9"/>
    <w:semiHidden/>
    <w:unhideWhenUsed/>
    <w:qFormat/>
    <w:rsid w:val="002945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4520"/>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uiPriority w:val="9"/>
    <w:semiHidden/>
    <w:rsid w:val="00294520"/>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5C7488"/>
    <w:pPr>
      <w:ind w:left="720"/>
      <w:contextualSpacing/>
    </w:pPr>
  </w:style>
  <w:style w:type="paragraph" w:styleId="TOCHeading">
    <w:name w:val="TOC Heading"/>
    <w:basedOn w:val="Heading1"/>
    <w:next w:val="Normal"/>
    <w:uiPriority w:val="39"/>
    <w:unhideWhenUsed/>
    <w:qFormat/>
    <w:rsid w:val="00653A95"/>
    <w:pPr>
      <w:numPr>
        <w:numId w:val="0"/>
      </w:numPr>
      <w:suppressAutoHyphens w:val="0"/>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653A95"/>
    <w:pPr>
      <w:spacing w:after="100"/>
    </w:pPr>
  </w:style>
  <w:style w:type="paragraph" w:styleId="TOC2">
    <w:name w:val="toc 2"/>
    <w:basedOn w:val="Normal"/>
    <w:next w:val="Normal"/>
    <w:autoRedefine/>
    <w:uiPriority w:val="39"/>
    <w:unhideWhenUsed/>
    <w:rsid w:val="00653A95"/>
    <w:pPr>
      <w:spacing w:after="100"/>
      <w:ind w:left="220"/>
    </w:pPr>
  </w:style>
  <w:style w:type="character" w:styleId="Hyperlink">
    <w:name w:val="Hyperlink"/>
    <w:basedOn w:val="DefaultParagraphFont"/>
    <w:uiPriority w:val="99"/>
    <w:unhideWhenUsed/>
    <w:rsid w:val="00653A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user\Desktop\sanju\2%20July\ratios.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user\Desktop\sanju\2%20July\ratios.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user\Desktop\sanju\2%20July\ratios.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user\Desktop\sanju\2%20July\ratios.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user\Desktop\sanju\2%20July\ratios.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user\Desktop\sanju\2%20July\ratios.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user\Desktop\sanju\2%20July\ratios.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C:\Users\user\Desktop\sanju\2%20July\ratio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Sheet2!$A$3</c:f>
              <c:strCache>
                <c:ptCount val="1"/>
                <c:pt idx="0">
                  <c:v>Gross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Sheet2!$B$2:$C$2</c:f>
              <c:numCache>
                <c:formatCode>General</c:formatCode>
                <c:ptCount val="2"/>
                <c:pt idx="0">
                  <c:v>2018</c:v>
                </c:pt>
                <c:pt idx="1">
                  <c:v>2019</c:v>
                </c:pt>
              </c:numCache>
            </c:numRef>
          </c:cat>
          <c:val>
            <c:numRef>
              <c:f>Sheet2!$B$3:$C$3</c:f>
              <c:numCache>
                <c:formatCode>General</c:formatCode>
                <c:ptCount val="2"/>
                <c:pt idx="0">
                  <c:v>91.82</c:v>
                </c:pt>
                <c:pt idx="1">
                  <c:v>85.83</c:v>
                </c:pt>
              </c:numCache>
            </c:numRef>
          </c:val>
          <c:extLst>
            <c:ext xmlns:c16="http://schemas.microsoft.com/office/drawing/2014/chart" uri="{C3380CC4-5D6E-409C-BE32-E72D297353CC}">
              <c16:uniqueId val="{00000000-A353-4B23-965D-7D87CF36ABB5}"/>
            </c:ext>
          </c:extLst>
        </c:ser>
        <c:dLbls>
          <c:showLegendKey val="0"/>
          <c:showVal val="0"/>
          <c:showCatName val="0"/>
          <c:showSerName val="0"/>
          <c:showPercent val="0"/>
          <c:showBubbleSize val="0"/>
        </c:dLbls>
        <c:gapWidth val="219"/>
        <c:overlap val="-27"/>
        <c:axId val="327290352"/>
        <c:axId val="508174288"/>
      </c:barChart>
      <c:catAx>
        <c:axId val="327290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174288"/>
        <c:crosses val="autoZero"/>
        <c:auto val="1"/>
        <c:lblAlgn val="ctr"/>
        <c:lblOffset val="100"/>
        <c:noMultiLvlLbl val="0"/>
      </c:catAx>
      <c:valAx>
        <c:axId val="508174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290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Sheet3!$A$3</c:f>
              <c:strCache>
                <c:ptCount val="1"/>
                <c:pt idx="0">
                  <c:v>Net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Sheet3!$B$2:$C$2</c:f>
              <c:numCache>
                <c:formatCode>General</c:formatCode>
                <c:ptCount val="2"/>
                <c:pt idx="0">
                  <c:v>2018</c:v>
                </c:pt>
                <c:pt idx="1">
                  <c:v>2019</c:v>
                </c:pt>
              </c:numCache>
            </c:numRef>
          </c:cat>
          <c:val>
            <c:numRef>
              <c:f>Sheet3!$B$3:$C$3</c:f>
              <c:numCache>
                <c:formatCode>General</c:formatCode>
                <c:ptCount val="2"/>
                <c:pt idx="0">
                  <c:v>72.87</c:v>
                </c:pt>
                <c:pt idx="1">
                  <c:v>67.88</c:v>
                </c:pt>
              </c:numCache>
            </c:numRef>
          </c:val>
          <c:extLst>
            <c:ext xmlns:c16="http://schemas.microsoft.com/office/drawing/2014/chart" uri="{C3380CC4-5D6E-409C-BE32-E72D297353CC}">
              <c16:uniqueId val="{00000000-F708-4DD5-B87F-09B3497AA5A4}"/>
            </c:ext>
          </c:extLst>
        </c:ser>
        <c:dLbls>
          <c:showLegendKey val="0"/>
          <c:showVal val="0"/>
          <c:showCatName val="0"/>
          <c:showSerName val="0"/>
          <c:showPercent val="0"/>
          <c:showBubbleSize val="0"/>
        </c:dLbls>
        <c:gapWidth val="219"/>
        <c:overlap val="-27"/>
        <c:axId val="509883376"/>
        <c:axId val="509877136"/>
      </c:barChart>
      <c:catAx>
        <c:axId val="509883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877136"/>
        <c:crosses val="autoZero"/>
        <c:auto val="1"/>
        <c:lblAlgn val="ctr"/>
        <c:lblOffset val="100"/>
        <c:noMultiLvlLbl val="0"/>
      </c:catAx>
      <c:valAx>
        <c:axId val="509877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883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Sheet4!$A$2</c:f>
              <c:strCache>
                <c:ptCount val="1"/>
                <c:pt idx="0">
                  <c:v>Return on assets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Sheet4!$B$1:$C$1</c:f>
              <c:numCache>
                <c:formatCode>General</c:formatCode>
                <c:ptCount val="2"/>
                <c:pt idx="0">
                  <c:v>2018</c:v>
                </c:pt>
                <c:pt idx="1">
                  <c:v>2019</c:v>
                </c:pt>
              </c:numCache>
            </c:numRef>
          </c:cat>
          <c:val>
            <c:numRef>
              <c:f>Sheet4!$B$2:$C$2</c:f>
              <c:numCache>
                <c:formatCode>General</c:formatCode>
                <c:ptCount val="2"/>
                <c:pt idx="0">
                  <c:v>0.53</c:v>
                </c:pt>
                <c:pt idx="1">
                  <c:v>0.52</c:v>
                </c:pt>
              </c:numCache>
            </c:numRef>
          </c:val>
          <c:extLst>
            <c:ext xmlns:c16="http://schemas.microsoft.com/office/drawing/2014/chart" uri="{C3380CC4-5D6E-409C-BE32-E72D297353CC}">
              <c16:uniqueId val="{00000000-A3DA-473E-9A36-765E1C603848}"/>
            </c:ext>
          </c:extLst>
        </c:ser>
        <c:dLbls>
          <c:showLegendKey val="0"/>
          <c:showVal val="0"/>
          <c:showCatName val="0"/>
          <c:showSerName val="0"/>
          <c:showPercent val="0"/>
          <c:showBubbleSize val="0"/>
        </c:dLbls>
        <c:gapWidth val="219"/>
        <c:overlap val="-27"/>
        <c:axId val="515831920"/>
        <c:axId val="515828592"/>
      </c:barChart>
      <c:catAx>
        <c:axId val="515831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828592"/>
        <c:crosses val="autoZero"/>
        <c:auto val="1"/>
        <c:lblAlgn val="ctr"/>
        <c:lblOffset val="100"/>
        <c:noMultiLvlLbl val="0"/>
      </c:catAx>
      <c:valAx>
        <c:axId val="515828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83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Sheet5!$A$2</c:f>
              <c:strCache>
                <c:ptCount val="1"/>
                <c:pt idx="0">
                  <c:v>ROE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Sheet5!$B$1:$C$1</c:f>
              <c:numCache>
                <c:formatCode>General</c:formatCode>
                <c:ptCount val="2"/>
                <c:pt idx="0">
                  <c:v>2018</c:v>
                </c:pt>
                <c:pt idx="1">
                  <c:v>2019</c:v>
                </c:pt>
              </c:numCache>
            </c:numRef>
          </c:cat>
          <c:val>
            <c:numRef>
              <c:f>Sheet5!$B$2:$C$2</c:f>
              <c:numCache>
                <c:formatCode>General</c:formatCode>
                <c:ptCount val="2"/>
                <c:pt idx="0">
                  <c:v>0.81</c:v>
                </c:pt>
                <c:pt idx="1">
                  <c:v>0.82</c:v>
                </c:pt>
              </c:numCache>
            </c:numRef>
          </c:val>
          <c:extLst>
            <c:ext xmlns:c16="http://schemas.microsoft.com/office/drawing/2014/chart" uri="{C3380CC4-5D6E-409C-BE32-E72D297353CC}">
              <c16:uniqueId val="{00000000-F980-4446-8FCE-803FB1FD820F}"/>
            </c:ext>
          </c:extLst>
        </c:ser>
        <c:dLbls>
          <c:showLegendKey val="0"/>
          <c:showVal val="0"/>
          <c:showCatName val="0"/>
          <c:showSerName val="0"/>
          <c:showPercent val="0"/>
          <c:showBubbleSize val="0"/>
        </c:dLbls>
        <c:gapWidth val="219"/>
        <c:overlap val="-27"/>
        <c:axId val="515832752"/>
        <c:axId val="515833168"/>
      </c:barChart>
      <c:catAx>
        <c:axId val="515832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833168"/>
        <c:crosses val="autoZero"/>
        <c:auto val="1"/>
        <c:lblAlgn val="ctr"/>
        <c:lblOffset val="100"/>
        <c:noMultiLvlLbl val="0"/>
      </c:catAx>
      <c:valAx>
        <c:axId val="515833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832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Sheet6!$A$3</c:f>
              <c:strCache>
                <c:ptCount val="1"/>
                <c:pt idx="0">
                  <c:v>Current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Sheet6!$B$2:$C$2</c:f>
              <c:numCache>
                <c:formatCode>General</c:formatCode>
                <c:ptCount val="2"/>
                <c:pt idx="0">
                  <c:v>2018</c:v>
                </c:pt>
                <c:pt idx="1">
                  <c:v>2019</c:v>
                </c:pt>
              </c:numCache>
            </c:numRef>
          </c:cat>
          <c:val>
            <c:numRef>
              <c:f>Sheet6!$B$3:$C$3</c:f>
              <c:numCache>
                <c:formatCode>General</c:formatCode>
                <c:ptCount val="2"/>
                <c:pt idx="0">
                  <c:v>1.29</c:v>
                </c:pt>
                <c:pt idx="1">
                  <c:v>1</c:v>
                </c:pt>
              </c:numCache>
            </c:numRef>
          </c:val>
          <c:extLst>
            <c:ext xmlns:c16="http://schemas.microsoft.com/office/drawing/2014/chart" uri="{C3380CC4-5D6E-409C-BE32-E72D297353CC}">
              <c16:uniqueId val="{00000000-8662-477B-8891-F0FF247A0066}"/>
            </c:ext>
          </c:extLst>
        </c:ser>
        <c:dLbls>
          <c:showLegendKey val="0"/>
          <c:showVal val="0"/>
          <c:showCatName val="0"/>
          <c:showSerName val="0"/>
          <c:showPercent val="0"/>
          <c:showBubbleSize val="0"/>
        </c:dLbls>
        <c:gapWidth val="219"/>
        <c:overlap val="-27"/>
        <c:axId val="515830672"/>
        <c:axId val="515826096"/>
      </c:barChart>
      <c:catAx>
        <c:axId val="515830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826096"/>
        <c:crosses val="autoZero"/>
        <c:auto val="1"/>
        <c:lblAlgn val="ctr"/>
        <c:lblOffset val="100"/>
        <c:noMultiLvlLbl val="0"/>
      </c:catAx>
      <c:valAx>
        <c:axId val="515826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8306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Sheet7!$A$2</c:f>
              <c:strCache>
                <c:ptCount val="1"/>
                <c:pt idx="0">
                  <c:v>Quick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Sheet7!$B$1:$C$1</c:f>
              <c:numCache>
                <c:formatCode>General</c:formatCode>
                <c:ptCount val="2"/>
                <c:pt idx="0">
                  <c:v>2018</c:v>
                </c:pt>
                <c:pt idx="1">
                  <c:v>2019</c:v>
                </c:pt>
              </c:numCache>
            </c:numRef>
          </c:cat>
          <c:val>
            <c:numRef>
              <c:f>Sheet7!$B$2:$C$2</c:f>
              <c:numCache>
                <c:formatCode>General</c:formatCode>
                <c:ptCount val="2"/>
                <c:pt idx="0">
                  <c:v>0.21</c:v>
                </c:pt>
                <c:pt idx="1">
                  <c:v>0.13</c:v>
                </c:pt>
              </c:numCache>
            </c:numRef>
          </c:val>
          <c:extLst>
            <c:ext xmlns:c16="http://schemas.microsoft.com/office/drawing/2014/chart" uri="{C3380CC4-5D6E-409C-BE32-E72D297353CC}">
              <c16:uniqueId val="{00000000-A0A5-4778-90EE-10D6FDFBB80B}"/>
            </c:ext>
          </c:extLst>
        </c:ser>
        <c:dLbls>
          <c:showLegendKey val="0"/>
          <c:showVal val="0"/>
          <c:showCatName val="0"/>
          <c:showSerName val="0"/>
          <c:showPercent val="0"/>
          <c:showBubbleSize val="0"/>
        </c:dLbls>
        <c:gapWidth val="219"/>
        <c:overlap val="-27"/>
        <c:axId val="519416144"/>
        <c:axId val="519419472"/>
      </c:barChart>
      <c:catAx>
        <c:axId val="519416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419472"/>
        <c:crosses val="autoZero"/>
        <c:auto val="1"/>
        <c:lblAlgn val="ctr"/>
        <c:lblOffset val="100"/>
        <c:noMultiLvlLbl val="0"/>
      </c:catAx>
      <c:valAx>
        <c:axId val="519419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416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Sheet8!$A$3</c:f>
              <c:strCache>
                <c:ptCount val="1"/>
                <c:pt idx="0">
                  <c:v>Debt to equity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Sheet8!$B$2:$C$2</c:f>
              <c:numCache>
                <c:formatCode>General</c:formatCode>
                <c:ptCount val="2"/>
                <c:pt idx="0">
                  <c:v>2018</c:v>
                </c:pt>
                <c:pt idx="1">
                  <c:v>2019</c:v>
                </c:pt>
              </c:numCache>
            </c:numRef>
          </c:cat>
          <c:val>
            <c:numRef>
              <c:f>Sheet8!$B$3:$C$3</c:f>
              <c:numCache>
                <c:formatCode>General</c:formatCode>
                <c:ptCount val="2"/>
                <c:pt idx="0">
                  <c:v>0.34</c:v>
                </c:pt>
                <c:pt idx="1">
                  <c:v>0.34</c:v>
                </c:pt>
              </c:numCache>
            </c:numRef>
          </c:val>
          <c:extLst>
            <c:ext xmlns:c16="http://schemas.microsoft.com/office/drawing/2014/chart" uri="{C3380CC4-5D6E-409C-BE32-E72D297353CC}">
              <c16:uniqueId val="{00000000-AC5B-4314-B0AE-29545E708BF7}"/>
            </c:ext>
          </c:extLst>
        </c:ser>
        <c:dLbls>
          <c:showLegendKey val="0"/>
          <c:showVal val="0"/>
          <c:showCatName val="0"/>
          <c:showSerName val="0"/>
          <c:showPercent val="0"/>
          <c:showBubbleSize val="0"/>
        </c:dLbls>
        <c:gapWidth val="219"/>
        <c:overlap val="-27"/>
        <c:axId val="325039408"/>
        <c:axId val="325037744"/>
      </c:barChart>
      <c:catAx>
        <c:axId val="325039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037744"/>
        <c:crosses val="autoZero"/>
        <c:auto val="1"/>
        <c:lblAlgn val="ctr"/>
        <c:lblOffset val="100"/>
        <c:noMultiLvlLbl val="0"/>
      </c:catAx>
      <c:valAx>
        <c:axId val="325037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5039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Sheet10!$A$3</c:f>
              <c:strCache>
                <c:ptCount val="1"/>
                <c:pt idx="0">
                  <c:v>Debt ratio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Sheet10!$B$2:$C$2</c:f>
              <c:numCache>
                <c:formatCode>General</c:formatCode>
                <c:ptCount val="2"/>
                <c:pt idx="0">
                  <c:v>2018</c:v>
                </c:pt>
                <c:pt idx="1">
                  <c:v>2019</c:v>
                </c:pt>
              </c:numCache>
            </c:numRef>
          </c:cat>
          <c:val>
            <c:numRef>
              <c:f>Sheet10!$B$3:$C$3</c:f>
              <c:numCache>
                <c:formatCode>General</c:formatCode>
                <c:ptCount val="2"/>
                <c:pt idx="0">
                  <c:v>1.24</c:v>
                </c:pt>
                <c:pt idx="1">
                  <c:v>1.29</c:v>
                </c:pt>
              </c:numCache>
            </c:numRef>
          </c:val>
          <c:extLst>
            <c:ext xmlns:c16="http://schemas.microsoft.com/office/drawing/2014/chart" uri="{C3380CC4-5D6E-409C-BE32-E72D297353CC}">
              <c16:uniqueId val="{00000000-4090-40A0-AD43-4F0D6EF99718}"/>
            </c:ext>
          </c:extLst>
        </c:ser>
        <c:dLbls>
          <c:showLegendKey val="0"/>
          <c:showVal val="0"/>
          <c:showCatName val="0"/>
          <c:showSerName val="0"/>
          <c:showPercent val="0"/>
          <c:showBubbleSize val="0"/>
        </c:dLbls>
        <c:gapWidth val="219"/>
        <c:overlap val="-27"/>
        <c:axId val="576986160"/>
        <c:axId val="576982416"/>
      </c:barChart>
      <c:catAx>
        <c:axId val="576986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982416"/>
        <c:crosses val="autoZero"/>
        <c:auto val="1"/>
        <c:lblAlgn val="ctr"/>
        <c:lblOffset val="100"/>
        <c:noMultiLvlLbl val="0"/>
      </c:catAx>
      <c:valAx>
        <c:axId val="576982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986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7C5D7-9124-4C5C-9460-4B6D78C1E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16</Pages>
  <Words>2689</Words>
  <Characters>15330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mihai anghel cristea</cp:lastModifiedBy>
  <cp:revision>84</cp:revision>
  <dcterms:created xsi:type="dcterms:W3CDTF">2020-07-03T12:02:00Z</dcterms:created>
  <dcterms:modified xsi:type="dcterms:W3CDTF">2020-07-03T19:16:00Z</dcterms:modified>
</cp:coreProperties>
</file>