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5524" w:rsidRPr="009D40E8" w:rsidRDefault="00265524" w:rsidP="00613DEF">
      <w:pPr>
        <w:pStyle w:val="BodyText"/>
        <w:spacing w:line="360" w:lineRule="auto"/>
        <w:ind w:left="737"/>
        <w:jc w:val="center"/>
        <w:rPr>
          <w:rFonts w:ascii="Arial" w:hAnsi="Arial" w:cs="Arial"/>
        </w:rPr>
      </w:pPr>
      <w:r w:rsidRPr="009D40E8">
        <w:rPr>
          <w:rFonts w:ascii="Arial" w:hAnsi="Arial" w:cs="Arial"/>
          <w:noProof/>
        </w:rPr>
        <w:drawing>
          <wp:inline distT="0" distB="0" distL="0" distR="0" wp14:anchorId="438CDA81" wp14:editId="0DA76D38">
            <wp:extent cx="3145774" cy="1065276"/>
            <wp:effectExtent l="0" t="0" r="0" b="0"/>
            <wp:docPr id="1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3145774" cy="1065276"/>
                    </a:xfrm>
                    <a:prstGeom prst="rect">
                      <a:avLst/>
                    </a:prstGeom>
                  </pic:spPr>
                </pic:pic>
              </a:graphicData>
            </a:graphic>
          </wp:inline>
        </w:drawing>
      </w:r>
    </w:p>
    <w:p w:rsidR="00265524" w:rsidRPr="009D40E8" w:rsidRDefault="00265524" w:rsidP="00613DEF">
      <w:pPr>
        <w:pStyle w:val="BodyText"/>
        <w:spacing w:line="360" w:lineRule="auto"/>
        <w:ind w:left="737"/>
        <w:rPr>
          <w:rFonts w:ascii="Arial" w:hAnsi="Arial" w:cs="Arial"/>
        </w:rPr>
      </w:pPr>
    </w:p>
    <w:p w:rsidR="00265524" w:rsidRPr="009D40E8" w:rsidRDefault="00265524" w:rsidP="00613DEF">
      <w:pPr>
        <w:spacing w:line="360" w:lineRule="auto"/>
        <w:ind w:left="737" w:right="1688"/>
        <w:jc w:val="both"/>
        <w:rPr>
          <w:rFonts w:ascii="Arial" w:hAnsi="Arial" w:cs="Arial"/>
          <w:b/>
          <w:sz w:val="24"/>
          <w:szCs w:val="24"/>
        </w:rPr>
      </w:pPr>
      <w:proofErr w:type="spellStart"/>
      <w:r w:rsidRPr="009D40E8">
        <w:rPr>
          <w:rFonts w:ascii="Arial" w:hAnsi="Arial" w:cs="Arial"/>
          <w:b/>
          <w:sz w:val="24"/>
          <w:szCs w:val="24"/>
          <w:u w:val="single"/>
        </w:rPr>
        <w:t>Programme</w:t>
      </w:r>
      <w:proofErr w:type="spellEnd"/>
      <w:r w:rsidRPr="009D40E8">
        <w:rPr>
          <w:rFonts w:ascii="Arial" w:hAnsi="Arial" w:cs="Arial"/>
          <w:b/>
          <w:sz w:val="24"/>
          <w:szCs w:val="24"/>
        </w:rPr>
        <w:t>:</w:t>
      </w:r>
      <w:r w:rsidRPr="009D40E8">
        <w:rPr>
          <w:rFonts w:ascii="Arial" w:hAnsi="Arial" w:cs="Arial"/>
          <w:b/>
          <w:spacing w:val="-15"/>
          <w:sz w:val="24"/>
          <w:szCs w:val="24"/>
        </w:rPr>
        <w:t xml:space="preserve"> </w:t>
      </w:r>
      <w:r w:rsidRPr="009D40E8">
        <w:rPr>
          <w:rFonts w:ascii="Arial" w:hAnsi="Arial" w:cs="Arial"/>
          <w:b/>
          <w:sz w:val="24"/>
          <w:szCs w:val="24"/>
        </w:rPr>
        <w:t>Master</w:t>
      </w:r>
      <w:r w:rsidRPr="009D40E8">
        <w:rPr>
          <w:rFonts w:ascii="Arial" w:hAnsi="Arial" w:cs="Arial"/>
          <w:b/>
          <w:spacing w:val="-15"/>
          <w:sz w:val="24"/>
          <w:szCs w:val="24"/>
        </w:rPr>
        <w:t xml:space="preserve"> </w:t>
      </w:r>
      <w:r w:rsidRPr="009D40E8">
        <w:rPr>
          <w:rFonts w:ascii="Arial" w:hAnsi="Arial" w:cs="Arial"/>
          <w:b/>
          <w:sz w:val="24"/>
          <w:szCs w:val="24"/>
        </w:rPr>
        <w:t>of</w:t>
      </w:r>
      <w:r w:rsidRPr="009D40E8">
        <w:rPr>
          <w:rFonts w:ascii="Arial" w:hAnsi="Arial" w:cs="Arial"/>
          <w:b/>
          <w:spacing w:val="-14"/>
          <w:sz w:val="24"/>
          <w:szCs w:val="24"/>
        </w:rPr>
        <w:t xml:space="preserve"> </w:t>
      </w:r>
      <w:r w:rsidRPr="009D40E8">
        <w:rPr>
          <w:rFonts w:ascii="Arial" w:hAnsi="Arial" w:cs="Arial"/>
          <w:b/>
          <w:sz w:val="24"/>
          <w:szCs w:val="24"/>
        </w:rPr>
        <w:t>Business</w:t>
      </w:r>
      <w:r w:rsidRPr="009D40E8">
        <w:rPr>
          <w:rFonts w:ascii="Arial" w:hAnsi="Arial" w:cs="Arial"/>
          <w:b/>
          <w:spacing w:val="-15"/>
          <w:sz w:val="24"/>
          <w:szCs w:val="24"/>
        </w:rPr>
        <w:t xml:space="preserve"> </w:t>
      </w:r>
      <w:r w:rsidRPr="009D40E8">
        <w:rPr>
          <w:rFonts w:ascii="Arial" w:hAnsi="Arial" w:cs="Arial"/>
          <w:b/>
          <w:sz w:val="24"/>
          <w:szCs w:val="24"/>
        </w:rPr>
        <w:t xml:space="preserve">Administration </w:t>
      </w:r>
    </w:p>
    <w:p w:rsidR="00265524" w:rsidRPr="009D40E8" w:rsidRDefault="00265524" w:rsidP="00613DEF">
      <w:pPr>
        <w:spacing w:line="360" w:lineRule="auto"/>
        <w:ind w:left="737" w:right="1688"/>
        <w:jc w:val="both"/>
        <w:rPr>
          <w:rFonts w:ascii="Arial" w:hAnsi="Arial" w:cs="Arial"/>
          <w:b/>
          <w:sz w:val="24"/>
          <w:szCs w:val="24"/>
        </w:rPr>
      </w:pPr>
      <w:r w:rsidRPr="009D40E8">
        <w:rPr>
          <w:rFonts w:ascii="Arial" w:hAnsi="Arial" w:cs="Arial"/>
          <w:b/>
          <w:sz w:val="24"/>
          <w:szCs w:val="24"/>
          <w:u w:val="single"/>
        </w:rPr>
        <w:t>Module</w:t>
      </w:r>
      <w:r w:rsidRPr="009D40E8">
        <w:rPr>
          <w:rFonts w:ascii="Arial" w:hAnsi="Arial" w:cs="Arial"/>
          <w:b/>
          <w:sz w:val="24"/>
          <w:szCs w:val="24"/>
        </w:rPr>
        <w:t xml:space="preserve">: </w:t>
      </w:r>
      <w:r>
        <w:rPr>
          <w:rFonts w:ascii="Arial" w:hAnsi="Arial" w:cs="Arial"/>
          <w:b/>
          <w:sz w:val="24"/>
          <w:szCs w:val="24"/>
        </w:rPr>
        <w:t>Financial Management</w:t>
      </w:r>
    </w:p>
    <w:p w:rsidR="00265524" w:rsidRPr="009D40E8" w:rsidRDefault="00265524" w:rsidP="00613DEF">
      <w:pPr>
        <w:spacing w:line="360" w:lineRule="auto"/>
        <w:ind w:left="737" w:right="3011"/>
        <w:jc w:val="both"/>
        <w:rPr>
          <w:rFonts w:ascii="Arial" w:hAnsi="Arial" w:cs="Arial"/>
          <w:b/>
          <w:sz w:val="24"/>
          <w:szCs w:val="24"/>
        </w:rPr>
      </w:pPr>
      <w:r w:rsidRPr="009D40E8">
        <w:rPr>
          <w:rFonts w:ascii="Arial" w:hAnsi="Arial" w:cs="Arial"/>
          <w:b/>
          <w:sz w:val="24"/>
          <w:szCs w:val="24"/>
          <w:u w:val="single"/>
        </w:rPr>
        <w:t>Module</w:t>
      </w:r>
      <w:r w:rsidRPr="009D40E8">
        <w:rPr>
          <w:rFonts w:ascii="Arial" w:hAnsi="Arial" w:cs="Arial"/>
          <w:b/>
          <w:spacing w:val="-15"/>
          <w:sz w:val="24"/>
          <w:szCs w:val="24"/>
          <w:u w:val="single"/>
        </w:rPr>
        <w:t xml:space="preserve"> </w:t>
      </w:r>
      <w:r w:rsidRPr="009D40E8">
        <w:rPr>
          <w:rFonts w:ascii="Arial" w:hAnsi="Arial" w:cs="Arial"/>
          <w:b/>
          <w:sz w:val="24"/>
          <w:szCs w:val="24"/>
          <w:u w:val="single"/>
        </w:rPr>
        <w:t>code</w:t>
      </w:r>
      <w:r w:rsidRPr="009D40E8">
        <w:rPr>
          <w:rFonts w:ascii="Arial" w:hAnsi="Arial" w:cs="Arial"/>
          <w:b/>
          <w:sz w:val="24"/>
          <w:szCs w:val="24"/>
        </w:rPr>
        <w:t>:</w:t>
      </w:r>
      <w:r w:rsidRPr="009D40E8">
        <w:rPr>
          <w:rFonts w:ascii="Arial" w:hAnsi="Arial" w:cs="Arial"/>
          <w:b/>
          <w:spacing w:val="-15"/>
          <w:sz w:val="24"/>
          <w:szCs w:val="24"/>
        </w:rPr>
        <w:t xml:space="preserve"> </w:t>
      </w:r>
      <w:r>
        <w:rPr>
          <w:rFonts w:ascii="Arial" w:hAnsi="Arial" w:cs="Arial"/>
          <w:b/>
          <w:sz w:val="24"/>
          <w:szCs w:val="24"/>
        </w:rPr>
        <w:t>LCMB7002</w:t>
      </w:r>
    </w:p>
    <w:p w:rsidR="00265524" w:rsidRPr="009D40E8" w:rsidRDefault="00265524" w:rsidP="00613DEF">
      <w:pPr>
        <w:spacing w:after="200" w:line="360" w:lineRule="auto"/>
        <w:ind w:left="737" w:right="272"/>
        <w:jc w:val="both"/>
        <w:rPr>
          <w:rFonts w:ascii="Arial" w:hAnsi="Arial" w:cs="Arial"/>
          <w:b/>
          <w:spacing w:val="-2"/>
          <w:sz w:val="24"/>
          <w:szCs w:val="24"/>
          <w:u w:val="single"/>
        </w:rPr>
      </w:pPr>
      <w:r w:rsidRPr="009D40E8">
        <w:rPr>
          <w:rFonts w:ascii="Arial" w:hAnsi="Arial" w:cs="Arial"/>
          <w:b/>
          <w:spacing w:val="-2"/>
          <w:sz w:val="24"/>
          <w:szCs w:val="24"/>
          <w:u w:val="single"/>
        </w:rPr>
        <w:t>Title</w:t>
      </w:r>
      <w:r w:rsidRPr="009D40E8">
        <w:rPr>
          <w:rFonts w:ascii="Arial" w:hAnsi="Arial" w:cs="Arial"/>
          <w:b/>
          <w:spacing w:val="-2"/>
          <w:sz w:val="24"/>
          <w:szCs w:val="24"/>
        </w:rPr>
        <w:t xml:space="preserve">: </w:t>
      </w:r>
      <w:r w:rsidRPr="00265524">
        <w:rPr>
          <w:rFonts w:ascii="Arial" w:hAnsi="Arial" w:cs="Arial"/>
          <w:b/>
          <w:sz w:val="24"/>
          <w:szCs w:val="24"/>
        </w:rPr>
        <w:t>Strategic CFO Challenge: Saving a Failing Global Firm</w:t>
      </w:r>
      <w:r w:rsidRPr="6C3A0363">
        <w:rPr>
          <w:rFonts w:ascii="Arial" w:hAnsi="Arial" w:cs="Arial"/>
          <w:i/>
          <w:iCs/>
        </w:rPr>
        <w:t> </w:t>
      </w:r>
    </w:p>
    <w:p w:rsidR="00265524" w:rsidRPr="009D40E8" w:rsidRDefault="00265524" w:rsidP="00613DEF">
      <w:pPr>
        <w:pStyle w:val="BodyText"/>
        <w:spacing w:before="24" w:line="360" w:lineRule="auto"/>
        <w:ind w:left="737"/>
        <w:jc w:val="both"/>
        <w:rPr>
          <w:rFonts w:ascii="Arial" w:hAnsi="Arial" w:cs="Arial"/>
          <w:b/>
        </w:rPr>
      </w:pPr>
    </w:p>
    <w:p w:rsidR="00265524" w:rsidRPr="009D40E8" w:rsidRDefault="00265524" w:rsidP="00613DEF">
      <w:pPr>
        <w:spacing w:before="1" w:line="360" w:lineRule="auto"/>
        <w:ind w:left="737" w:right="1688"/>
        <w:jc w:val="both"/>
        <w:rPr>
          <w:rFonts w:ascii="Arial" w:hAnsi="Arial" w:cs="Arial"/>
          <w:b/>
          <w:sz w:val="24"/>
          <w:szCs w:val="24"/>
        </w:rPr>
      </w:pPr>
      <w:r w:rsidRPr="009D40E8">
        <w:rPr>
          <w:rFonts w:ascii="Arial" w:hAnsi="Arial" w:cs="Arial"/>
          <w:b/>
          <w:sz w:val="24"/>
          <w:szCs w:val="24"/>
          <w:u w:val="single"/>
        </w:rPr>
        <w:t>Lecturer</w:t>
      </w:r>
      <w:r w:rsidRPr="009D40E8">
        <w:rPr>
          <w:rFonts w:ascii="Arial" w:hAnsi="Arial" w:cs="Arial"/>
          <w:b/>
          <w:spacing w:val="-5"/>
          <w:sz w:val="24"/>
          <w:szCs w:val="24"/>
        </w:rPr>
        <w:t>:</w:t>
      </w:r>
      <w:r w:rsidRPr="009D40E8">
        <w:rPr>
          <w:rFonts w:ascii="Arial" w:hAnsi="Arial" w:cs="Arial"/>
          <w:b/>
          <w:spacing w:val="-4"/>
          <w:sz w:val="24"/>
          <w:szCs w:val="24"/>
        </w:rPr>
        <w:t xml:space="preserve"> </w:t>
      </w:r>
      <w:r>
        <w:rPr>
          <w:rFonts w:ascii="Arial" w:hAnsi="Arial" w:cs="Arial"/>
          <w:b/>
          <w:sz w:val="24"/>
          <w:szCs w:val="24"/>
          <w:u w:val="single"/>
        </w:rPr>
        <w:t xml:space="preserve">Patrick </w:t>
      </w:r>
      <w:proofErr w:type="spellStart"/>
      <w:r w:rsidRPr="00265524">
        <w:rPr>
          <w:rFonts w:ascii="Arial" w:hAnsi="Arial" w:cs="Arial"/>
          <w:b/>
          <w:sz w:val="24"/>
          <w:szCs w:val="24"/>
          <w:u w:val="single"/>
        </w:rPr>
        <w:t>Yeboah</w:t>
      </w:r>
      <w:proofErr w:type="spellEnd"/>
    </w:p>
    <w:p w:rsidR="00265524" w:rsidRPr="009D40E8" w:rsidRDefault="00265524" w:rsidP="00613DEF">
      <w:pPr>
        <w:spacing w:before="137" w:line="360" w:lineRule="auto"/>
        <w:ind w:left="737" w:right="3635"/>
        <w:jc w:val="both"/>
        <w:rPr>
          <w:rFonts w:ascii="Arial" w:hAnsi="Arial" w:cs="Arial"/>
          <w:b/>
          <w:sz w:val="24"/>
          <w:szCs w:val="24"/>
        </w:rPr>
      </w:pPr>
      <w:r w:rsidRPr="009D40E8">
        <w:rPr>
          <w:rFonts w:ascii="Arial" w:hAnsi="Arial" w:cs="Arial"/>
          <w:b/>
          <w:sz w:val="24"/>
          <w:szCs w:val="24"/>
          <w:u w:val="single"/>
        </w:rPr>
        <w:t>Student Name</w:t>
      </w:r>
      <w:r w:rsidRPr="009D40E8">
        <w:rPr>
          <w:rFonts w:ascii="Arial" w:hAnsi="Arial" w:cs="Arial"/>
          <w:b/>
          <w:sz w:val="24"/>
          <w:szCs w:val="24"/>
        </w:rPr>
        <w:t xml:space="preserve">: </w:t>
      </w:r>
      <w:proofErr w:type="spellStart"/>
      <w:r w:rsidRPr="009D40E8">
        <w:rPr>
          <w:rFonts w:ascii="Arial" w:hAnsi="Arial" w:cs="Arial"/>
          <w:b/>
          <w:sz w:val="24"/>
          <w:szCs w:val="24"/>
          <w:u w:val="single"/>
        </w:rPr>
        <w:t>Naveenkumar</w:t>
      </w:r>
      <w:proofErr w:type="spellEnd"/>
      <w:r w:rsidRPr="009D40E8">
        <w:rPr>
          <w:rFonts w:ascii="Arial" w:hAnsi="Arial" w:cs="Arial"/>
          <w:b/>
          <w:sz w:val="24"/>
          <w:szCs w:val="24"/>
          <w:u w:val="single"/>
        </w:rPr>
        <w:t xml:space="preserve"> </w:t>
      </w:r>
      <w:proofErr w:type="spellStart"/>
      <w:r w:rsidRPr="009D40E8">
        <w:rPr>
          <w:rFonts w:ascii="Arial" w:hAnsi="Arial" w:cs="Arial"/>
          <w:b/>
          <w:sz w:val="24"/>
          <w:szCs w:val="24"/>
          <w:u w:val="single"/>
        </w:rPr>
        <w:t>Jayakannu</w:t>
      </w:r>
      <w:proofErr w:type="spellEnd"/>
    </w:p>
    <w:p w:rsidR="00265524" w:rsidRPr="009D40E8" w:rsidRDefault="00265524" w:rsidP="00613DEF">
      <w:pPr>
        <w:spacing w:before="137" w:line="360" w:lineRule="auto"/>
        <w:ind w:left="737" w:right="3635"/>
        <w:jc w:val="both"/>
        <w:rPr>
          <w:rFonts w:ascii="Arial" w:hAnsi="Arial" w:cs="Arial"/>
          <w:b/>
          <w:sz w:val="24"/>
          <w:szCs w:val="24"/>
        </w:rPr>
      </w:pPr>
      <w:r w:rsidRPr="009D40E8">
        <w:rPr>
          <w:rFonts w:ascii="Arial" w:hAnsi="Arial" w:cs="Arial"/>
          <w:b/>
          <w:sz w:val="24"/>
          <w:szCs w:val="24"/>
          <w:u w:val="single"/>
        </w:rPr>
        <w:t>Student ID</w:t>
      </w:r>
      <w:r w:rsidRPr="009D40E8">
        <w:rPr>
          <w:rFonts w:ascii="Arial" w:hAnsi="Arial" w:cs="Arial"/>
          <w:b/>
          <w:sz w:val="24"/>
          <w:szCs w:val="24"/>
        </w:rPr>
        <w:t>: 2438827</w:t>
      </w:r>
    </w:p>
    <w:p w:rsidR="00265524" w:rsidRPr="009D40E8" w:rsidRDefault="00265524" w:rsidP="00613DEF">
      <w:pPr>
        <w:spacing w:before="137" w:line="360" w:lineRule="auto"/>
        <w:ind w:left="737" w:right="3635"/>
        <w:jc w:val="both"/>
        <w:rPr>
          <w:rFonts w:ascii="Arial" w:hAnsi="Arial" w:cs="Arial"/>
          <w:b/>
          <w:sz w:val="24"/>
          <w:szCs w:val="24"/>
        </w:rPr>
      </w:pPr>
      <w:r w:rsidRPr="009D40E8">
        <w:rPr>
          <w:rFonts w:ascii="Arial" w:hAnsi="Arial" w:cs="Arial"/>
          <w:b/>
          <w:sz w:val="24"/>
          <w:szCs w:val="24"/>
          <w:u w:val="single"/>
        </w:rPr>
        <w:t>Submission</w:t>
      </w:r>
      <w:r w:rsidRPr="009D40E8">
        <w:rPr>
          <w:rFonts w:ascii="Arial" w:hAnsi="Arial" w:cs="Arial"/>
          <w:b/>
          <w:spacing w:val="-15"/>
          <w:sz w:val="24"/>
          <w:szCs w:val="24"/>
          <w:u w:val="single"/>
        </w:rPr>
        <w:t xml:space="preserve"> </w:t>
      </w:r>
      <w:r w:rsidRPr="009D40E8">
        <w:rPr>
          <w:rFonts w:ascii="Arial" w:hAnsi="Arial" w:cs="Arial"/>
          <w:b/>
          <w:sz w:val="24"/>
          <w:szCs w:val="24"/>
          <w:u w:val="single"/>
        </w:rPr>
        <w:t>Date</w:t>
      </w:r>
      <w:r w:rsidRPr="009D40E8">
        <w:rPr>
          <w:rFonts w:ascii="Arial" w:hAnsi="Arial" w:cs="Arial"/>
          <w:b/>
          <w:sz w:val="24"/>
          <w:szCs w:val="24"/>
        </w:rPr>
        <w:t xml:space="preserve">- </w:t>
      </w:r>
      <w:r>
        <w:rPr>
          <w:rFonts w:ascii="Arial" w:hAnsi="Arial" w:cs="Arial"/>
          <w:b/>
          <w:sz w:val="24"/>
          <w:szCs w:val="24"/>
        </w:rPr>
        <w:t>24</w:t>
      </w:r>
      <w:r w:rsidRPr="00815CE6">
        <w:rPr>
          <w:rFonts w:ascii="Arial" w:hAnsi="Arial" w:cs="Arial"/>
          <w:b/>
          <w:sz w:val="24"/>
          <w:szCs w:val="24"/>
          <w:vertAlign w:val="superscript"/>
        </w:rPr>
        <w:t>th</w:t>
      </w:r>
      <w:r>
        <w:rPr>
          <w:rFonts w:ascii="Arial" w:hAnsi="Arial" w:cs="Arial"/>
          <w:b/>
          <w:sz w:val="24"/>
          <w:szCs w:val="24"/>
        </w:rPr>
        <w:t xml:space="preserve"> November 2025</w:t>
      </w:r>
    </w:p>
    <w:p w:rsidR="00490ACE" w:rsidRPr="00DE585B" w:rsidRDefault="00490ACE"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Default="0087114C" w:rsidP="00991EC6">
      <w:pPr>
        <w:ind w:left="737" w:right="737"/>
        <w:rPr>
          <w:sz w:val="24"/>
          <w:szCs w:val="24"/>
        </w:rPr>
      </w:pPr>
    </w:p>
    <w:p w:rsidR="00613DEF" w:rsidRDefault="00613DEF" w:rsidP="00991EC6">
      <w:pPr>
        <w:ind w:left="737" w:right="737"/>
        <w:rPr>
          <w:sz w:val="24"/>
          <w:szCs w:val="24"/>
        </w:rPr>
      </w:pPr>
    </w:p>
    <w:p w:rsidR="00613DEF" w:rsidRDefault="00613DEF" w:rsidP="00991EC6">
      <w:pPr>
        <w:ind w:left="737" w:right="737"/>
        <w:rPr>
          <w:sz w:val="24"/>
          <w:szCs w:val="24"/>
        </w:rPr>
      </w:pPr>
    </w:p>
    <w:p w:rsidR="00613DEF" w:rsidRDefault="00613DEF" w:rsidP="00991EC6">
      <w:pPr>
        <w:ind w:left="737" w:right="737"/>
        <w:rPr>
          <w:sz w:val="24"/>
          <w:szCs w:val="24"/>
        </w:rPr>
      </w:pPr>
    </w:p>
    <w:p w:rsidR="00613DEF" w:rsidRDefault="00613DEF" w:rsidP="00991EC6">
      <w:pPr>
        <w:ind w:left="737" w:right="737"/>
        <w:rPr>
          <w:sz w:val="24"/>
          <w:szCs w:val="24"/>
        </w:rPr>
      </w:pPr>
    </w:p>
    <w:p w:rsidR="0087114C" w:rsidRPr="00DE585B" w:rsidRDefault="0087114C" w:rsidP="004F5E2F">
      <w:pPr>
        <w:ind w:right="737"/>
        <w:rPr>
          <w:sz w:val="24"/>
          <w:szCs w:val="24"/>
        </w:rPr>
      </w:pPr>
    </w:p>
    <w:p w:rsidR="0087114C" w:rsidRPr="00DE585B" w:rsidRDefault="0087114C" w:rsidP="00991EC6">
      <w:pPr>
        <w:ind w:left="737" w:right="737"/>
        <w:rPr>
          <w:sz w:val="24"/>
          <w:szCs w:val="24"/>
        </w:rPr>
      </w:pPr>
    </w:p>
    <w:sdt>
      <w:sdtPr>
        <w:rPr>
          <w:rFonts w:asciiTheme="minorHAnsi" w:eastAsiaTheme="minorEastAsia" w:hAnsiTheme="minorHAnsi" w:cs="Times New Roman"/>
          <w:color w:val="auto"/>
          <w:sz w:val="22"/>
          <w:szCs w:val="22"/>
        </w:rPr>
        <w:id w:val="-182137027"/>
        <w:docPartObj>
          <w:docPartGallery w:val="Table of Contents"/>
          <w:docPartUnique/>
        </w:docPartObj>
      </w:sdtPr>
      <w:sdtEndPr/>
      <w:sdtContent>
        <w:p w:rsidR="004F5E2F" w:rsidRPr="0057353B" w:rsidRDefault="004F5E2F" w:rsidP="004F5E2F">
          <w:pPr>
            <w:pStyle w:val="TOCHeading"/>
            <w:jc w:val="center"/>
            <w:rPr>
              <w:rFonts w:ascii="Arial" w:hAnsi="Arial" w:cs="Arial"/>
              <w:b/>
              <w:color w:val="000000" w:themeColor="text1"/>
            </w:rPr>
          </w:pPr>
          <w:r w:rsidRPr="0057353B">
            <w:rPr>
              <w:rFonts w:ascii="Arial" w:hAnsi="Arial" w:cs="Arial"/>
              <w:b/>
              <w:color w:val="000000" w:themeColor="text1"/>
            </w:rPr>
            <w:t>Table of Contents</w:t>
          </w:r>
        </w:p>
        <w:p w:rsidR="004F5E2F" w:rsidRPr="0057353B" w:rsidRDefault="004F5E2F">
          <w:pPr>
            <w:pStyle w:val="TOC1"/>
            <w:rPr>
              <w:rFonts w:ascii="Arial" w:hAnsi="Arial" w:cs="Arial"/>
              <w:sz w:val="24"/>
            </w:rPr>
          </w:pPr>
          <w:r w:rsidRPr="0057353B">
            <w:rPr>
              <w:rFonts w:ascii="Arial" w:hAnsi="Arial" w:cs="Arial"/>
              <w:b/>
              <w:bCs/>
              <w:sz w:val="24"/>
            </w:rPr>
            <w:t>Introduction</w:t>
          </w:r>
          <w:r w:rsidRPr="0057353B">
            <w:rPr>
              <w:rFonts w:ascii="Arial" w:hAnsi="Arial" w:cs="Arial"/>
              <w:sz w:val="24"/>
            </w:rPr>
            <w:ptab w:relativeTo="margin" w:alignment="right" w:leader="dot"/>
          </w:r>
          <w:r w:rsidRPr="0057353B">
            <w:rPr>
              <w:rFonts w:ascii="Arial" w:hAnsi="Arial" w:cs="Arial"/>
              <w:b/>
              <w:bCs/>
              <w:sz w:val="24"/>
            </w:rPr>
            <w:t>3</w:t>
          </w:r>
        </w:p>
        <w:p w:rsidR="004F5E2F" w:rsidRPr="0057353B" w:rsidRDefault="004F5E2F" w:rsidP="004F5E2F">
          <w:pPr>
            <w:pStyle w:val="TOC3"/>
            <w:ind w:left="0"/>
            <w:rPr>
              <w:rFonts w:ascii="Arial" w:hAnsi="Arial" w:cs="Arial"/>
              <w:sz w:val="24"/>
            </w:rPr>
          </w:pPr>
        </w:p>
        <w:p w:rsidR="004F5E2F" w:rsidRPr="0057353B" w:rsidRDefault="004F5E2F">
          <w:pPr>
            <w:pStyle w:val="TOC1"/>
            <w:rPr>
              <w:rFonts w:ascii="Arial" w:hAnsi="Arial" w:cs="Arial"/>
              <w:b/>
              <w:bCs/>
              <w:sz w:val="24"/>
            </w:rPr>
          </w:pPr>
          <w:r w:rsidRPr="0057353B">
            <w:rPr>
              <w:rFonts w:ascii="Arial" w:hAnsi="Arial" w:cs="Arial"/>
              <w:b/>
              <w:bCs/>
              <w:sz w:val="24"/>
            </w:rPr>
            <w:t xml:space="preserve">Topic 1 Financial Health Check </w:t>
          </w:r>
          <w:r w:rsidRPr="0057353B">
            <w:rPr>
              <w:rFonts w:ascii="Arial" w:hAnsi="Arial" w:cs="Arial"/>
              <w:sz w:val="24"/>
            </w:rPr>
            <w:ptab w:relativeTo="margin" w:alignment="right" w:leader="dot"/>
          </w:r>
          <w:r w:rsidRPr="0057353B">
            <w:rPr>
              <w:rFonts w:ascii="Arial" w:hAnsi="Arial" w:cs="Arial"/>
              <w:b/>
              <w:bCs/>
              <w:sz w:val="24"/>
            </w:rPr>
            <w:t>4</w:t>
          </w:r>
        </w:p>
        <w:p w:rsidR="004F5E2F" w:rsidRPr="0057353B" w:rsidRDefault="004F5E2F" w:rsidP="004F5E2F">
          <w:pPr>
            <w:pStyle w:val="TOC3"/>
            <w:rPr>
              <w:rFonts w:ascii="Arial" w:hAnsi="Arial" w:cs="Arial"/>
              <w:sz w:val="24"/>
            </w:rPr>
          </w:pPr>
        </w:p>
        <w:p w:rsidR="004F5E2F" w:rsidRPr="0057353B" w:rsidRDefault="004F5E2F" w:rsidP="004F5E2F">
          <w:pPr>
            <w:pStyle w:val="TOC1"/>
            <w:rPr>
              <w:rFonts w:ascii="Arial" w:hAnsi="Arial" w:cs="Arial"/>
              <w:sz w:val="24"/>
            </w:rPr>
          </w:pPr>
          <w:r w:rsidRPr="0057353B">
            <w:rPr>
              <w:rFonts w:ascii="Arial" w:hAnsi="Arial" w:cs="Arial"/>
              <w:b/>
              <w:bCs/>
              <w:sz w:val="24"/>
            </w:rPr>
            <w:t xml:space="preserve">Topic 2 Working Capital Management Analysis </w:t>
          </w:r>
          <w:r w:rsidRPr="0057353B">
            <w:rPr>
              <w:rFonts w:ascii="Arial" w:hAnsi="Arial" w:cs="Arial"/>
              <w:sz w:val="24"/>
            </w:rPr>
            <w:ptab w:relativeTo="margin" w:alignment="right" w:leader="dot"/>
          </w:r>
          <w:r w:rsidRPr="0057353B">
            <w:rPr>
              <w:rFonts w:ascii="Arial" w:hAnsi="Arial" w:cs="Arial"/>
              <w:b/>
              <w:bCs/>
              <w:sz w:val="24"/>
            </w:rPr>
            <w:t>18</w:t>
          </w:r>
        </w:p>
        <w:p w:rsidR="004F5E2F" w:rsidRPr="0057353B" w:rsidRDefault="004F5E2F" w:rsidP="004F5E2F">
          <w:pPr>
            <w:pStyle w:val="TOC3"/>
            <w:rPr>
              <w:rFonts w:ascii="Arial" w:hAnsi="Arial" w:cs="Arial"/>
              <w:sz w:val="24"/>
            </w:rPr>
          </w:pPr>
        </w:p>
        <w:p w:rsidR="004F5E2F" w:rsidRPr="0057353B" w:rsidRDefault="004F5E2F" w:rsidP="004F5E2F">
          <w:pPr>
            <w:pStyle w:val="TOC1"/>
            <w:rPr>
              <w:rFonts w:ascii="Arial" w:hAnsi="Arial" w:cs="Arial"/>
              <w:sz w:val="24"/>
            </w:rPr>
          </w:pPr>
          <w:r w:rsidRPr="0057353B">
            <w:rPr>
              <w:rFonts w:ascii="Arial" w:hAnsi="Arial" w:cs="Arial"/>
              <w:b/>
              <w:bCs/>
              <w:sz w:val="24"/>
            </w:rPr>
            <w:t xml:space="preserve">Topic 3 Strategic Financial Restructuring Plan </w:t>
          </w:r>
          <w:r w:rsidRPr="0057353B">
            <w:rPr>
              <w:rFonts w:ascii="Arial" w:hAnsi="Arial" w:cs="Arial"/>
              <w:sz w:val="24"/>
            </w:rPr>
            <w:ptab w:relativeTo="margin" w:alignment="right" w:leader="dot"/>
          </w:r>
          <w:r w:rsidRPr="0057353B">
            <w:rPr>
              <w:rFonts w:ascii="Arial" w:hAnsi="Arial" w:cs="Arial"/>
              <w:b/>
              <w:bCs/>
              <w:sz w:val="24"/>
            </w:rPr>
            <w:t>23</w:t>
          </w:r>
        </w:p>
        <w:p w:rsidR="004F5E2F" w:rsidRPr="0057353B" w:rsidRDefault="004F5E2F" w:rsidP="004F5E2F">
          <w:pPr>
            <w:pStyle w:val="TOC3"/>
            <w:rPr>
              <w:rFonts w:ascii="Arial" w:hAnsi="Arial" w:cs="Arial"/>
              <w:sz w:val="24"/>
            </w:rPr>
          </w:pPr>
        </w:p>
        <w:p w:rsidR="004F5E2F" w:rsidRPr="0057353B" w:rsidRDefault="004F5E2F" w:rsidP="004F5E2F">
          <w:pPr>
            <w:pStyle w:val="TOC1"/>
            <w:rPr>
              <w:rFonts w:ascii="Arial" w:hAnsi="Arial" w:cs="Arial"/>
              <w:sz w:val="24"/>
            </w:rPr>
          </w:pPr>
          <w:r w:rsidRPr="0057353B">
            <w:rPr>
              <w:rFonts w:ascii="Arial" w:hAnsi="Arial" w:cs="Arial"/>
              <w:b/>
              <w:bCs/>
              <w:sz w:val="24"/>
            </w:rPr>
            <w:t xml:space="preserve">Topic 4 Investment Appraisal and Capital Budgeting </w:t>
          </w:r>
          <w:r w:rsidRPr="0057353B">
            <w:rPr>
              <w:rFonts w:ascii="Arial" w:hAnsi="Arial" w:cs="Arial"/>
              <w:sz w:val="24"/>
            </w:rPr>
            <w:ptab w:relativeTo="margin" w:alignment="right" w:leader="dot"/>
          </w:r>
          <w:r w:rsidRPr="0057353B">
            <w:rPr>
              <w:rFonts w:ascii="Arial" w:hAnsi="Arial" w:cs="Arial"/>
              <w:b/>
              <w:bCs/>
              <w:sz w:val="24"/>
            </w:rPr>
            <w:t>28</w:t>
          </w:r>
        </w:p>
        <w:p w:rsidR="004F5E2F" w:rsidRPr="0057353B" w:rsidRDefault="004F5E2F" w:rsidP="004F5E2F">
          <w:pPr>
            <w:pStyle w:val="TOC3"/>
            <w:rPr>
              <w:rFonts w:ascii="Arial" w:hAnsi="Arial" w:cs="Arial"/>
              <w:sz w:val="24"/>
            </w:rPr>
          </w:pPr>
        </w:p>
        <w:p w:rsidR="004F5E2F" w:rsidRPr="0057353B" w:rsidRDefault="004F5E2F" w:rsidP="004F5E2F">
          <w:pPr>
            <w:pStyle w:val="TOC1"/>
            <w:rPr>
              <w:rFonts w:ascii="Arial" w:hAnsi="Arial" w:cs="Arial"/>
              <w:sz w:val="24"/>
            </w:rPr>
          </w:pPr>
          <w:r w:rsidRPr="0057353B">
            <w:rPr>
              <w:rFonts w:ascii="Arial" w:hAnsi="Arial" w:cs="Arial"/>
              <w:b/>
              <w:bCs/>
              <w:sz w:val="24"/>
            </w:rPr>
            <w:t>Conclusion</w:t>
          </w:r>
          <w:r w:rsidRPr="0057353B">
            <w:rPr>
              <w:rFonts w:ascii="Arial" w:hAnsi="Arial" w:cs="Arial"/>
              <w:sz w:val="24"/>
            </w:rPr>
            <w:ptab w:relativeTo="margin" w:alignment="right" w:leader="dot"/>
          </w:r>
          <w:r w:rsidR="0057353B" w:rsidRPr="0057353B">
            <w:rPr>
              <w:rFonts w:ascii="Arial" w:hAnsi="Arial" w:cs="Arial"/>
              <w:b/>
              <w:bCs/>
              <w:sz w:val="24"/>
            </w:rPr>
            <w:t>33</w:t>
          </w:r>
        </w:p>
        <w:p w:rsidR="004F5E2F" w:rsidRPr="0057353B" w:rsidRDefault="004F5E2F" w:rsidP="004F5E2F">
          <w:pPr>
            <w:pStyle w:val="TOC3"/>
            <w:rPr>
              <w:rFonts w:ascii="Arial" w:hAnsi="Arial" w:cs="Arial"/>
              <w:sz w:val="24"/>
            </w:rPr>
          </w:pPr>
        </w:p>
        <w:p w:rsidR="004F5E2F" w:rsidRPr="0057353B" w:rsidRDefault="004F5E2F" w:rsidP="004F5E2F">
          <w:pPr>
            <w:pStyle w:val="TOC1"/>
            <w:rPr>
              <w:rFonts w:ascii="Arial" w:hAnsi="Arial" w:cs="Arial"/>
              <w:sz w:val="24"/>
            </w:rPr>
          </w:pPr>
          <w:r w:rsidRPr="0057353B">
            <w:rPr>
              <w:rFonts w:ascii="Arial" w:hAnsi="Arial" w:cs="Arial"/>
              <w:b/>
              <w:bCs/>
              <w:sz w:val="24"/>
            </w:rPr>
            <w:t xml:space="preserve">Reference </w:t>
          </w:r>
          <w:r w:rsidRPr="0057353B">
            <w:rPr>
              <w:rFonts w:ascii="Arial" w:hAnsi="Arial" w:cs="Arial"/>
              <w:sz w:val="24"/>
            </w:rPr>
            <w:ptab w:relativeTo="margin" w:alignment="right" w:leader="dot"/>
          </w:r>
          <w:r w:rsidR="0057353B" w:rsidRPr="0057353B">
            <w:rPr>
              <w:rFonts w:ascii="Arial" w:hAnsi="Arial" w:cs="Arial"/>
              <w:b/>
              <w:sz w:val="24"/>
            </w:rPr>
            <w:t>3</w:t>
          </w:r>
          <w:r w:rsidRPr="0057353B">
            <w:rPr>
              <w:rFonts w:ascii="Arial" w:hAnsi="Arial" w:cs="Arial"/>
              <w:b/>
              <w:bCs/>
              <w:sz w:val="24"/>
            </w:rPr>
            <w:t>4</w:t>
          </w:r>
        </w:p>
        <w:p w:rsidR="004F5E2F" w:rsidRPr="0057353B" w:rsidRDefault="004F5E2F" w:rsidP="004F5E2F">
          <w:pPr>
            <w:pStyle w:val="TOC3"/>
            <w:rPr>
              <w:rFonts w:ascii="Arial" w:hAnsi="Arial" w:cs="Arial"/>
              <w:sz w:val="24"/>
            </w:rPr>
          </w:pPr>
        </w:p>
        <w:p w:rsidR="004F5E2F" w:rsidRPr="0057353B" w:rsidRDefault="004F5E2F" w:rsidP="004F5E2F">
          <w:pPr>
            <w:pStyle w:val="TOC1"/>
            <w:rPr>
              <w:rFonts w:ascii="Arial" w:hAnsi="Arial" w:cs="Arial"/>
              <w:sz w:val="24"/>
            </w:rPr>
          </w:pPr>
          <w:r w:rsidRPr="0057353B">
            <w:rPr>
              <w:rFonts w:ascii="Arial" w:hAnsi="Arial" w:cs="Arial"/>
              <w:b/>
              <w:bCs/>
              <w:sz w:val="24"/>
            </w:rPr>
            <w:t xml:space="preserve">Appendices </w:t>
          </w:r>
          <w:r w:rsidRPr="0057353B">
            <w:rPr>
              <w:rFonts w:ascii="Arial" w:hAnsi="Arial" w:cs="Arial"/>
              <w:sz w:val="24"/>
            </w:rPr>
            <w:ptab w:relativeTo="margin" w:alignment="right" w:leader="dot"/>
          </w:r>
          <w:r w:rsidR="0057353B" w:rsidRPr="0057353B">
            <w:rPr>
              <w:rFonts w:ascii="Arial" w:hAnsi="Arial" w:cs="Arial"/>
              <w:b/>
              <w:bCs/>
              <w:sz w:val="24"/>
            </w:rPr>
            <w:t>36</w:t>
          </w:r>
        </w:p>
        <w:p w:rsidR="004F5E2F" w:rsidRPr="004F5E2F" w:rsidRDefault="004F5E2F" w:rsidP="004F5E2F"/>
        <w:p w:rsidR="004F5E2F" w:rsidRDefault="004F5E2F">
          <w:pPr>
            <w:pStyle w:val="TOC2"/>
            <w:ind w:left="216"/>
          </w:pPr>
        </w:p>
        <w:p w:rsidR="004F5E2F" w:rsidRDefault="003754BF">
          <w:pPr>
            <w:pStyle w:val="TOC3"/>
            <w:ind w:left="446"/>
          </w:pPr>
        </w:p>
      </w:sdtContent>
    </w:sdt>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Default="0087114C" w:rsidP="00265524">
      <w:pPr>
        <w:ind w:right="737"/>
        <w:rPr>
          <w:sz w:val="24"/>
          <w:szCs w:val="24"/>
        </w:rPr>
      </w:pPr>
    </w:p>
    <w:p w:rsidR="00613DEF" w:rsidRDefault="00613DEF" w:rsidP="00265524">
      <w:pPr>
        <w:ind w:right="737"/>
        <w:rPr>
          <w:sz w:val="24"/>
          <w:szCs w:val="24"/>
        </w:rPr>
      </w:pPr>
    </w:p>
    <w:p w:rsidR="00613DEF" w:rsidRDefault="00613DEF" w:rsidP="00265524">
      <w:pPr>
        <w:ind w:right="737"/>
        <w:rPr>
          <w:sz w:val="24"/>
          <w:szCs w:val="24"/>
        </w:rPr>
      </w:pPr>
    </w:p>
    <w:p w:rsidR="00613DEF" w:rsidRDefault="00613DEF" w:rsidP="00265524">
      <w:pPr>
        <w:ind w:right="737"/>
        <w:rPr>
          <w:sz w:val="24"/>
          <w:szCs w:val="24"/>
        </w:rPr>
      </w:pPr>
    </w:p>
    <w:p w:rsidR="00613DEF" w:rsidRDefault="00613DEF" w:rsidP="00265524">
      <w:pPr>
        <w:ind w:right="737"/>
        <w:rPr>
          <w:sz w:val="24"/>
          <w:szCs w:val="24"/>
        </w:rPr>
      </w:pPr>
    </w:p>
    <w:p w:rsidR="00613DEF" w:rsidRDefault="00613DEF" w:rsidP="00265524">
      <w:pPr>
        <w:ind w:right="737"/>
        <w:rPr>
          <w:sz w:val="24"/>
          <w:szCs w:val="24"/>
        </w:rPr>
      </w:pPr>
    </w:p>
    <w:p w:rsidR="00613DEF" w:rsidRDefault="00613DEF" w:rsidP="00265524">
      <w:pPr>
        <w:ind w:right="737"/>
        <w:rPr>
          <w:sz w:val="24"/>
          <w:szCs w:val="24"/>
        </w:rPr>
      </w:pPr>
    </w:p>
    <w:p w:rsidR="00613DEF" w:rsidRDefault="00613DEF" w:rsidP="00265524">
      <w:pPr>
        <w:ind w:right="737"/>
        <w:rPr>
          <w:sz w:val="24"/>
          <w:szCs w:val="24"/>
        </w:rPr>
      </w:pPr>
    </w:p>
    <w:p w:rsidR="00613DEF" w:rsidRDefault="00613DEF" w:rsidP="00265524">
      <w:pPr>
        <w:ind w:right="737"/>
        <w:rPr>
          <w:sz w:val="24"/>
          <w:szCs w:val="24"/>
        </w:rPr>
      </w:pPr>
    </w:p>
    <w:p w:rsidR="0087114C" w:rsidRPr="00DE585B" w:rsidRDefault="0087114C" w:rsidP="009D3B0B">
      <w:pPr>
        <w:ind w:right="737"/>
        <w:rPr>
          <w:sz w:val="24"/>
          <w:szCs w:val="24"/>
        </w:rPr>
      </w:pPr>
    </w:p>
    <w:p w:rsidR="0087114C" w:rsidRPr="00DE585B" w:rsidRDefault="0087114C" w:rsidP="00991EC6">
      <w:pPr>
        <w:ind w:left="737" w:right="737"/>
        <w:jc w:val="center"/>
        <w:rPr>
          <w:rFonts w:ascii="Arial" w:hAnsi="Arial" w:cs="Arial"/>
          <w:b/>
          <w:sz w:val="24"/>
          <w:szCs w:val="24"/>
          <w:u w:val="single"/>
        </w:rPr>
      </w:pPr>
      <w:r w:rsidRPr="00DE585B">
        <w:rPr>
          <w:rFonts w:ascii="Arial" w:hAnsi="Arial" w:cs="Arial"/>
          <w:b/>
          <w:sz w:val="24"/>
          <w:szCs w:val="24"/>
          <w:u w:val="single"/>
        </w:rPr>
        <w:t>Introduction</w:t>
      </w:r>
    </w:p>
    <w:p w:rsidR="0087114C" w:rsidRPr="00DE585B" w:rsidRDefault="0087114C" w:rsidP="00991EC6">
      <w:pPr>
        <w:spacing w:line="360" w:lineRule="auto"/>
        <w:ind w:left="737" w:right="737"/>
        <w:jc w:val="both"/>
        <w:rPr>
          <w:rFonts w:ascii="Arial" w:hAnsi="Arial" w:cs="Arial"/>
          <w:sz w:val="24"/>
          <w:szCs w:val="24"/>
        </w:rPr>
      </w:pPr>
      <w:r w:rsidRPr="00DE585B">
        <w:rPr>
          <w:rFonts w:ascii="Arial" w:hAnsi="Arial" w:cs="Arial"/>
          <w:sz w:val="24"/>
          <w:szCs w:val="24"/>
        </w:rPr>
        <w:t>General Electronics is currently in serious financial distress in the dynamic consumer electronics industry as a result of continuous revenue decline combined with continued erosion of profitability. The analysis conducted here is based on a detailed examination of the firm’s financial performance over the past five fiscal years (FY2020–FY2024)</w:t>
      </w:r>
      <w:r w:rsidR="009E2782" w:rsidRPr="00DE585B">
        <w:rPr>
          <w:rFonts w:ascii="Arial" w:hAnsi="Arial" w:cs="Arial"/>
          <w:sz w:val="24"/>
          <w:szCs w:val="24"/>
        </w:rPr>
        <w:t>.</w:t>
      </w:r>
      <w:r w:rsidRPr="00DE585B">
        <w:rPr>
          <w:rFonts w:ascii="Arial" w:hAnsi="Arial" w:cs="Arial"/>
          <w:sz w:val="24"/>
          <w:szCs w:val="24"/>
        </w:rPr>
        <w:t xml:space="preserve"> The primary ob</w:t>
      </w:r>
      <w:r w:rsidR="009E2782" w:rsidRPr="00DE585B">
        <w:rPr>
          <w:rFonts w:ascii="Arial" w:hAnsi="Arial" w:cs="Arial"/>
          <w:sz w:val="24"/>
          <w:szCs w:val="24"/>
        </w:rPr>
        <w:t xml:space="preserve">jectives of this task is to </w:t>
      </w:r>
      <w:r w:rsidRPr="00DE585B">
        <w:rPr>
          <w:rFonts w:ascii="Arial" w:hAnsi="Arial" w:cs="Arial"/>
          <w:sz w:val="24"/>
          <w:szCs w:val="24"/>
        </w:rPr>
        <w:t xml:space="preserve">Identify and quantify the primary causes of the prolonged </w:t>
      </w:r>
      <w:r w:rsidR="00265524" w:rsidRPr="00DE585B">
        <w:rPr>
          <w:rFonts w:ascii="Arial" w:hAnsi="Arial" w:cs="Arial"/>
          <w:sz w:val="24"/>
          <w:szCs w:val="24"/>
        </w:rPr>
        <w:t>underperformance,</w:t>
      </w:r>
      <w:r w:rsidRPr="00DE585B">
        <w:rPr>
          <w:rFonts w:ascii="Arial" w:hAnsi="Arial" w:cs="Arial"/>
          <w:sz w:val="24"/>
          <w:szCs w:val="24"/>
        </w:rPr>
        <w:t xml:space="preserve"> Propose a robust, three-phase, evidence-based turnaround </w:t>
      </w:r>
      <w:r w:rsidR="00372BFD" w:rsidRPr="00DE585B">
        <w:rPr>
          <w:rFonts w:ascii="Arial" w:hAnsi="Arial" w:cs="Arial"/>
          <w:sz w:val="24"/>
          <w:szCs w:val="24"/>
        </w:rPr>
        <w:t>strategy,</w:t>
      </w:r>
      <w:r w:rsidRPr="00DE585B">
        <w:rPr>
          <w:rFonts w:ascii="Arial" w:hAnsi="Arial" w:cs="Arial"/>
          <w:sz w:val="24"/>
          <w:szCs w:val="24"/>
        </w:rPr>
        <w:t xml:space="preserve"> </w:t>
      </w:r>
      <w:r w:rsidR="00372BFD">
        <w:rPr>
          <w:rFonts w:ascii="Arial" w:hAnsi="Arial" w:cs="Arial"/>
          <w:sz w:val="24"/>
          <w:szCs w:val="24"/>
        </w:rPr>
        <w:t xml:space="preserve">and </w:t>
      </w:r>
      <w:r w:rsidRPr="00DE585B">
        <w:rPr>
          <w:rFonts w:ascii="Arial" w:hAnsi="Arial" w:cs="Arial"/>
          <w:sz w:val="24"/>
          <w:szCs w:val="24"/>
        </w:rPr>
        <w:t>Critically assess the financial viability of significant nea</w:t>
      </w:r>
      <w:r w:rsidR="009E2782" w:rsidRPr="00DE585B">
        <w:rPr>
          <w:rFonts w:ascii="Arial" w:hAnsi="Arial" w:cs="Arial"/>
          <w:sz w:val="24"/>
          <w:szCs w:val="24"/>
        </w:rPr>
        <w:t xml:space="preserve">r-term investment </w:t>
      </w:r>
      <w:r w:rsidR="00372BFD" w:rsidRPr="00DE585B">
        <w:rPr>
          <w:rFonts w:ascii="Arial" w:hAnsi="Arial" w:cs="Arial"/>
          <w:sz w:val="24"/>
          <w:szCs w:val="24"/>
        </w:rPr>
        <w:t xml:space="preserve">proposals. </w:t>
      </w:r>
      <w:r w:rsidRPr="00DE585B">
        <w:rPr>
          <w:rFonts w:ascii="Arial" w:hAnsi="Arial" w:cs="Arial"/>
          <w:sz w:val="24"/>
          <w:szCs w:val="24"/>
        </w:rPr>
        <w:t>Initial findings are potentially distressing as the primary causes of distress appear to be due to systemic failures in inventory management that are resulting in high write-downs , and a prolonged high Operating Expenditure (</w:t>
      </w:r>
      <w:proofErr w:type="spellStart"/>
      <w:r w:rsidRPr="00DE585B">
        <w:rPr>
          <w:rFonts w:ascii="Arial" w:hAnsi="Arial" w:cs="Arial"/>
          <w:sz w:val="24"/>
          <w:szCs w:val="24"/>
        </w:rPr>
        <w:t>OpEx</w:t>
      </w:r>
      <w:proofErr w:type="spellEnd"/>
      <w:r w:rsidRPr="00DE585B">
        <w:rPr>
          <w:rFonts w:ascii="Arial" w:hAnsi="Arial" w:cs="Arial"/>
          <w:sz w:val="24"/>
          <w:szCs w:val="24"/>
        </w:rPr>
        <w:t>) base being dispro</w:t>
      </w:r>
      <w:r w:rsidR="009E2782" w:rsidRPr="00DE585B">
        <w:rPr>
          <w:rFonts w:ascii="Arial" w:hAnsi="Arial" w:cs="Arial"/>
          <w:sz w:val="24"/>
          <w:szCs w:val="24"/>
        </w:rPr>
        <w:t xml:space="preserve">portionate to revenue levels. </w:t>
      </w:r>
      <w:r w:rsidRPr="00DE585B">
        <w:rPr>
          <w:rFonts w:ascii="Arial" w:hAnsi="Arial" w:cs="Arial"/>
          <w:sz w:val="24"/>
          <w:szCs w:val="24"/>
        </w:rPr>
        <w:t>The proposed strategy will commence with the rapid stabilization of cash flow immediately followed by repositioning based on a credible path to profitability and the long-term future of the firm.</w:t>
      </w:r>
    </w:p>
    <w:p w:rsidR="0087114C" w:rsidRPr="00DE585B" w:rsidRDefault="0087114C" w:rsidP="00991EC6">
      <w:pPr>
        <w:ind w:left="737" w:right="737"/>
        <w:jc w:val="both"/>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87114C" w:rsidRPr="00DE585B" w:rsidRDefault="0087114C" w:rsidP="00991EC6">
      <w:pPr>
        <w:ind w:left="737" w:right="737"/>
        <w:rPr>
          <w:sz w:val="24"/>
          <w:szCs w:val="24"/>
        </w:rPr>
      </w:pPr>
    </w:p>
    <w:p w:rsidR="009E2782" w:rsidRPr="00DE585B" w:rsidRDefault="009E2782" w:rsidP="00991EC6">
      <w:pPr>
        <w:ind w:left="737" w:right="737"/>
        <w:rPr>
          <w:sz w:val="24"/>
          <w:szCs w:val="24"/>
        </w:rPr>
      </w:pPr>
    </w:p>
    <w:p w:rsidR="009E2782" w:rsidRPr="00DE585B" w:rsidRDefault="009E2782" w:rsidP="00991EC6">
      <w:pPr>
        <w:ind w:left="737" w:right="737"/>
        <w:rPr>
          <w:sz w:val="24"/>
          <w:szCs w:val="24"/>
        </w:rPr>
      </w:pPr>
    </w:p>
    <w:p w:rsidR="009E2782" w:rsidRPr="00DE585B" w:rsidRDefault="009E2782" w:rsidP="00991EC6">
      <w:pPr>
        <w:ind w:left="737" w:right="737"/>
        <w:rPr>
          <w:sz w:val="24"/>
          <w:szCs w:val="24"/>
        </w:rPr>
      </w:pPr>
    </w:p>
    <w:p w:rsidR="009E2782" w:rsidRPr="00DE585B" w:rsidRDefault="009E2782" w:rsidP="00991EC6">
      <w:pPr>
        <w:ind w:left="737" w:right="737"/>
        <w:rPr>
          <w:sz w:val="24"/>
          <w:szCs w:val="24"/>
        </w:rPr>
      </w:pPr>
    </w:p>
    <w:p w:rsidR="009E2782" w:rsidRPr="00DE585B" w:rsidRDefault="009E2782" w:rsidP="00991EC6">
      <w:pPr>
        <w:ind w:left="737" w:right="737"/>
        <w:rPr>
          <w:sz w:val="24"/>
          <w:szCs w:val="24"/>
        </w:rPr>
      </w:pPr>
    </w:p>
    <w:p w:rsidR="009E2782" w:rsidRPr="00DE585B" w:rsidRDefault="009E2782" w:rsidP="00991EC6">
      <w:pPr>
        <w:ind w:left="737" w:right="737"/>
        <w:rPr>
          <w:sz w:val="24"/>
          <w:szCs w:val="24"/>
        </w:rPr>
      </w:pPr>
    </w:p>
    <w:p w:rsidR="009E2782" w:rsidRPr="00DE585B" w:rsidRDefault="009E2782" w:rsidP="004F5E2F">
      <w:pPr>
        <w:ind w:right="737"/>
        <w:rPr>
          <w:sz w:val="24"/>
          <w:szCs w:val="24"/>
        </w:rPr>
      </w:pPr>
    </w:p>
    <w:p w:rsidR="009E2782" w:rsidRPr="00DE585B" w:rsidRDefault="009E2782" w:rsidP="001D0E46">
      <w:pPr>
        <w:ind w:right="737"/>
        <w:rPr>
          <w:sz w:val="24"/>
          <w:szCs w:val="24"/>
        </w:rPr>
      </w:pPr>
    </w:p>
    <w:p w:rsidR="009E2782" w:rsidRPr="00DE585B" w:rsidRDefault="009E2782" w:rsidP="00991EC6">
      <w:pPr>
        <w:pStyle w:val="ListParagraph"/>
        <w:numPr>
          <w:ilvl w:val="0"/>
          <w:numId w:val="1"/>
        </w:numPr>
        <w:spacing w:line="360" w:lineRule="auto"/>
        <w:ind w:left="737" w:right="737"/>
        <w:rPr>
          <w:rFonts w:ascii="Arial" w:hAnsi="Arial" w:cs="Arial"/>
          <w:b/>
          <w:sz w:val="24"/>
          <w:szCs w:val="24"/>
          <w:u w:val="single"/>
        </w:rPr>
      </w:pPr>
      <w:r w:rsidRPr="00DE585B">
        <w:rPr>
          <w:rFonts w:ascii="Arial" w:hAnsi="Arial" w:cs="Arial"/>
          <w:b/>
          <w:sz w:val="24"/>
          <w:szCs w:val="24"/>
          <w:u w:val="single"/>
        </w:rPr>
        <w:t>Financial Health Check</w:t>
      </w:r>
    </w:p>
    <w:p w:rsidR="009E2782" w:rsidRPr="00DE585B" w:rsidRDefault="009E2782" w:rsidP="00991EC6">
      <w:pPr>
        <w:pStyle w:val="ListParagraph"/>
        <w:spacing w:line="360" w:lineRule="auto"/>
        <w:ind w:left="737" w:right="737"/>
        <w:jc w:val="both"/>
        <w:rPr>
          <w:rFonts w:ascii="Arial" w:hAnsi="Arial" w:cs="Arial"/>
          <w:sz w:val="24"/>
          <w:szCs w:val="24"/>
        </w:rPr>
      </w:pPr>
      <w:r w:rsidRPr="00DE585B">
        <w:rPr>
          <w:rFonts w:ascii="Arial" w:hAnsi="Arial" w:cs="Arial"/>
          <w:sz w:val="24"/>
          <w:szCs w:val="24"/>
        </w:rPr>
        <w:t>Examining General Electronics' financial statements from the past five years reflects that the company is in a state of extreme and accelerating failure. The problems exist across all three major statements (Income Statement, Balance Sheet, Cash Flow Statement), demonstrating an overall systemic financial and operational failure (and not merely a cyclical downturn).</w:t>
      </w:r>
    </w:p>
    <w:p w:rsidR="009E2782" w:rsidRPr="00DE585B" w:rsidRDefault="009E2782" w:rsidP="00991EC6">
      <w:pPr>
        <w:pStyle w:val="ListParagraph"/>
        <w:spacing w:line="360" w:lineRule="auto"/>
        <w:ind w:left="737" w:right="737"/>
        <w:rPr>
          <w:rFonts w:ascii="Arial" w:hAnsi="Arial" w:cs="Arial"/>
          <w:sz w:val="24"/>
          <w:szCs w:val="24"/>
        </w:rPr>
      </w:pPr>
    </w:p>
    <w:p w:rsidR="009E2782" w:rsidRPr="00DE585B" w:rsidRDefault="009E2782" w:rsidP="00D34161">
      <w:pPr>
        <w:pStyle w:val="ListParagraph"/>
        <w:numPr>
          <w:ilvl w:val="0"/>
          <w:numId w:val="4"/>
        </w:numPr>
        <w:spacing w:line="360" w:lineRule="auto"/>
        <w:ind w:left="1097" w:right="737"/>
        <w:rPr>
          <w:rFonts w:ascii="Arial" w:hAnsi="Arial" w:cs="Arial"/>
          <w:b/>
          <w:bCs/>
          <w:sz w:val="24"/>
          <w:szCs w:val="24"/>
          <w:u w:val="single"/>
          <w:lang w:val="en-GB"/>
        </w:rPr>
      </w:pPr>
      <w:r w:rsidRPr="00DE585B">
        <w:rPr>
          <w:rFonts w:ascii="Arial" w:hAnsi="Arial" w:cs="Arial"/>
          <w:b/>
          <w:bCs/>
          <w:sz w:val="24"/>
          <w:szCs w:val="24"/>
          <w:u w:val="single"/>
          <w:lang w:val="en-GB"/>
        </w:rPr>
        <w:t>Profitability Ratio</w:t>
      </w:r>
    </w:p>
    <w:p w:rsidR="00957D9D" w:rsidRPr="00DE585B" w:rsidRDefault="00957D9D" w:rsidP="00D34161">
      <w:pPr>
        <w:pStyle w:val="ListParagraph"/>
        <w:numPr>
          <w:ilvl w:val="0"/>
          <w:numId w:val="2"/>
        </w:numPr>
        <w:spacing w:line="360" w:lineRule="auto"/>
        <w:ind w:left="1097" w:right="737"/>
        <w:rPr>
          <w:rFonts w:ascii="Arial" w:hAnsi="Arial" w:cs="Arial"/>
          <w:b/>
          <w:sz w:val="24"/>
          <w:szCs w:val="24"/>
          <w:u w:val="single"/>
        </w:rPr>
      </w:pPr>
      <w:r w:rsidRPr="00DE585B">
        <w:rPr>
          <w:rFonts w:ascii="Arial" w:hAnsi="Arial" w:cs="Arial"/>
          <w:b/>
          <w:bCs/>
          <w:sz w:val="24"/>
          <w:szCs w:val="24"/>
          <w:u w:val="single"/>
          <w:lang w:val="en-GB"/>
        </w:rPr>
        <w:t>Return on Capital Employed (ROCE)</w:t>
      </w:r>
    </w:p>
    <w:p w:rsidR="00957D9D" w:rsidRPr="00DE585B" w:rsidRDefault="00957D9D" w:rsidP="00991EC6">
      <w:pPr>
        <w:spacing w:line="360" w:lineRule="auto"/>
        <w:ind w:left="737" w:right="737"/>
        <w:rPr>
          <w:rFonts w:ascii="Arial" w:hAnsi="Arial" w:cs="Arial"/>
          <w:sz w:val="24"/>
          <w:szCs w:val="24"/>
        </w:rPr>
      </w:pPr>
      <w:r w:rsidRPr="00DE585B">
        <w:rPr>
          <w:rFonts w:ascii="Arial" w:hAnsi="Arial" w:cs="Arial"/>
          <w:sz w:val="24"/>
          <w:szCs w:val="24"/>
        </w:rPr>
        <w:t>This ratio indicates the profit earned in relation to the capital employed (Total Assets less Current Liabilities) in the company. An increasing ROCE is seen as a positive indicator of a company’s performance</w:t>
      </w:r>
    </w:p>
    <w:p w:rsidR="00957D9D" w:rsidRPr="00DE585B" w:rsidRDefault="00957D9D" w:rsidP="00991EC6">
      <w:pPr>
        <w:spacing w:line="360" w:lineRule="auto"/>
        <w:ind w:left="737" w:right="737"/>
        <w:rPr>
          <w:rFonts w:ascii="Arial" w:hAnsi="Arial" w:cs="Arial"/>
          <w:sz w:val="24"/>
          <w:szCs w:val="24"/>
        </w:rPr>
      </w:pPr>
      <w:r w:rsidRPr="00DE585B">
        <w:rPr>
          <w:rFonts w:ascii="Arial" w:hAnsi="Arial" w:cs="Arial"/>
          <w:bCs/>
          <w:sz w:val="24"/>
          <w:szCs w:val="24"/>
          <w:lang w:val="en-GB"/>
        </w:rPr>
        <w:t xml:space="preserve">ROCE </w:t>
      </w:r>
      <w:r w:rsidR="00386068" w:rsidRPr="00DE585B">
        <w:rPr>
          <w:rFonts w:ascii="Arial" w:hAnsi="Arial" w:cs="Arial"/>
          <w:bCs/>
          <w:sz w:val="24"/>
          <w:szCs w:val="24"/>
          <w:lang w:val="en-GB"/>
        </w:rPr>
        <w:t xml:space="preserve">= </w:t>
      </w:r>
      <w:r w:rsidR="00386068" w:rsidRPr="00DE585B">
        <w:rPr>
          <w:rFonts w:ascii="Arial" w:hAnsi="Arial" w:cs="Arial"/>
          <w:b/>
          <w:bCs/>
          <w:sz w:val="24"/>
          <w:szCs w:val="24"/>
          <w:u w:val="single"/>
          <w:lang w:val="en-GB"/>
        </w:rPr>
        <w:t>Operating</w:t>
      </w:r>
      <w:r w:rsidRPr="00DE585B">
        <w:rPr>
          <w:rFonts w:ascii="Arial" w:hAnsi="Arial" w:cs="Arial"/>
          <w:b/>
          <w:bCs/>
          <w:sz w:val="24"/>
          <w:szCs w:val="24"/>
          <w:u w:val="single"/>
          <w:lang w:val="en-GB"/>
        </w:rPr>
        <w:t xml:space="preserve"> </w:t>
      </w:r>
      <w:proofErr w:type="gramStart"/>
      <w:r w:rsidRPr="00DE585B">
        <w:rPr>
          <w:rFonts w:ascii="Arial" w:hAnsi="Arial" w:cs="Arial"/>
          <w:b/>
          <w:bCs/>
          <w:sz w:val="24"/>
          <w:szCs w:val="24"/>
          <w:u w:val="single"/>
          <w:lang w:val="en-GB"/>
        </w:rPr>
        <w:t xml:space="preserve">Profit  </w:t>
      </w:r>
      <w:r w:rsidRPr="00DE585B">
        <w:rPr>
          <w:rFonts w:ascii="Arial" w:hAnsi="Arial" w:cs="Arial"/>
          <w:b/>
          <w:bCs/>
          <w:sz w:val="24"/>
          <w:szCs w:val="24"/>
          <w:lang w:val="en-GB"/>
        </w:rPr>
        <w:t>x</w:t>
      </w:r>
      <w:proofErr w:type="gramEnd"/>
      <w:r w:rsidRPr="00DE585B">
        <w:rPr>
          <w:rFonts w:ascii="Arial" w:hAnsi="Arial" w:cs="Arial"/>
          <w:b/>
          <w:bCs/>
          <w:sz w:val="24"/>
          <w:szCs w:val="24"/>
          <w:lang w:val="en-GB"/>
        </w:rPr>
        <w:t xml:space="preserve"> 100</w:t>
      </w:r>
    </w:p>
    <w:p w:rsidR="00957D9D" w:rsidRPr="00DE585B" w:rsidRDefault="00957D9D" w:rsidP="00991EC6">
      <w:pPr>
        <w:spacing w:line="360" w:lineRule="auto"/>
        <w:ind w:left="737" w:right="737"/>
        <w:rPr>
          <w:rFonts w:ascii="Arial" w:hAnsi="Arial" w:cs="Arial"/>
          <w:b/>
          <w:bCs/>
          <w:sz w:val="24"/>
          <w:szCs w:val="24"/>
          <w:lang w:val="en-GB"/>
        </w:rPr>
      </w:pPr>
      <w:r w:rsidRPr="00DE585B">
        <w:rPr>
          <w:rFonts w:ascii="Arial" w:hAnsi="Arial" w:cs="Arial"/>
          <w:b/>
          <w:bCs/>
          <w:sz w:val="24"/>
          <w:szCs w:val="24"/>
          <w:lang w:val="en-GB"/>
        </w:rPr>
        <w:t xml:space="preserve">               Capital Employed</w:t>
      </w:r>
    </w:p>
    <w:p w:rsidR="00AC783F" w:rsidRPr="00DE585B" w:rsidRDefault="00AC783F" w:rsidP="00991EC6">
      <w:pPr>
        <w:spacing w:after="0" w:line="240" w:lineRule="auto"/>
        <w:ind w:left="737" w:right="737"/>
        <w:rPr>
          <w:rFonts w:ascii="Arial" w:hAnsi="Arial" w:cs="Arial"/>
          <w:sz w:val="24"/>
          <w:szCs w:val="24"/>
          <w:u w:val="single"/>
        </w:rPr>
      </w:pPr>
      <w:r w:rsidRPr="00DE585B">
        <w:rPr>
          <w:rFonts w:ascii="Arial" w:hAnsi="Arial" w:cs="Arial"/>
          <w:sz w:val="24"/>
          <w:szCs w:val="24"/>
        </w:rPr>
        <w:t xml:space="preserve">                             </w:t>
      </w:r>
      <w:r w:rsidRPr="00DE585B">
        <w:rPr>
          <w:rFonts w:ascii="Arial" w:hAnsi="Arial" w:cs="Arial"/>
          <w:sz w:val="24"/>
          <w:szCs w:val="24"/>
          <w:u w:val="single"/>
        </w:rPr>
        <w:t>Capital Employed = Total Assets - Total Current Liabilities</w:t>
      </w:r>
    </w:p>
    <w:tbl>
      <w:tblPr>
        <w:tblStyle w:val="GridTable4-Accent5"/>
        <w:tblpPr w:leftFromText="180" w:rightFromText="180" w:vertAnchor="text" w:horzAnchor="margin" w:tblpXSpec="center" w:tblpY="371"/>
        <w:tblW w:w="10484" w:type="dxa"/>
        <w:tblLook w:val="04A0" w:firstRow="1" w:lastRow="0" w:firstColumn="1" w:lastColumn="0" w:noHBand="0" w:noVBand="1"/>
      </w:tblPr>
      <w:tblGrid>
        <w:gridCol w:w="2224"/>
        <w:gridCol w:w="2868"/>
        <w:gridCol w:w="2888"/>
        <w:gridCol w:w="2504"/>
      </w:tblGrid>
      <w:tr w:rsidR="00AC783F" w:rsidRPr="00DE585B" w:rsidTr="00CA578F">
        <w:trPr>
          <w:cnfStyle w:val="100000000000" w:firstRow="1" w:lastRow="0" w:firstColumn="0" w:lastColumn="0" w:oddVBand="0" w:evenVBand="0" w:oddHBand="0" w:evenHBand="0" w:firstRowFirstColumn="0" w:firstRowLastColumn="0" w:lastRowFirstColumn="0" w:lastRowLastColumn="0"/>
          <w:trHeight w:val="749"/>
        </w:trPr>
        <w:tc>
          <w:tcPr>
            <w:cnfStyle w:val="001000000000" w:firstRow="0" w:lastRow="0" w:firstColumn="1" w:lastColumn="0" w:oddVBand="0" w:evenVBand="0" w:oddHBand="0" w:evenHBand="0" w:firstRowFirstColumn="0" w:firstRowLastColumn="0" w:lastRowFirstColumn="0" w:lastRowLastColumn="0"/>
            <w:tcW w:w="0" w:type="auto"/>
            <w:hideMark/>
          </w:tcPr>
          <w:p w:rsidR="00AC783F" w:rsidRPr="00DE585B" w:rsidRDefault="00AC783F" w:rsidP="00991EC6">
            <w:pPr>
              <w:ind w:left="737" w:right="737"/>
              <w:jc w:val="center"/>
              <w:rPr>
                <w:rFonts w:ascii="Arial" w:hAnsi="Arial" w:cs="Arial"/>
                <w:sz w:val="24"/>
                <w:szCs w:val="24"/>
              </w:rPr>
            </w:pPr>
            <w:r w:rsidRPr="00DE585B">
              <w:rPr>
                <w:rFonts w:ascii="Arial" w:hAnsi="Arial" w:cs="Arial"/>
                <w:sz w:val="24"/>
                <w:szCs w:val="24"/>
              </w:rPr>
              <w:t xml:space="preserve">Year  </w:t>
            </w:r>
          </w:p>
        </w:tc>
        <w:tc>
          <w:tcPr>
            <w:tcW w:w="0" w:type="auto"/>
            <w:hideMark/>
          </w:tcPr>
          <w:p w:rsidR="00AC783F" w:rsidRPr="00DE585B" w:rsidRDefault="00AC783F" w:rsidP="00991EC6">
            <w:pPr>
              <w:ind w:left="737" w:right="737"/>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Operating Profit (£m)</w:t>
            </w:r>
          </w:p>
        </w:tc>
        <w:tc>
          <w:tcPr>
            <w:tcW w:w="0" w:type="auto"/>
            <w:hideMark/>
          </w:tcPr>
          <w:p w:rsidR="00AC783F" w:rsidRPr="00DE585B" w:rsidRDefault="00AC783F" w:rsidP="00991EC6">
            <w:pPr>
              <w:ind w:left="737" w:right="737"/>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Capital Employed (£m)</w:t>
            </w:r>
          </w:p>
        </w:tc>
        <w:tc>
          <w:tcPr>
            <w:tcW w:w="0" w:type="auto"/>
            <w:hideMark/>
          </w:tcPr>
          <w:p w:rsidR="00AC783F" w:rsidRPr="00DE585B" w:rsidRDefault="00AC783F" w:rsidP="00991EC6">
            <w:pPr>
              <w:ind w:left="737" w:right="737"/>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ROCE</w:t>
            </w:r>
          </w:p>
        </w:tc>
      </w:tr>
      <w:tr w:rsidR="00AC783F" w:rsidRPr="00DE585B" w:rsidTr="00CA578F">
        <w:trPr>
          <w:cnfStyle w:val="000000100000" w:firstRow="0" w:lastRow="0" w:firstColumn="0" w:lastColumn="0" w:oddVBand="0" w:evenVBand="0" w:oddHBand="1" w:evenHBand="0" w:firstRowFirstColumn="0" w:firstRowLastColumn="0" w:lastRowFirstColumn="0" w:lastRowLastColumn="0"/>
          <w:trHeight w:val="749"/>
        </w:trPr>
        <w:tc>
          <w:tcPr>
            <w:cnfStyle w:val="001000000000" w:firstRow="0" w:lastRow="0" w:firstColumn="1" w:lastColumn="0" w:oddVBand="0" w:evenVBand="0" w:oddHBand="0" w:evenHBand="0" w:firstRowFirstColumn="0" w:firstRowLastColumn="0" w:lastRowFirstColumn="0" w:lastRowLastColumn="0"/>
            <w:tcW w:w="0" w:type="auto"/>
            <w:hideMark/>
          </w:tcPr>
          <w:p w:rsidR="00AC783F" w:rsidRPr="00DE585B" w:rsidRDefault="00AC783F" w:rsidP="00991EC6">
            <w:pPr>
              <w:ind w:left="737" w:right="737"/>
              <w:jc w:val="center"/>
              <w:rPr>
                <w:rFonts w:ascii="Arial" w:hAnsi="Arial" w:cs="Arial"/>
                <w:sz w:val="24"/>
                <w:szCs w:val="24"/>
              </w:rPr>
            </w:pPr>
            <w:r w:rsidRPr="00DE585B">
              <w:rPr>
                <w:rFonts w:ascii="Arial" w:hAnsi="Arial" w:cs="Arial"/>
                <w:sz w:val="24"/>
                <w:szCs w:val="24"/>
              </w:rPr>
              <w:t>2024</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-15,297</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165,063</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-9.27%</w:t>
            </w:r>
          </w:p>
        </w:tc>
      </w:tr>
      <w:tr w:rsidR="00AC783F" w:rsidRPr="00DE585B" w:rsidTr="00CA578F">
        <w:trPr>
          <w:trHeight w:val="749"/>
        </w:trPr>
        <w:tc>
          <w:tcPr>
            <w:cnfStyle w:val="001000000000" w:firstRow="0" w:lastRow="0" w:firstColumn="1" w:lastColumn="0" w:oddVBand="0" w:evenVBand="0" w:oddHBand="0" w:evenHBand="0" w:firstRowFirstColumn="0" w:firstRowLastColumn="0" w:lastRowFirstColumn="0" w:lastRowLastColumn="0"/>
            <w:tcW w:w="0" w:type="auto"/>
            <w:hideMark/>
          </w:tcPr>
          <w:p w:rsidR="00AC783F" w:rsidRPr="00DE585B" w:rsidRDefault="00AC783F" w:rsidP="00991EC6">
            <w:pPr>
              <w:ind w:left="737" w:right="737"/>
              <w:jc w:val="center"/>
              <w:rPr>
                <w:rFonts w:ascii="Arial" w:hAnsi="Arial" w:cs="Arial"/>
                <w:sz w:val="24"/>
                <w:szCs w:val="24"/>
              </w:rPr>
            </w:pPr>
            <w:r w:rsidRPr="00DE585B">
              <w:rPr>
                <w:rFonts w:ascii="Arial" w:hAnsi="Arial" w:cs="Arial"/>
                <w:sz w:val="24"/>
                <w:szCs w:val="24"/>
              </w:rPr>
              <w:t>2023</w:t>
            </w:r>
          </w:p>
        </w:tc>
        <w:tc>
          <w:tcPr>
            <w:tcW w:w="0" w:type="auto"/>
            <w:hideMark/>
          </w:tcPr>
          <w:p w:rsidR="00AC783F" w:rsidRPr="00DE585B" w:rsidRDefault="00AC783F"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-85,301</w:t>
            </w:r>
          </w:p>
        </w:tc>
        <w:tc>
          <w:tcPr>
            <w:tcW w:w="0" w:type="auto"/>
            <w:hideMark/>
          </w:tcPr>
          <w:p w:rsidR="00AC783F" w:rsidRPr="00DE585B" w:rsidRDefault="00AC783F"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194,724</w:t>
            </w:r>
          </w:p>
        </w:tc>
        <w:tc>
          <w:tcPr>
            <w:tcW w:w="0" w:type="auto"/>
            <w:hideMark/>
          </w:tcPr>
          <w:p w:rsidR="00AC783F" w:rsidRPr="00DE585B" w:rsidRDefault="00CA578F" w:rsidP="00CA578F">
            <w:pPr>
              <w:ind w:right="73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 xml:space="preserve">         -</w:t>
            </w:r>
            <w:r w:rsidR="00AC783F" w:rsidRPr="00DE585B">
              <w:rPr>
                <w:rFonts w:ascii="Arial" w:hAnsi="Arial" w:cs="Arial"/>
                <w:sz w:val="24"/>
                <w:szCs w:val="24"/>
              </w:rPr>
              <w:t>43.81%</w:t>
            </w:r>
          </w:p>
        </w:tc>
      </w:tr>
      <w:tr w:rsidR="00AC783F" w:rsidRPr="00DE585B" w:rsidTr="00CA578F">
        <w:trPr>
          <w:cnfStyle w:val="000000100000" w:firstRow="0" w:lastRow="0" w:firstColumn="0" w:lastColumn="0" w:oddVBand="0" w:evenVBand="0" w:oddHBand="1" w:evenHBand="0" w:firstRowFirstColumn="0" w:firstRowLastColumn="0" w:lastRowFirstColumn="0" w:lastRowLastColumn="0"/>
          <w:trHeight w:val="749"/>
        </w:trPr>
        <w:tc>
          <w:tcPr>
            <w:cnfStyle w:val="001000000000" w:firstRow="0" w:lastRow="0" w:firstColumn="1" w:lastColumn="0" w:oddVBand="0" w:evenVBand="0" w:oddHBand="0" w:evenHBand="0" w:firstRowFirstColumn="0" w:firstRowLastColumn="0" w:lastRowFirstColumn="0" w:lastRowLastColumn="0"/>
            <w:tcW w:w="0" w:type="auto"/>
            <w:hideMark/>
          </w:tcPr>
          <w:p w:rsidR="00AC783F" w:rsidRPr="00DE585B" w:rsidRDefault="00AC783F" w:rsidP="00991EC6">
            <w:pPr>
              <w:ind w:left="737" w:right="737"/>
              <w:jc w:val="center"/>
              <w:rPr>
                <w:rFonts w:ascii="Arial" w:hAnsi="Arial" w:cs="Arial"/>
                <w:sz w:val="24"/>
                <w:szCs w:val="24"/>
              </w:rPr>
            </w:pPr>
            <w:r w:rsidRPr="00DE585B">
              <w:rPr>
                <w:rFonts w:ascii="Arial" w:hAnsi="Arial" w:cs="Arial"/>
                <w:sz w:val="24"/>
                <w:szCs w:val="24"/>
              </w:rPr>
              <w:t>2022</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14,548</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287,690</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5.06%</w:t>
            </w:r>
          </w:p>
        </w:tc>
      </w:tr>
      <w:tr w:rsidR="00AC783F" w:rsidRPr="00DE585B" w:rsidTr="00CA578F">
        <w:trPr>
          <w:trHeight w:val="749"/>
        </w:trPr>
        <w:tc>
          <w:tcPr>
            <w:cnfStyle w:val="001000000000" w:firstRow="0" w:lastRow="0" w:firstColumn="1" w:lastColumn="0" w:oddVBand="0" w:evenVBand="0" w:oddHBand="0" w:evenHBand="0" w:firstRowFirstColumn="0" w:firstRowLastColumn="0" w:lastRowFirstColumn="0" w:lastRowLastColumn="0"/>
            <w:tcW w:w="0" w:type="auto"/>
            <w:hideMark/>
          </w:tcPr>
          <w:p w:rsidR="00AC783F" w:rsidRPr="00DE585B" w:rsidRDefault="00AC783F" w:rsidP="00991EC6">
            <w:pPr>
              <w:ind w:left="737" w:right="737"/>
              <w:jc w:val="center"/>
              <w:rPr>
                <w:rFonts w:ascii="Arial" w:hAnsi="Arial" w:cs="Arial"/>
                <w:sz w:val="24"/>
                <w:szCs w:val="24"/>
              </w:rPr>
            </w:pPr>
            <w:r w:rsidRPr="00DE585B">
              <w:rPr>
                <w:rFonts w:ascii="Arial" w:hAnsi="Arial" w:cs="Arial"/>
                <w:sz w:val="24"/>
                <w:szCs w:val="24"/>
              </w:rPr>
              <w:t>2021</w:t>
            </w:r>
          </w:p>
        </w:tc>
        <w:tc>
          <w:tcPr>
            <w:tcW w:w="0" w:type="auto"/>
            <w:hideMark/>
          </w:tcPr>
          <w:p w:rsidR="00AC783F" w:rsidRPr="00DE585B" w:rsidRDefault="00AC783F"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23,253</w:t>
            </w:r>
          </w:p>
        </w:tc>
        <w:tc>
          <w:tcPr>
            <w:tcW w:w="0" w:type="auto"/>
            <w:hideMark/>
          </w:tcPr>
          <w:p w:rsidR="00AC783F" w:rsidRPr="00DE585B" w:rsidRDefault="00AC783F"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293,561</w:t>
            </w:r>
          </w:p>
        </w:tc>
        <w:tc>
          <w:tcPr>
            <w:tcW w:w="0" w:type="auto"/>
            <w:hideMark/>
          </w:tcPr>
          <w:p w:rsidR="00AC783F" w:rsidRPr="00DE585B" w:rsidRDefault="00AC783F"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7.92%</w:t>
            </w:r>
          </w:p>
        </w:tc>
      </w:tr>
      <w:tr w:rsidR="00AC783F" w:rsidRPr="00DE585B" w:rsidTr="00CA578F">
        <w:trPr>
          <w:cnfStyle w:val="000000100000" w:firstRow="0" w:lastRow="0" w:firstColumn="0" w:lastColumn="0" w:oddVBand="0" w:evenVBand="0" w:oddHBand="1" w:evenHBand="0" w:firstRowFirstColumn="0" w:firstRowLastColumn="0" w:lastRowFirstColumn="0" w:lastRowLastColumn="0"/>
          <w:trHeight w:val="749"/>
        </w:trPr>
        <w:tc>
          <w:tcPr>
            <w:cnfStyle w:val="001000000000" w:firstRow="0" w:lastRow="0" w:firstColumn="1" w:lastColumn="0" w:oddVBand="0" w:evenVBand="0" w:oddHBand="0" w:evenHBand="0" w:firstRowFirstColumn="0" w:firstRowLastColumn="0" w:lastRowFirstColumn="0" w:lastRowLastColumn="0"/>
            <w:tcW w:w="0" w:type="auto"/>
            <w:hideMark/>
          </w:tcPr>
          <w:p w:rsidR="00AC783F" w:rsidRPr="00DE585B" w:rsidRDefault="00AC783F" w:rsidP="00991EC6">
            <w:pPr>
              <w:ind w:left="737" w:right="737"/>
              <w:jc w:val="center"/>
              <w:rPr>
                <w:rFonts w:ascii="Arial" w:hAnsi="Arial" w:cs="Arial"/>
                <w:sz w:val="24"/>
                <w:szCs w:val="24"/>
              </w:rPr>
            </w:pPr>
            <w:r w:rsidRPr="00DE585B">
              <w:rPr>
                <w:rFonts w:ascii="Arial" w:hAnsi="Arial" w:cs="Arial"/>
                <w:sz w:val="24"/>
                <w:szCs w:val="24"/>
              </w:rPr>
              <w:t>2020</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37,267</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330,780</w:t>
            </w:r>
          </w:p>
        </w:tc>
        <w:tc>
          <w:tcPr>
            <w:tcW w:w="0" w:type="auto"/>
            <w:hideMark/>
          </w:tcPr>
          <w:p w:rsidR="00AC783F" w:rsidRPr="00DE585B" w:rsidRDefault="00AC783F"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11.27%</w:t>
            </w:r>
          </w:p>
        </w:tc>
      </w:tr>
    </w:tbl>
    <w:p w:rsidR="00AC783F" w:rsidRPr="00DE585B" w:rsidRDefault="00AC783F" w:rsidP="00991EC6">
      <w:pPr>
        <w:spacing w:line="360" w:lineRule="auto"/>
        <w:ind w:left="737" w:right="737"/>
        <w:rPr>
          <w:rFonts w:ascii="Arial" w:hAnsi="Arial" w:cs="Arial"/>
          <w:sz w:val="24"/>
          <w:szCs w:val="24"/>
        </w:rPr>
      </w:pPr>
    </w:p>
    <w:p w:rsidR="00AC783F" w:rsidRPr="00DE585B" w:rsidRDefault="00AC783F" w:rsidP="00991EC6">
      <w:pPr>
        <w:pStyle w:val="ListParagraph"/>
        <w:spacing w:line="360" w:lineRule="auto"/>
        <w:ind w:left="737" w:right="737"/>
        <w:jc w:val="center"/>
        <w:rPr>
          <w:rFonts w:ascii="Arial" w:hAnsi="Arial" w:cs="Arial"/>
          <w:b/>
          <w:bCs/>
          <w:i/>
          <w:sz w:val="24"/>
          <w:szCs w:val="24"/>
          <w:u w:val="single"/>
          <w:lang w:val="en-GB"/>
        </w:rPr>
      </w:pPr>
      <w:r w:rsidRPr="00DE585B">
        <w:rPr>
          <w:rFonts w:ascii="Arial" w:hAnsi="Arial" w:cs="Arial"/>
          <w:b/>
          <w:i/>
          <w:sz w:val="24"/>
          <w:szCs w:val="24"/>
          <w:u w:val="single"/>
        </w:rPr>
        <w:t xml:space="preserve">Table 1.1: </w:t>
      </w:r>
      <w:r w:rsidRPr="00DE585B">
        <w:rPr>
          <w:rFonts w:ascii="Arial" w:hAnsi="Arial" w:cs="Arial"/>
          <w:b/>
          <w:bCs/>
          <w:i/>
          <w:sz w:val="24"/>
          <w:szCs w:val="24"/>
          <w:u w:val="single"/>
          <w:lang w:val="en-GB"/>
        </w:rPr>
        <w:t>Return on Capital Employed (ROCE)</w:t>
      </w:r>
      <w:r w:rsidR="009D3B0B">
        <w:rPr>
          <w:rFonts w:ascii="Arial" w:hAnsi="Arial" w:cs="Arial"/>
          <w:b/>
          <w:bCs/>
          <w:i/>
          <w:sz w:val="24"/>
          <w:szCs w:val="24"/>
          <w:u w:val="single"/>
          <w:lang w:val="en-GB"/>
        </w:rPr>
        <w:t xml:space="preserve"> (Self Sourced)</w:t>
      </w:r>
    </w:p>
    <w:p w:rsidR="00BB64A1" w:rsidRPr="00DE585B" w:rsidRDefault="00386068" w:rsidP="00991EC6">
      <w:pPr>
        <w:pStyle w:val="ListParagraph"/>
        <w:spacing w:line="360" w:lineRule="auto"/>
        <w:ind w:left="737" w:right="737"/>
        <w:rPr>
          <w:rFonts w:ascii="Arial" w:hAnsi="Arial" w:cs="Arial"/>
          <w:sz w:val="24"/>
          <w:szCs w:val="24"/>
        </w:rPr>
      </w:pPr>
      <w:r w:rsidRPr="00DE585B">
        <w:rPr>
          <w:rFonts w:ascii="Arial" w:hAnsi="Arial" w:cs="Arial"/>
          <w:noProof/>
          <w:sz w:val="24"/>
          <w:szCs w:val="24"/>
        </w:rPr>
        <w:lastRenderedPageBreak/>
        <w:drawing>
          <wp:inline distT="0" distB="0" distL="0" distR="0">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A578F" w:rsidRPr="00DE585B" w:rsidRDefault="00CA578F" w:rsidP="00CA578F">
      <w:pPr>
        <w:pStyle w:val="ListParagraph"/>
        <w:spacing w:line="360" w:lineRule="auto"/>
        <w:ind w:left="737" w:right="737"/>
        <w:jc w:val="center"/>
        <w:rPr>
          <w:rFonts w:ascii="Arial" w:hAnsi="Arial" w:cs="Arial"/>
          <w:b/>
          <w:i/>
          <w:sz w:val="24"/>
          <w:szCs w:val="24"/>
          <w:u w:val="single"/>
        </w:rPr>
      </w:pPr>
      <w:r w:rsidRPr="00DE585B">
        <w:rPr>
          <w:rFonts w:ascii="Arial" w:hAnsi="Arial" w:cs="Arial"/>
          <w:b/>
          <w:i/>
          <w:sz w:val="24"/>
          <w:szCs w:val="24"/>
          <w:u w:val="single"/>
        </w:rPr>
        <w:t xml:space="preserve">Fig 1.1 ROCE </w:t>
      </w:r>
      <w:proofErr w:type="gramStart"/>
      <w:r w:rsidRPr="00DE585B">
        <w:rPr>
          <w:rFonts w:ascii="Arial" w:hAnsi="Arial" w:cs="Arial"/>
          <w:b/>
          <w:i/>
          <w:sz w:val="24"/>
          <w:szCs w:val="24"/>
          <w:u w:val="single"/>
        </w:rPr>
        <w:t>analysis</w:t>
      </w:r>
      <w:r w:rsidR="009D3B0B">
        <w:rPr>
          <w:rFonts w:ascii="Arial" w:hAnsi="Arial" w:cs="Arial"/>
          <w:b/>
          <w:bCs/>
          <w:i/>
          <w:sz w:val="24"/>
          <w:szCs w:val="24"/>
          <w:u w:val="single"/>
          <w:lang w:val="en-GB"/>
        </w:rPr>
        <w:t>(</w:t>
      </w:r>
      <w:proofErr w:type="spellStart"/>
      <w:proofErr w:type="gramEnd"/>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CA578F" w:rsidRPr="00DE585B" w:rsidRDefault="00CA578F" w:rsidP="00991EC6">
      <w:pPr>
        <w:pStyle w:val="ListParagraph"/>
        <w:spacing w:line="360" w:lineRule="auto"/>
        <w:ind w:left="737" w:right="737"/>
        <w:rPr>
          <w:rFonts w:ascii="Arial" w:hAnsi="Arial" w:cs="Arial"/>
          <w:sz w:val="24"/>
          <w:szCs w:val="24"/>
        </w:rPr>
      </w:pPr>
      <w:r w:rsidRPr="00DE585B">
        <w:rPr>
          <w:rFonts w:ascii="Arial" w:hAnsi="Arial" w:cs="Arial"/>
          <w:sz w:val="24"/>
          <w:szCs w:val="24"/>
        </w:rPr>
        <w:t>The ROCE analysis validates that General Electronics is not a sustainable ongoing concern as it stands today. It is destroying value on a huge scale. The scoring factors are insufficient EBIT (with high costs and poor margins) and a highly inefficient, rapidly diminishing Capital Employed base. The turnaround strategy should aim for a positive and sustainable ROCE above 10% within three years. This plan will include maximizing the numerator, EBIT via cost reductions and margins, and optimizing the denominator, Capital Employed, through efficient asset disposals and working capital management.</w:t>
      </w:r>
    </w:p>
    <w:p w:rsidR="00CA578F" w:rsidRPr="00DE585B" w:rsidRDefault="00CA578F" w:rsidP="00991EC6">
      <w:pPr>
        <w:pStyle w:val="ListParagraph"/>
        <w:spacing w:line="360" w:lineRule="auto"/>
        <w:ind w:left="737" w:right="737"/>
        <w:rPr>
          <w:rFonts w:ascii="Arial" w:hAnsi="Arial" w:cs="Arial"/>
          <w:sz w:val="24"/>
          <w:szCs w:val="24"/>
        </w:rPr>
      </w:pPr>
    </w:p>
    <w:p w:rsidR="00957D9D" w:rsidRPr="00DE585B" w:rsidRDefault="00AC783F" w:rsidP="00991EC6">
      <w:pPr>
        <w:pStyle w:val="ListParagraph"/>
        <w:numPr>
          <w:ilvl w:val="0"/>
          <w:numId w:val="2"/>
        </w:numPr>
        <w:spacing w:line="360" w:lineRule="auto"/>
        <w:ind w:left="737" w:right="737"/>
        <w:rPr>
          <w:rFonts w:ascii="Arial" w:hAnsi="Arial" w:cs="Arial"/>
          <w:b/>
          <w:bCs/>
          <w:sz w:val="24"/>
          <w:szCs w:val="24"/>
          <w:u w:val="single"/>
          <w:lang w:val="en-GB"/>
        </w:rPr>
      </w:pPr>
      <w:r w:rsidRPr="00DE585B">
        <w:rPr>
          <w:rFonts w:ascii="Arial" w:hAnsi="Arial" w:cs="Arial"/>
          <w:b/>
          <w:bCs/>
          <w:sz w:val="24"/>
          <w:szCs w:val="24"/>
          <w:u w:val="single"/>
          <w:lang w:val="en-GB"/>
        </w:rPr>
        <w:t>ASSET TURNOVER</w:t>
      </w:r>
    </w:p>
    <w:p w:rsidR="00AC783F" w:rsidRPr="00DE585B" w:rsidRDefault="00AC783F" w:rsidP="00991EC6">
      <w:pPr>
        <w:pStyle w:val="ListParagraph"/>
        <w:spacing w:line="360" w:lineRule="auto"/>
        <w:ind w:left="737" w:right="737"/>
        <w:rPr>
          <w:rFonts w:ascii="Arial" w:hAnsi="Arial" w:cs="Arial"/>
          <w:sz w:val="24"/>
          <w:szCs w:val="24"/>
        </w:rPr>
      </w:pPr>
      <w:r w:rsidRPr="00DE585B">
        <w:rPr>
          <w:rFonts w:ascii="Arial" w:hAnsi="Arial" w:cs="Arial"/>
          <w:sz w:val="24"/>
          <w:szCs w:val="24"/>
        </w:rPr>
        <w:t xml:space="preserve">This ratio indicates the revenue earned per £1 of capital employed (Total Assets less Current Liabilities) </w:t>
      </w:r>
      <w:proofErr w:type="gramStart"/>
      <w:r w:rsidRPr="00DE585B">
        <w:rPr>
          <w:rFonts w:ascii="Arial" w:hAnsi="Arial" w:cs="Arial"/>
          <w:sz w:val="24"/>
          <w:szCs w:val="24"/>
        </w:rPr>
        <w:t>An</w:t>
      </w:r>
      <w:proofErr w:type="gramEnd"/>
      <w:r w:rsidRPr="00DE585B">
        <w:rPr>
          <w:rFonts w:ascii="Arial" w:hAnsi="Arial" w:cs="Arial"/>
          <w:sz w:val="24"/>
          <w:szCs w:val="24"/>
        </w:rPr>
        <w:t xml:space="preserve"> increasing Asset Turnover figure is seen as a positive indicator of a company’s performance.</w:t>
      </w:r>
    </w:p>
    <w:p w:rsidR="00BB64A1" w:rsidRPr="00DE585B" w:rsidRDefault="00BB64A1" w:rsidP="00991EC6">
      <w:pPr>
        <w:pStyle w:val="ListParagraph"/>
        <w:spacing w:line="360" w:lineRule="auto"/>
        <w:ind w:left="737" w:right="737"/>
        <w:rPr>
          <w:rFonts w:ascii="Arial" w:hAnsi="Arial" w:cs="Arial"/>
          <w:sz w:val="24"/>
          <w:szCs w:val="24"/>
        </w:rPr>
      </w:pPr>
    </w:p>
    <w:p w:rsidR="00AC783F" w:rsidRPr="00DE585B" w:rsidRDefault="00BB64A1" w:rsidP="00991EC6">
      <w:pPr>
        <w:pStyle w:val="ListParagraph"/>
        <w:spacing w:line="360" w:lineRule="auto"/>
        <w:ind w:left="737" w:right="737"/>
        <w:rPr>
          <w:rFonts w:ascii="Arial" w:hAnsi="Arial" w:cs="Arial"/>
          <w:sz w:val="24"/>
          <w:szCs w:val="24"/>
        </w:rPr>
      </w:pPr>
      <w:r w:rsidRPr="00DE585B">
        <w:rPr>
          <w:rFonts w:ascii="Arial" w:hAnsi="Arial" w:cs="Arial"/>
          <w:b/>
          <w:bCs/>
          <w:sz w:val="24"/>
          <w:szCs w:val="24"/>
          <w:lang w:val="en-GB"/>
        </w:rPr>
        <w:t>Asset Turnover =</w:t>
      </w:r>
      <w:r w:rsidR="00AC783F" w:rsidRPr="00DE585B">
        <w:rPr>
          <w:rFonts w:ascii="Arial" w:hAnsi="Arial" w:cs="Arial"/>
          <w:b/>
          <w:bCs/>
          <w:sz w:val="24"/>
          <w:szCs w:val="24"/>
          <w:lang w:val="en-GB"/>
        </w:rPr>
        <w:t xml:space="preserve">    </w:t>
      </w:r>
      <w:r w:rsidR="00AC783F" w:rsidRPr="00DE585B">
        <w:rPr>
          <w:rFonts w:ascii="Arial" w:hAnsi="Arial" w:cs="Arial"/>
          <w:b/>
          <w:bCs/>
          <w:sz w:val="24"/>
          <w:szCs w:val="24"/>
          <w:u w:val="single"/>
          <w:lang w:val="en-GB"/>
        </w:rPr>
        <w:t>Revenue</w:t>
      </w:r>
      <w:r w:rsidR="00AC783F" w:rsidRPr="00DE585B">
        <w:rPr>
          <w:rFonts w:ascii="Arial" w:hAnsi="Arial" w:cs="Arial"/>
          <w:b/>
          <w:bCs/>
          <w:sz w:val="24"/>
          <w:szCs w:val="24"/>
          <w:lang w:val="en-GB"/>
        </w:rPr>
        <w:t xml:space="preserve">     </w:t>
      </w:r>
    </w:p>
    <w:p w:rsidR="00AC783F" w:rsidRPr="00DE585B" w:rsidRDefault="00BB64A1" w:rsidP="00991EC6">
      <w:pPr>
        <w:pStyle w:val="ListParagraph"/>
        <w:spacing w:line="360" w:lineRule="auto"/>
        <w:ind w:left="737" w:right="737"/>
        <w:rPr>
          <w:rFonts w:ascii="Arial" w:hAnsi="Arial" w:cs="Arial"/>
          <w:sz w:val="24"/>
          <w:szCs w:val="24"/>
        </w:rPr>
      </w:pPr>
      <w:r w:rsidRPr="00DE585B">
        <w:rPr>
          <w:rFonts w:ascii="Arial" w:hAnsi="Arial" w:cs="Arial"/>
          <w:b/>
          <w:bCs/>
          <w:sz w:val="24"/>
          <w:szCs w:val="24"/>
          <w:lang w:val="en-GB"/>
        </w:rPr>
        <w:t xml:space="preserve">                           </w:t>
      </w:r>
      <w:r w:rsidR="00AC783F" w:rsidRPr="00DE585B">
        <w:rPr>
          <w:rFonts w:ascii="Arial" w:hAnsi="Arial" w:cs="Arial"/>
          <w:b/>
          <w:bCs/>
          <w:sz w:val="24"/>
          <w:szCs w:val="24"/>
          <w:lang w:val="en-GB"/>
        </w:rPr>
        <w:t>Capital Employed</w:t>
      </w:r>
    </w:p>
    <w:tbl>
      <w:tblPr>
        <w:tblStyle w:val="GridTable4-Accent6"/>
        <w:tblpPr w:leftFromText="180" w:rightFromText="180" w:vertAnchor="text" w:horzAnchor="margin" w:tblpXSpec="center" w:tblpY="167"/>
        <w:tblW w:w="8716" w:type="dxa"/>
        <w:tblLook w:val="04A0" w:firstRow="1" w:lastRow="0" w:firstColumn="1" w:lastColumn="0" w:noHBand="0" w:noVBand="1"/>
      </w:tblPr>
      <w:tblGrid>
        <w:gridCol w:w="2224"/>
        <w:gridCol w:w="2558"/>
        <w:gridCol w:w="2638"/>
        <w:gridCol w:w="2731"/>
      </w:tblGrid>
      <w:tr w:rsidR="00A417B9" w:rsidRPr="00DE585B" w:rsidTr="00A417B9">
        <w:trPr>
          <w:cnfStyle w:val="100000000000" w:firstRow="1" w:lastRow="0" w:firstColumn="0" w:lastColumn="0" w:oddVBand="0" w:evenVBand="0" w:oddHBand="0"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rPr>
              <w:t>Year</w:t>
            </w:r>
          </w:p>
        </w:tc>
        <w:tc>
          <w:tcPr>
            <w:tcW w:w="0" w:type="auto"/>
            <w:hideMark/>
          </w:tcPr>
          <w:p w:rsidR="00A417B9" w:rsidRPr="00DE585B" w:rsidRDefault="00A417B9" w:rsidP="00991EC6">
            <w:pPr>
              <w:ind w:left="737" w:right="737"/>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Net Sales (£m)</w:t>
            </w:r>
          </w:p>
        </w:tc>
        <w:tc>
          <w:tcPr>
            <w:tcW w:w="0" w:type="auto"/>
            <w:hideMark/>
          </w:tcPr>
          <w:p w:rsidR="00A417B9" w:rsidRPr="00DE585B" w:rsidRDefault="00A417B9" w:rsidP="00991EC6">
            <w:pPr>
              <w:ind w:left="737" w:right="737"/>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Average Total Assets (£m)</w:t>
            </w:r>
          </w:p>
        </w:tc>
        <w:tc>
          <w:tcPr>
            <w:tcW w:w="0" w:type="auto"/>
            <w:hideMark/>
          </w:tcPr>
          <w:p w:rsidR="00A417B9" w:rsidRPr="00DE585B" w:rsidRDefault="00A417B9" w:rsidP="00991EC6">
            <w:pPr>
              <w:ind w:left="737" w:right="737"/>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Asset Turnover Ratio (x</w:t>
            </w:r>
            <w:r w:rsidR="001869EC" w:rsidRPr="00DE585B">
              <w:rPr>
                <w:rFonts w:ascii="Arial" w:eastAsia="Times New Roman" w:hAnsi="Arial" w:cs="Arial"/>
                <w:color w:val="1B1C1D"/>
                <w:sz w:val="24"/>
                <w:szCs w:val="24"/>
              </w:rPr>
              <w:t>:1</w:t>
            </w:r>
            <w:r w:rsidRPr="00DE585B">
              <w:rPr>
                <w:rFonts w:ascii="Arial" w:eastAsia="Times New Roman" w:hAnsi="Arial" w:cs="Arial"/>
                <w:color w:val="1B1C1D"/>
                <w:sz w:val="24"/>
                <w:szCs w:val="24"/>
              </w:rPr>
              <w:t>)</w:t>
            </w:r>
          </w:p>
        </w:tc>
      </w:tr>
      <w:tr w:rsidR="00A417B9" w:rsidRPr="00DE585B" w:rsidTr="00A417B9">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rPr>
              <w:t>2024</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394,879</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339,613</w:t>
            </w:r>
          </w:p>
        </w:tc>
        <w:tc>
          <w:tcPr>
            <w:tcW w:w="0" w:type="auto"/>
            <w:hideMark/>
          </w:tcPr>
          <w:p w:rsidR="00A417B9" w:rsidRPr="00DE585B" w:rsidRDefault="001869EC"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1B1C1D"/>
                <w:sz w:val="24"/>
                <w:szCs w:val="24"/>
              </w:rPr>
            </w:pPr>
            <w:r w:rsidRPr="00DE585B">
              <w:rPr>
                <w:rFonts w:ascii="Arial" w:eastAsia="Times New Roman" w:hAnsi="Arial" w:cs="Arial"/>
                <w:b/>
                <w:bCs/>
                <w:color w:val="1B1C1D"/>
                <w:sz w:val="24"/>
                <w:szCs w:val="24"/>
              </w:rPr>
              <w:t>1.16</w:t>
            </w:r>
          </w:p>
        </w:tc>
      </w:tr>
      <w:tr w:rsidR="00A417B9" w:rsidRPr="00DE585B" w:rsidTr="00A417B9">
        <w:trPr>
          <w:trHeight w:val="361"/>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rPr>
              <w:lastRenderedPageBreak/>
              <w:t>2023</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420,457</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430,018</w:t>
            </w:r>
          </w:p>
        </w:tc>
        <w:tc>
          <w:tcPr>
            <w:tcW w:w="0" w:type="auto"/>
            <w:hideMark/>
          </w:tcPr>
          <w:p w:rsidR="00A417B9" w:rsidRPr="00DE585B" w:rsidRDefault="001869EC"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1B1C1D"/>
                <w:sz w:val="24"/>
                <w:szCs w:val="24"/>
              </w:rPr>
            </w:pPr>
            <w:r w:rsidRPr="00DE585B">
              <w:rPr>
                <w:rFonts w:ascii="Arial" w:eastAsia="Times New Roman" w:hAnsi="Arial" w:cs="Arial"/>
                <w:b/>
                <w:bCs/>
                <w:color w:val="1B1C1D"/>
                <w:sz w:val="24"/>
                <w:szCs w:val="24"/>
              </w:rPr>
              <w:t>0.98</w:t>
            </w:r>
          </w:p>
        </w:tc>
      </w:tr>
      <w:tr w:rsidR="00A417B9" w:rsidRPr="00DE585B" w:rsidTr="00A417B9">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rPr>
              <w:t>2022</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542,751</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507,256</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1B1C1D"/>
                <w:sz w:val="24"/>
                <w:szCs w:val="24"/>
              </w:rPr>
            </w:pPr>
            <w:r w:rsidRPr="00DE585B">
              <w:rPr>
                <w:rFonts w:ascii="Arial" w:eastAsia="Times New Roman" w:hAnsi="Arial" w:cs="Arial"/>
                <w:b/>
                <w:bCs/>
                <w:color w:val="1B1C1D"/>
                <w:sz w:val="24"/>
                <w:szCs w:val="24"/>
              </w:rPr>
              <w:t>1.07</w:t>
            </w:r>
          </w:p>
        </w:tc>
      </w:tr>
      <w:tr w:rsidR="00A417B9" w:rsidRPr="00DE585B" w:rsidTr="00A417B9">
        <w:trPr>
          <w:trHeight w:val="361"/>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rPr>
              <w:t>2021</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601,602</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510,319</w:t>
            </w:r>
          </w:p>
        </w:tc>
        <w:tc>
          <w:tcPr>
            <w:tcW w:w="0" w:type="auto"/>
            <w:hideMark/>
          </w:tcPr>
          <w:p w:rsidR="00A417B9" w:rsidRPr="00DE585B" w:rsidRDefault="001869EC"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1B1C1D"/>
                <w:sz w:val="24"/>
                <w:szCs w:val="24"/>
              </w:rPr>
            </w:pPr>
            <w:r w:rsidRPr="00DE585B">
              <w:rPr>
                <w:rFonts w:ascii="Arial" w:eastAsia="Times New Roman" w:hAnsi="Arial" w:cs="Arial"/>
                <w:b/>
                <w:bCs/>
                <w:color w:val="1B1C1D"/>
                <w:sz w:val="24"/>
                <w:szCs w:val="24"/>
              </w:rPr>
              <w:t>1.18</w:t>
            </w:r>
          </w:p>
        </w:tc>
      </w:tr>
      <w:tr w:rsidR="00A417B9" w:rsidRPr="00DE585B" w:rsidTr="00A417B9">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rPr>
              <w:t>2020</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614,680</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510,290</w:t>
            </w:r>
          </w:p>
        </w:tc>
        <w:tc>
          <w:tcPr>
            <w:tcW w:w="0" w:type="auto"/>
            <w:hideMark/>
          </w:tcPr>
          <w:p w:rsidR="00A417B9" w:rsidRPr="00DE585B" w:rsidRDefault="001869EC"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1B1C1D"/>
                <w:sz w:val="24"/>
                <w:szCs w:val="24"/>
              </w:rPr>
            </w:pPr>
            <w:r w:rsidRPr="00DE585B">
              <w:rPr>
                <w:rFonts w:ascii="Arial" w:eastAsia="Times New Roman" w:hAnsi="Arial" w:cs="Arial"/>
                <w:b/>
                <w:bCs/>
                <w:color w:val="1B1C1D"/>
                <w:sz w:val="24"/>
                <w:szCs w:val="24"/>
              </w:rPr>
              <w:t>1.20</w:t>
            </w:r>
          </w:p>
        </w:tc>
      </w:tr>
    </w:tbl>
    <w:p w:rsidR="0087114C" w:rsidRPr="00DE585B" w:rsidRDefault="008A6F39" w:rsidP="00991EC6">
      <w:pPr>
        <w:spacing w:line="360" w:lineRule="auto"/>
        <w:ind w:right="737"/>
        <w:jc w:val="center"/>
        <w:rPr>
          <w:rFonts w:ascii="Arial" w:hAnsi="Arial" w:cs="Arial"/>
          <w:b/>
          <w:i/>
          <w:sz w:val="24"/>
          <w:szCs w:val="24"/>
          <w:u w:val="single"/>
        </w:rPr>
      </w:pPr>
      <w:r w:rsidRPr="00DE585B">
        <w:rPr>
          <w:rFonts w:ascii="Arial" w:hAnsi="Arial" w:cs="Arial"/>
          <w:b/>
          <w:i/>
          <w:sz w:val="24"/>
          <w:szCs w:val="24"/>
          <w:u w:val="single"/>
        </w:rPr>
        <w:t xml:space="preserve">Table 1.2 Asset Turnover </w:t>
      </w:r>
      <w:proofErr w:type="gramStart"/>
      <w:r w:rsidRPr="00DE585B">
        <w:rPr>
          <w:rFonts w:ascii="Arial" w:hAnsi="Arial" w:cs="Arial"/>
          <w:b/>
          <w:i/>
          <w:sz w:val="24"/>
          <w:szCs w:val="24"/>
          <w:u w:val="single"/>
        </w:rPr>
        <w:t>Ratio</w:t>
      </w:r>
      <w:r w:rsidR="009D3B0B">
        <w:rPr>
          <w:rFonts w:ascii="Arial" w:hAnsi="Arial" w:cs="Arial"/>
          <w:b/>
          <w:bCs/>
          <w:i/>
          <w:sz w:val="24"/>
          <w:szCs w:val="24"/>
          <w:u w:val="single"/>
          <w:lang w:val="en-GB"/>
        </w:rPr>
        <w:t>(</w:t>
      </w:r>
      <w:proofErr w:type="spellStart"/>
      <w:proofErr w:type="gramEnd"/>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87114C" w:rsidRPr="00DE585B" w:rsidRDefault="0087114C" w:rsidP="00991EC6">
      <w:pPr>
        <w:ind w:left="737" w:right="737"/>
        <w:rPr>
          <w:sz w:val="24"/>
          <w:szCs w:val="24"/>
        </w:rPr>
      </w:pPr>
    </w:p>
    <w:p w:rsidR="0087114C" w:rsidRPr="00DE585B" w:rsidRDefault="008A6F39" w:rsidP="00991EC6">
      <w:pPr>
        <w:spacing w:line="360" w:lineRule="auto"/>
        <w:ind w:left="737" w:right="737"/>
        <w:jc w:val="center"/>
        <w:rPr>
          <w:b/>
          <w:i/>
          <w:sz w:val="24"/>
          <w:szCs w:val="24"/>
          <w:u w:val="single"/>
        </w:rPr>
      </w:pPr>
      <w:r w:rsidRPr="00DE585B">
        <w:rPr>
          <w:noProof/>
          <w:sz w:val="24"/>
          <w:szCs w:val="24"/>
        </w:rPr>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5486400" cy="3200400"/>
            <wp:effectExtent l="0" t="0" r="0" b="0"/>
            <wp:wrapTopAndBottom/>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CA578F" w:rsidRPr="00DE585B">
        <w:rPr>
          <w:rFonts w:ascii="Arial" w:hAnsi="Arial" w:cs="Arial"/>
          <w:b/>
          <w:i/>
          <w:sz w:val="24"/>
          <w:szCs w:val="24"/>
          <w:u w:val="single"/>
        </w:rPr>
        <w:t>Fig 1.2</w:t>
      </w:r>
      <w:r w:rsidR="00C853CC" w:rsidRPr="00DE585B">
        <w:rPr>
          <w:rFonts w:ascii="Arial" w:hAnsi="Arial" w:cs="Arial"/>
          <w:b/>
          <w:i/>
          <w:sz w:val="24"/>
          <w:szCs w:val="24"/>
          <w:u w:val="single"/>
        </w:rPr>
        <w:t xml:space="preserve"> Asset Turnover Ratio </w:t>
      </w:r>
      <w:proofErr w:type="gramStart"/>
      <w:r w:rsidR="00C853CC" w:rsidRPr="00DE585B">
        <w:rPr>
          <w:rFonts w:ascii="Arial" w:hAnsi="Arial" w:cs="Arial"/>
          <w:b/>
          <w:i/>
          <w:sz w:val="24"/>
          <w:szCs w:val="24"/>
          <w:u w:val="single"/>
        </w:rPr>
        <w:t>Graph</w:t>
      </w:r>
      <w:r w:rsidR="009D3B0B">
        <w:rPr>
          <w:rFonts w:ascii="Arial" w:hAnsi="Arial" w:cs="Arial"/>
          <w:b/>
          <w:bCs/>
          <w:i/>
          <w:sz w:val="24"/>
          <w:szCs w:val="24"/>
          <w:u w:val="single"/>
          <w:lang w:val="en-GB"/>
        </w:rPr>
        <w:t>(</w:t>
      </w:r>
      <w:proofErr w:type="spellStart"/>
      <w:proofErr w:type="gramEnd"/>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C853CC" w:rsidRPr="00DE585B" w:rsidRDefault="00C853CC" w:rsidP="0057353B">
      <w:pPr>
        <w:spacing w:line="360" w:lineRule="auto"/>
        <w:ind w:left="737" w:right="737"/>
        <w:jc w:val="both"/>
        <w:rPr>
          <w:rFonts w:ascii="Arial" w:hAnsi="Arial" w:cs="Arial"/>
          <w:sz w:val="24"/>
          <w:szCs w:val="24"/>
        </w:rPr>
      </w:pPr>
      <w:r w:rsidRPr="00DE585B">
        <w:rPr>
          <w:rFonts w:ascii="Arial" w:hAnsi="Arial" w:cs="Arial"/>
          <w:sz w:val="24"/>
          <w:szCs w:val="24"/>
        </w:rPr>
        <w:t>The company's efficiency collapsed in 2023 due to a failure to manage its asset base effectively in the face of falling sales. The apparent recovery in 2024 is not a sign of successful operational turnaround, but rather the result of a significant shrinkage of the company's size, which needs to be sustained and improved upon.</w:t>
      </w:r>
    </w:p>
    <w:p w:rsidR="00CA578F" w:rsidRPr="00DE585B" w:rsidRDefault="00CA578F" w:rsidP="00991EC6">
      <w:pPr>
        <w:spacing w:line="360" w:lineRule="auto"/>
        <w:ind w:left="737" w:right="737"/>
        <w:rPr>
          <w:rFonts w:ascii="Arial" w:hAnsi="Arial" w:cs="Arial"/>
          <w:sz w:val="24"/>
          <w:szCs w:val="24"/>
        </w:rPr>
      </w:pPr>
    </w:p>
    <w:p w:rsidR="00C853CC" w:rsidRPr="00DE585B" w:rsidRDefault="00C853CC" w:rsidP="00991EC6">
      <w:pPr>
        <w:pStyle w:val="ListParagraph"/>
        <w:numPr>
          <w:ilvl w:val="0"/>
          <w:numId w:val="2"/>
        </w:numPr>
        <w:spacing w:line="360" w:lineRule="auto"/>
        <w:ind w:left="737" w:right="737"/>
        <w:rPr>
          <w:rFonts w:ascii="Arial" w:hAnsi="Arial" w:cs="Arial"/>
          <w:b/>
          <w:bCs/>
          <w:sz w:val="24"/>
          <w:szCs w:val="24"/>
          <w:u w:val="single"/>
          <w:lang w:val="en-GB"/>
        </w:rPr>
      </w:pPr>
      <w:r w:rsidRPr="00DE585B">
        <w:rPr>
          <w:rFonts w:ascii="Arial" w:hAnsi="Arial" w:cs="Arial"/>
          <w:b/>
          <w:bCs/>
          <w:sz w:val="24"/>
          <w:szCs w:val="24"/>
          <w:u w:val="single"/>
          <w:lang w:val="en-GB"/>
        </w:rPr>
        <w:t>Gross Profit Margin</w:t>
      </w:r>
    </w:p>
    <w:p w:rsidR="00C853CC" w:rsidRPr="00DE585B" w:rsidRDefault="00C853CC" w:rsidP="0057353B">
      <w:pPr>
        <w:pStyle w:val="ListParagraph"/>
        <w:spacing w:line="360" w:lineRule="auto"/>
        <w:ind w:left="737" w:right="737"/>
        <w:jc w:val="both"/>
        <w:rPr>
          <w:rFonts w:ascii="Arial" w:hAnsi="Arial" w:cs="Arial"/>
          <w:sz w:val="24"/>
          <w:szCs w:val="24"/>
        </w:rPr>
      </w:pPr>
      <w:r w:rsidRPr="00DE585B">
        <w:rPr>
          <w:rFonts w:ascii="Arial" w:hAnsi="Arial" w:cs="Arial"/>
          <w:sz w:val="24"/>
          <w:szCs w:val="24"/>
        </w:rPr>
        <w:t>This ratio indicates how much gross profit is made for each £1 of sales. It indicates whether prices are being increased or decreased and/or the supply costs of ‘goods’ are increasing /decreasing. Consequently, an increasing Gross Profit Margin is seen as a positive indicator of a company’s performance.</w:t>
      </w:r>
    </w:p>
    <w:p w:rsidR="00C853CC" w:rsidRPr="00DE585B" w:rsidRDefault="00C853CC" w:rsidP="0057353B">
      <w:pPr>
        <w:pStyle w:val="ListParagraph"/>
        <w:spacing w:line="360" w:lineRule="auto"/>
        <w:ind w:left="737" w:right="737"/>
        <w:jc w:val="both"/>
        <w:rPr>
          <w:rFonts w:ascii="Arial" w:hAnsi="Arial" w:cs="Arial"/>
          <w:sz w:val="24"/>
          <w:szCs w:val="24"/>
        </w:rPr>
      </w:pPr>
      <w:r w:rsidRPr="00DE585B">
        <w:rPr>
          <w:rFonts w:ascii="Arial" w:hAnsi="Arial" w:cs="Arial"/>
          <w:b/>
          <w:bCs/>
          <w:sz w:val="24"/>
          <w:szCs w:val="24"/>
          <w:lang w:val="en-GB"/>
        </w:rPr>
        <w:t>GPM</w:t>
      </w:r>
      <w:r w:rsidR="00A417B9" w:rsidRPr="00DE585B">
        <w:rPr>
          <w:rFonts w:ascii="Arial" w:hAnsi="Arial" w:cs="Arial"/>
          <w:b/>
          <w:bCs/>
          <w:sz w:val="24"/>
          <w:szCs w:val="24"/>
          <w:lang w:val="en-GB"/>
        </w:rPr>
        <w:t xml:space="preserve"> </w:t>
      </w:r>
      <w:r w:rsidRPr="00DE585B">
        <w:rPr>
          <w:rFonts w:ascii="Arial" w:hAnsi="Arial" w:cs="Arial"/>
          <w:b/>
          <w:bCs/>
          <w:sz w:val="24"/>
          <w:szCs w:val="24"/>
          <w:lang w:val="en-GB"/>
        </w:rPr>
        <w:t>=     Gross Profit x 100</w:t>
      </w:r>
      <w:r w:rsidR="00CA578F" w:rsidRPr="00DE585B">
        <w:rPr>
          <w:rFonts w:ascii="Arial" w:hAnsi="Arial" w:cs="Arial"/>
          <w:b/>
          <w:bCs/>
          <w:sz w:val="24"/>
          <w:szCs w:val="24"/>
          <w:lang w:val="en-GB"/>
        </w:rPr>
        <w:t xml:space="preserve"> / Revenue</w:t>
      </w:r>
    </w:p>
    <w:tbl>
      <w:tblPr>
        <w:tblStyle w:val="GridTable4-Accent6"/>
        <w:tblpPr w:leftFromText="180" w:rightFromText="180" w:vertAnchor="text" w:horzAnchor="margin" w:tblpXSpec="center" w:tblpY="631"/>
        <w:tblW w:w="9380" w:type="dxa"/>
        <w:tblLook w:val="04A0" w:firstRow="1" w:lastRow="0" w:firstColumn="1" w:lastColumn="0" w:noHBand="0" w:noVBand="1"/>
      </w:tblPr>
      <w:tblGrid>
        <w:gridCol w:w="2224"/>
        <w:gridCol w:w="2558"/>
        <w:gridCol w:w="2558"/>
        <w:gridCol w:w="2504"/>
      </w:tblGrid>
      <w:tr w:rsidR="00A417B9" w:rsidRPr="00DE585B" w:rsidTr="00A417B9">
        <w:trPr>
          <w:cnfStyle w:val="100000000000" w:firstRow="1" w:lastRow="0" w:firstColumn="0" w:lastColumn="0" w:oddVBand="0" w:evenVBand="0" w:oddHBand="0"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lastRenderedPageBreak/>
              <w:t xml:space="preserve">  </w:t>
            </w:r>
          </w:p>
        </w:tc>
        <w:tc>
          <w:tcPr>
            <w:tcW w:w="0" w:type="auto"/>
            <w:hideMark/>
          </w:tcPr>
          <w:p w:rsidR="00A417B9" w:rsidRPr="00DE585B" w:rsidRDefault="00A417B9" w:rsidP="00991EC6">
            <w:pPr>
              <w:ind w:left="737" w:right="737"/>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Net Sales (£m)</w:t>
            </w:r>
          </w:p>
        </w:tc>
        <w:tc>
          <w:tcPr>
            <w:tcW w:w="0" w:type="auto"/>
            <w:hideMark/>
          </w:tcPr>
          <w:p w:rsidR="00A417B9" w:rsidRPr="00DE585B" w:rsidRDefault="00A417B9" w:rsidP="00991EC6">
            <w:pPr>
              <w:ind w:left="737" w:right="737"/>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Gross Profit (£m)</w:t>
            </w:r>
          </w:p>
        </w:tc>
        <w:tc>
          <w:tcPr>
            <w:tcW w:w="0" w:type="auto"/>
            <w:hideMark/>
          </w:tcPr>
          <w:p w:rsidR="00A417B9" w:rsidRPr="00DE585B" w:rsidRDefault="00A417B9" w:rsidP="00991EC6">
            <w:pPr>
              <w:ind w:left="737" w:right="737"/>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Gross Profit Margin</w:t>
            </w:r>
          </w:p>
        </w:tc>
      </w:tr>
      <w:tr w:rsidR="00A417B9" w:rsidRPr="00DE585B" w:rsidTr="00A417B9">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2024</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394,879</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113,994</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28.87%</w:t>
            </w:r>
          </w:p>
        </w:tc>
      </w:tr>
      <w:tr w:rsidR="00A417B9" w:rsidRPr="00DE585B" w:rsidTr="00A417B9">
        <w:trPr>
          <w:trHeight w:val="411"/>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420,457</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97,560</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23.20%</w:t>
            </w:r>
          </w:p>
        </w:tc>
      </w:tr>
      <w:tr w:rsidR="00A417B9" w:rsidRPr="00DE585B" w:rsidTr="00A417B9">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2022</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542,751</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152,292</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28.06%</w:t>
            </w:r>
          </w:p>
        </w:tc>
      </w:tr>
      <w:tr w:rsidR="00A417B9" w:rsidRPr="00DE585B" w:rsidTr="00A417B9">
        <w:trPr>
          <w:trHeight w:val="430"/>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2021</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601,602</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173,016</w:t>
            </w:r>
          </w:p>
        </w:tc>
        <w:tc>
          <w:tcPr>
            <w:tcW w:w="0" w:type="auto"/>
            <w:hideMark/>
          </w:tcPr>
          <w:p w:rsidR="00A417B9" w:rsidRPr="00DE585B" w:rsidRDefault="00A417B9" w:rsidP="00991EC6">
            <w:pPr>
              <w:ind w:left="737" w:right="73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28.76%</w:t>
            </w:r>
          </w:p>
        </w:tc>
      </w:tr>
      <w:tr w:rsidR="00A417B9" w:rsidRPr="00DE585B" w:rsidTr="00A417B9">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0" w:type="auto"/>
            <w:hideMark/>
          </w:tcPr>
          <w:p w:rsidR="00A417B9" w:rsidRPr="00DE585B" w:rsidRDefault="00A417B9" w:rsidP="00991EC6">
            <w:pPr>
              <w:ind w:left="737" w:right="737"/>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614,680</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176,256</w:t>
            </w:r>
          </w:p>
        </w:tc>
        <w:tc>
          <w:tcPr>
            <w:tcW w:w="0" w:type="auto"/>
            <w:hideMark/>
          </w:tcPr>
          <w:p w:rsidR="00A417B9" w:rsidRPr="00DE585B" w:rsidRDefault="00A417B9" w:rsidP="00991EC6">
            <w:pPr>
              <w:ind w:left="737" w:right="737"/>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28.67%</w:t>
            </w:r>
          </w:p>
        </w:tc>
      </w:tr>
    </w:tbl>
    <w:p w:rsidR="00CA578F" w:rsidRPr="00DE585B" w:rsidRDefault="00CA578F" w:rsidP="00991EC6">
      <w:pPr>
        <w:spacing w:line="360" w:lineRule="auto"/>
        <w:ind w:left="737" w:right="737"/>
        <w:jc w:val="center"/>
        <w:rPr>
          <w:rFonts w:ascii="Arial" w:hAnsi="Arial" w:cs="Arial"/>
          <w:b/>
          <w:i/>
          <w:sz w:val="24"/>
          <w:szCs w:val="24"/>
          <w:u w:val="single"/>
        </w:rPr>
      </w:pPr>
    </w:p>
    <w:p w:rsidR="00C853CC" w:rsidRPr="00DE585B" w:rsidRDefault="00A417B9" w:rsidP="00991EC6">
      <w:pPr>
        <w:spacing w:line="360" w:lineRule="auto"/>
        <w:ind w:left="737" w:right="737"/>
        <w:jc w:val="center"/>
        <w:rPr>
          <w:rFonts w:ascii="Arial" w:hAnsi="Arial" w:cs="Arial"/>
          <w:b/>
          <w:i/>
          <w:sz w:val="24"/>
          <w:szCs w:val="24"/>
          <w:u w:val="single"/>
        </w:rPr>
      </w:pPr>
      <w:r w:rsidRPr="00DE585B">
        <w:rPr>
          <w:rFonts w:ascii="Arial" w:hAnsi="Arial" w:cs="Arial"/>
          <w:b/>
          <w:i/>
          <w:sz w:val="24"/>
          <w:szCs w:val="24"/>
          <w:u w:val="single"/>
        </w:rPr>
        <w:t xml:space="preserve">Table 1.3: Gross Profit </w:t>
      </w:r>
      <w:proofErr w:type="gramStart"/>
      <w:r w:rsidRPr="00DE585B">
        <w:rPr>
          <w:rFonts w:ascii="Arial" w:hAnsi="Arial" w:cs="Arial"/>
          <w:b/>
          <w:i/>
          <w:sz w:val="24"/>
          <w:szCs w:val="24"/>
          <w:u w:val="single"/>
        </w:rPr>
        <w:t>Margin</w:t>
      </w:r>
      <w:r w:rsidR="009D3B0B">
        <w:rPr>
          <w:rFonts w:ascii="Arial" w:hAnsi="Arial" w:cs="Arial"/>
          <w:b/>
          <w:bCs/>
          <w:i/>
          <w:sz w:val="24"/>
          <w:szCs w:val="24"/>
          <w:u w:val="single"/>
          <w:lang w:val="en-GB"/>
        </w:rPr>
        <w:t>(</w:t>
      </w:r>
      <w:proofErr w:type="spellStart"/>
      <w:proofErr w:type="gramEnd"/>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C853CC" w:rsidRPr="00DE585B" w:rsidRDefault="00A417B9" w:rsidP="00991EC6">
      <w:pPr>
        <w:pStyle w:val="ListParagraph"/>
        <w:spacing w:line="360" w:lineRule="auto"/>
        <w:ind w:left="737" w:right="737"/>
        <w:jc w:val="center"/>
        <w:rPr>
          <w:rFonts w:ascii="Arial" w:hAnsi="Arial" w:cs="Arial"/>
          <w:b/>
          <w:i/>
          <w:sz w:val="24"/>
          <w:szCs w:val="24"/>
          <w:u w:val="single"/>
        </w:rPr>
      </w:pPr>
      <w:r w:rsidRPr="00DE585B">
        <w:rPr>
          <w:rFonts w:ascii="Arial" w:hAnsi="Arial" w:cs="Arial"/>
          <w:b/>
          <w:i/>
          <w:noProof/>
          <w:sz w:val="24"/>
          <w:szCs w:val="24"/>
          <w:u w:val="single"/>
        </w:rPr>
        <w:drawing>
          <wp:anchor distT="0" distB="0" distL="114300" distR="114300" simplePos="0" relativeHeight="251659264" behindDoc="0" locked="0" layoutInCell="1" allowOverlap="1">
            <wp:simplePos x="0" y="0"/>
            <wp:positionH relativeFrom="margin">
              <wp:posOffset>1509395</wp:posOffset>
            </wp:positionH>
            <wp:positionV relativeFrom="paragraph">
              <wp:posOffset>160655</wp:posOffset>
            </wp:positionV>
            <wp:extent cx="3992880" cy="2750820"/>
            <wp:effectExtent l="0" t="0" r="7620" b="11430"/>
            <wp:wrapTopAndBottom/>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Pr="00DE585B">
        <w:rPr>
          <w:rFonts w:ascii="Arial" w:hAnsi="Arial" w:cs="Arial"/>
          <w:b/>
          <w:i/>
          <w:sz w:val="24"/>
          <w:szCs w:val="24"/>
          <w:u w:val="single"/>
        </w:rPr>
        <w:t>F</w:t>
      </w:r>
      <w:r w:rsidR="00CA578F" w:rsidRPr="00DE585B">
        <w:rPr>
          <w:rFonts w:ascii="Arial" w:hAnsi="Arial" w:cs="Arial"/>
          <w:b/>
          <w:i/>
          <w:sz w:val="24"/>
          <w:szCs w:val="24"/>
          <w:u w:val="single"/>
        </w:rPr>
        <w:t>ig 1.3</w:t>
      </w:r>
      <w:r w:rsidRPr="00DE585B">
        <w:rPr>
          <w:rFonts w:ascii="Arial" w:hAnsi="Arial" w:cs="Arial"/>
          <w:b/>
          <w:i/>
          <w:sz w:val="24"/>
          <w:szCs w:val="24"/>
          <w:u w:val="single"/>
        </w:rPr>
        <w:t xml:space="preserve"> Gross Profit margin </w:t>
      </w:r>
      <w:r w:rsidR="009D3B0B">
        <w:rPr>
          <w:rFonts w:ascii="Arial" w:hAnsi="Arial" w:cs="Arial"/>
          <w:b/>
          <w:bCs/>
          <w:i/>
          <w:sz w:val="24"/>
          <w:szCs w:val="24"/>
          <w:u w:val="single"/>
          <w:lang w:val="en-GB"/>
        </w:rPr>
        <w:t>(</w:t>
      </w:r>
      <w:proofErr w:type="spellStart"/>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991EC6" w:rsidRPr="00DE585B" w:rsidRDefault="00991EC6" w:rsidP="00991EC6">
      <w:pPr>
        <w:pStyle w:val="ListParagraph"/>
        <w:spacing w:line="360" w:lineRule="auto"/>
        <w:ind w:left="737" w:right="737"/>
        <w:jc w:val="both"/>
        <w:rPr>
          <w:rFonts w:ascii="Arial" w:hAnsi="Arial" w:cs="Arial"/>
          <w:sz w:val="24"/>
          <w:szCs w:val="24"/>
        </w:rPr>
      </w:pPr>
      <w:r w:rsidRPr="00DE585B">
        <w:rPr>
          <w:rFonts w:ascii="Arial" w:hAnsi="Arial" w:cs="Arial"/>
          <w:sz w:val="24"/>
          <w:szCs w:val="24"/>
        </w:rPr>
        <w:t>The FY2023 GPM collapse demonstrates that Inventory Management is a major weakness for General Electronics. While the recovery in 2024 is positive, the main work of the turnaround strategy must be to sustain and expand this margin through attaining operational excellence in the supply chain and a disciplined approach to product launches to prevent future inventory obsolescence.</w:t>
      </w:r>
    </w:p>
    <w:p w:rsidR="00991EC6" w:rsidRPr="00DE585B" w:rsidRDefault="00991EC6" w:rsidP="00991EC6">
      <w:pPr>
        <w:pStyle w:val="ListParagraph"/>
        <w:numPr>
          <w:ilvl w:val="0"/>
          <w:numId w:val="2"/>
        </w:numPr>
        <w:spacing w:line="360" w:lineRule="auto"/>
        <w:ind w:left="737" w:right="737"/>
        <w:jc w:val="both"/>
        <w:rPr>
          <w:rFonts w:ascii="Arial" w:hAnsi="Arial" w:cs="Arial"/>
          <w:b/>
          <w:bCs/>
          <w:sz w:val="24"/>
          <w:szCs w:val="24"/>
          <w:u w:val="single"/>
          <w:lang w:val="en-GB"/>
        </w:rPr>
      </w:pPr>
      <w:r w:rsidRPr="00DE585B">
        <w:rPr>
          <w:rFonts w:ascii="Arial" w:hAnsi="Arial" w:cs="Arial"/>
          <w:b/>
          <w:bCs/>
          <w:sz w:val="24"/>
          <w:szCs w:val="24"/>
          <w:u w:val="single"/>
          <w:lang w:val="en-GB"/>
        </w:rPr>
        <w:t>Net Profit margin</w:t>
      </w:r>
    </w:p>
    <w:p w:rsidR="00991EC6" w:rsidRPr="00DE585B" w:rsidRDefault="00991EC6" w:rsidP="00991EC6">
      <w:pPr>
        <w:pStyle w:val="ListParagraph"/>
        <w:spacing w:line="360" w:lineRule="auto"/>
        <w:ind w:left="737" w:right="737"/>
        <w:jc w:val="both"/>
        <w:rPr>
          <w:rFonts w:ascii="Arial" w:hAnsi="Arial" w:cs="Arial"/>
          <w:sz w:val="24"/>
          <w:szCs w:val="24"/>
        </w:rPr>
      </w:pPr>
      <w:r w:rsidRPr="00DE585B">
        <w:rPr>
          <w:rFonts w:ascii="Arial" w:hAnsi="Arial" w:cs="Arial"/>
          <w:sz w:val="24"/>
          <w:szCs w:val="24"/>
        </w:rPr>
        <w:t>This ratio indicates the profit from operations earned in relation to the revenue generated. An increasing net profit margin is seen as a positive indicator of a company’s performance.</w:t>
      </w:r>
    </w:p>
    <w:p w:rsidR="00991EC6" w:rsidRPr="00DE585B" w:rsidRDefault="00991EC6" w:rsidP="00991EC6">
      <w:pPr>
        <w:pStyle w:val="ListParagraph"/>
        <w:spacing w:line="360" w:lineRule="auto"/>
        <w:ind w:left="737" w:right="737"/>
        <w:rPr>
          <w:rFonts w:ascii="Arial" w:hAnsi="Arial" w:cs="Arial"/>
          <w:b/>
          <w:bCs/>
          <w:sz w:val="24"/>
          <w:szCs w:val="24"/>
        </w:rPr>
      </w:pPr>
      <w:r w:rsidRPr="00DE585B">
        <w:rPr>
          <w:rFonts w:ascii="Arial" w:hAnsi="Arial" w:cs="Arial"/>
          <w:b/>
          <w:bCs/>
          <w:sz w:val="24"/>
          <w:szCs w:val="24"/>
          <w:lang w:val="en-GB"/>
        </w:rPr>
        <w:t xml:space="preserve">           NPM =    </w:t>
      </w:r>
      <w:r w:rsidRPr="00DE585B">
        <w:rPr>
          <w:rFonts w:ascii="Arial" w:hAnsi="Arial" w:cs="Arial"/>
          <w:b/>
          <w:bCs/>
          <w:sz w:val="24"/>
          <w:szCs w:val="24"/>
          <w:u w:val="single"/>
          <w:lang w:val="en-GB"/>
        </w:rPr>
        <w:t xml:space="preserve">Net operating Profit  </w:t>
      </w:r>
      <w:r w:rsidRPr="00DE585B">
        <w:rPr>
          <w:rFonts w:ascii="Arial" w:hAnsi="Arial" w:cs="Arial"/>
          <w:b/>
          <w:bCs/>
          <w:sz w:val="24"/>
          <w:szCs w:val="24"/>
          <w:lang w:val="en-GB"/>
        </w:rPr>
        <w:t xml:space="preserve"> x 100</w:t>
      </w:r>
    </w:p>
    <w:p w:rsidR="00991EC6" w:rsidRPr="00DE585B" w:rsidRDefault="00991EC6" w:rsidP="00991EC6">
      <w:pPr>
        <w:pStyle w:val="ListParagraph"/>
        <w:spacing w:line="360" w:lineRule="auto"/>
        <w:ind w:left="737" w:right="737"/>
        <w:rPr>
          <w:rFonts w:ascii="Arial" w:hAnsi="Arial" w:cs="Arial"/>
          <w:b/>
          <w:bCs/>
          <w:sz w:val="24"/>
          <w:szCs w:val="24"/>
        </w:rPr>
      </w:pPr>
      <w:r w:rsidRPr="00DE585B">
        <w:rPr>
          <w:rFonts w:ascii="Arial" w:hAnsi="Arial" w:cs="Arial"/>
          <w:b/>
          <w:bCs/>
          <w:sz w:val="24"/>
          <w:szCs w:val="24"/>
          <w:lang w:val="en-GB"/>
        </w:rPr>
        <w:t xml:space="preserve">                          Revenue</w:t>
      </w:r>
    </w:p>
    <w:tbl>
      <w:tblPr>
        <w:tblStyle w:val="GridTable5Dark-Accent6"/>
        <w:tblW w:w="8522" w:type="dxa"/>
        <w:tblInd w:w="1118" w:type="dxa"/>
        <w:tblLook w:val="04A0" w:firstRow="1" w:lastRow="0" w:firstColumn="1" w:lastColumn="0" w:noHBand="0" w:noVBand="1"/>
      </w:tblPr>
      <w:tblGrid>
        <w:gridCol w:w="837"/>
        <w:gridCol w:w="2086"/>
        <w:gridCol w:w="3201"/>
        <w:gridCol w:w="2398"/>
      </w:tblGrid>
      <w:tr w:rsidR="001869EC" w:rsidRPr="00DE585B" w:rsidTr="001869EC">
        <w:trPr>
          <w:cnfStyle w:val="100000000000" w:firstRow="1" w:lastRow="0" w:firstColumn="0" w:lastColumn="0" w:oddVBand="0" w:evenVBand="0" w:oddHBand="0"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0" w:type="auto"/>
            <w:hideMark/>
          </w:tcPr>
          <w:p w:rsidR="00991EC6" w:rsidRPr="00DE585B" w:rsidRDefault="00991EC6" w:rsidP="00991EC6">
            <w:pP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lastRenderedPageBreak/>
              <w:t>Year</w:t>
            </w:r>
          </w:p>
        </w:tc>
        <w:tc>
          <w:tcPr>
            <w:tcW w:w="0" w:type="auto"/>
            <w:hideMark/>
          </w:tcPr>
          <w:p w:rsidR="00991EC6" w:rsidRPr="00DE585B" w:rsidRDefault="00991EC6" w:rsidP="00991EC6">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Net Sales (£m)</w:t>
            </w:r>
          </w:p>
        </w:tc>
        <w:tc>
          <w:tcPr>
            <w:tcW w:w="0" w:type="auto"/>
            <w:hideMark/>
          </w:tcPr>
          <w:p w:rsidR="00991EC6" w:rsidRPr="00DE585B" w:rsidRDefault="00991EC6" w:rsidP="00991EC6">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Net Income (Loss) (£m)</w:t>
            </w:r>
          </w:p>
        </w:tc>
        <w:tc>
          <w:tcPr>
            <w:tcW w:w="0" w:type="auto"/>
            <w:hideMark/>
          </w:tcPr>
          <w:p w:rsidR="00991EC6" w:rsidRPr="00DE585B" w:rsidRDefault="00991EC6" w:rsidP="00991EC6">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Net Profit Margin</w:t>
            </w:r>
          </w:p>
        </w:tc>
      </w:tr>
      <w:tr w:rsidR="001869EC" w:rsidRPr="00DE585B" w:rsidTr="001869EC">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0" w:type="auto"/>
            <w:hideMark/>
          </w:tcPr>
          <w:p w:rsidR="00991EC6" w:rsidRPr="00DE585B" w:rsidRDefault="00991EC6" w:rsidP="00991EC6">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2024</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394,879</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-24,029</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-6.09%</w:t>
            </w:r>
          </w:p>
        </w:tc>
      </w:tr>
      <w:tr w:rsidR="001869EC" w:rsidRPr="00DE585B" w:rsidTr="001869EC">
        <w:trPr>
          <w:trHeight w:val="524"/>
        </w:trPr>
        <w:tc>
          <w:tcPr>
            <w:cnfStyle w:val="001000000000" w:firstRow="0" w:lastRow="0" w:firstColumn="1" w:lastColumn="0" w:oddVBand="0" w:evenVBand="0" w:oddHBand="0" w:evenHBand="0" w:firstRowFirstColumn="0" w:firstRowLastColumn="0" w:lastRowFirstColumn="0" w:lastRowLastColumn="0"/>
            <w:tcW w:w="0" w:type="auto"/>
            <w:hideMark/>
          </w:tcPr>
          <w:p w:rsidR="00991EC6" w:rsidRPr="00DE585B" w:rsidRDefault="00991EC6" w:rsidP="00991EC6">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991EC6" w:rsidRPr="00DE585B" w:rsidRDefault="00991EC6" w:rsidP="00991E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420,457</w:t>
            </w:r>
          </w:p>
        </w:tc>
        <w:tc>
          <w:tcPr>
            <w:tcW w:w="0" w:type="auto"/>
            <w:hideMark/>
          </w:tcPr>
          <w:p w:rsidR="00991EC6" w:rsidRPr="00DE585B" w:rsidRDefault="00991EC6" w:rsidP="00991E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-98,238</w:t>
            </w:r>
          </w:p>
        </w:tc>
        <w:tc>
          <w:tcPr>
            <w:tcW w:w="0" w:type="auto"/>
            <w:hideMark/>
          </w:tcPr>
          <w:p w:rsidR="00991EC6" w:rsidRPr="00DE585B" w:rsidRDefault="00991EC6" w:rsidP="00991E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-23.36%</w:t>
            </w:r>
          </w:p>
        </w:tc>
      </w:tr>
      <w:tr w:rsidR="001869EC" w:rsidRPr="00DE585B" w:rsidTr="001869EC">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0" w:type="auto"/>
            <w:hideMark/>
          </w:tcPr>
          <w:p w:rsidR="00991EC6" w:rsidRPr="00DE585B" w:rsidRDefault="00991EC6" w:rsidP="00991EC6">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2022</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542,751</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407</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0.07%</w:t>
            </w:r>
          </w:p>
        </w:tc>
      </w:tr>
      <w:tr w:rsidR="001869EC" w:rsidRPr="00DE585B" w:rsidTr="001869EC">
        <w:trPr>
          <w:trHeight w:val="548"/>
        </w:trPr>
        <w:tc>
          <w:tcPr>
            <w:cnfStyle w:val="001000000000" w:firstRow="0" w:lastRow="0" w:firstColumn="1" w:lastColumn="0" w:oddVBand="0" w:evenVBand="0" w:oddHBand="0" w:evenHBand="0" w:firstRowFirstColumn="0" w:firstRowLastColumn="0" w:lastRowFirstColumn="0" w:lastRowLastColumn="0"/>
            <w:tcW w:w="0" w:type="auto"/>
            <w:hideMark/>
          </w:tcPr>
          <w:p w:rsidR="00991EC6" w:rsidRPr="00DE585B" w:rsidRDefault="00991EC6" w:rsidP="00991EC6">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2021</w:t>
            </w:r>
          </w:p>
        </w:tc>
        <w:tc>
          <w:tcPr>
            <w:tcW w:w="0" w:type="auto"/>
            <w:hideMark/>
          </w:tcPr>
          <w:p w:rsidR="00991EC6" w:rsidRPr="00DE585B" w:rsidRDefault="00991EC6" w:rsidP="00991E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601,602</w:t>
            </w:r>
          </w:p>
        </w:tc>
        <w:tc>
          <w:tcPr>
            <w:tcW w:w="0" w:type="auto"/>
            <w:hideMark/>
          </w:tcPr>
          <w:p w:rsidR="00991EC6" w:rsidRPr="00DE585B" w:rsidRDefault="00991EC6" w:rsidP="00991E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5,301</w:t>
            </w:r>
          </w:p>
        </w:tc>
        <w:tc>
          <w:tcPr>
            <w:tcW w:w="0" w:type="auto"/>
            <w:hideMark/>
          </w:tcPr>
          <w:p w:rsidR="00991EC6" w:rsidRPr="00DE585B" w:rsidRDefault="00991EC6" w:rsidP="00991E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0.88%</w:t>
            </w:r>
          </w:p>
        </w:tc>
      </w:tr>
      <w:tr w:rsidR="001869EC" w:rsidRPr="00DE585B" w:rsidTr="001869EC">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0" w:type="auto"/>
            <w:hideMark/>
          </w:tcPr>
          <w:p w:rsidR="00991EC6" w:rsidRPr="00DE585B" w:rsidRDefault="00991EC6" w:rsidP="00991EC6">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614,680</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38,572</w:t>
            </w:r>
          </w:p>
        </w:tc>
        <w:tc>
          <w:tcPr>
            <w:tcW w:w="0" w:type="auto"/>
            <w:hideMark/>
          </w:tcPr>
          <w:p w:rsidR="00991EC6" w:rsidRPr="00DE585B" w:rsidRDefault="00991EC6" w:rsidP="00991E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6.28%</w:t>
            </w:r>
          </w:p>
        </w:tc>
      </w:tr>
    </w:tbl>
    <w:p w:rsidR="00991EC6" w:rsidRPr="00DE585B" w:rsidRDefault="00991EC6" w:rsidP="00991EC6">
      <w:pPr>
        <w:pStyle w:val="ListParagraph"/>
        <w:spacing w:line="360" w:lineRule="auto"/>
        <w:ind w:left="737" w:right="737"/>
        <w:jc w:val="center"/>
        <w:rPr>
          <w:rFonts w:ascii="Arial" w:hAnsi="Arial" w:cs="Arial"/>
          <w:b/>
          <w:i/>
          <w:sz w:val="24"/>
          <w:szCs w:val="24"/>
          <w:u w:val="single"/>
        </w:rPr>
      </w:pPr>
      <w:r w:rsidRPr="00DE585B">
        <w:rPr>
          <w:rFonts w:ascii="Arial" w:hAnsi="Arial" w:cs="Arial"/>
          <w:b/>
          <w:i/>
          <w:sz w:val="24"/>
          <w:szCs w:val="24"/>
          <w:u w:val="single"/>
        </w:rPr>
        <w:t xml:space="preserve">Table 1.4: Net Profit </w:t>
      </w:r>
      <w:proofErr w:type="gramStart"/>
      <w:r w:rsidRPr="00DE585B">
        <w:rPr>
          <w:rFonts w:ascii="Arial" w:hAnsi="Arial" w:cs="Arial"/>
          <w:b/>
          <w:i/>
          <w:sz w:val="24"/>
          <w:szCs w:val="24"/>
          <w:u w:val="single"/>
        </w:rPr>
        <w:t>Margin</w:t>
      </w:r>
      <w:r w:rsidR="009D3B0B">
        <w:rPr>
          <w:rFonts w:ascii="Arial" w:hAnsi="Arial" w:cs="Arial"/>
          <w:b/>
          <w:bCs/>
          <w:i/>
          <w:sz w:val="24"/>
          <w:szCs w:val="24"/>
          <w:u w:val="single"/>
          <w:lang w:val="en-GB"/>
        </w:rPr>
        <w:t>(</w:t>
      </w:r>
      <w:proofErr w:type="spellStart"/>
      <w:proofErr w:type="gramEnd"/>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A417B9" w:rsidRPr="00DE585B" w:rsidRDefault="00271BE2" w:rsidP="00991EC6">
      <w:pPr>
        <w:pStyle w:val="ListParagraph"/>
        <w:spacing w:line="360" w:lineRule="auto"/>
        <w:ind w:left="737" w:right="737"/>
        <w:rPr>
          <w:rFonts w:ascii="Arial" w:hAnsi="Arial" w:cs="Arial"/>
          <w:sz w:val="24"/>
          <w:szCs w:val="24"/>
        </w:rPr>
      </w:pPr>
      <w:r w:rsidRPr="00DE585B">
        <w:rPr>
          <w:rFonts w:ascii="Arial" w:hAnsi="Arial" w:cs="Arial"/>
          <w:b/>
          <w:i/>
          <w:noProof/>
          <w:sz w:val="24"/>
          <w:szCs w:val="24"/>
          <w:u w:val="single"/>
        </w:rPr>
        <w:drawing>
          <wp:anchor distT="0" distB="0" distL="114300" distR="114300" simplePos="0" relativeHeight="251660288" behindDoc="0" locked="0" layoutInCell="1" allowOverlap="1">
            <wp:simplePos x="0" y="0"/>
            <wp:positionH relativeFrom="margin">
              <wp:align>center</wp:align>
            </wp:positionH>
            <wp:positionV relativeFrom="paragraph">
              <wp:posOffset>282575</wp:posOffset>
            </wp:positionV>
            <wp:extent cx="4861560" cy="2750820"/>
            <wp:effectExtent l="0" t="0" r="15240" b="11430"/>
            <wp:wrapTopAndBottom/>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rsidR="00A417B9" w:rsidRPr="00DE585B" w:rsidRDefault="00271BE2" w:rsidP="00271BE2">
      <w:pPr>
        <w:spacing w:line="360" w:lineRule="auto"/>
        <w:ind w:right="737"/>
        <w:jc w:val="center"/>
        <w:rPr>
          <w:rFonts w:ascii="Arial" w:hAnsi="Arial" w:cs="Arial"/>
          <w:b/>
          <w:i/>
          <w:sz w:val="24"/>
          <w:szCs w:val="24"/>
          <w:u w:val="single"/>
        </w:rPr>
      </w:pPr>
      <w:r w:rsidRPr="00DE585B">
        <w:rPr>
          <w:rFonts w:ascii="Arial" w:hAnsi="Arial" w:cs="Arial"/>
          <w:sz w:val="24"/>
          <w:szCs w:val="24"/>
        </w:rPr>
        <w:t xml:space="preserve">   </w:t>
      </w:r>
      <w:r w:rsidR="00B26BE8" w:rsidRPr="00DE585B">
        <w:rPr>
          <w:rFonts w:ascii="Arial" w:hAnsi="Arial" w:cs="Arial"/>
          <w:b/>
          <w:i/>
          <w:sz w:val="24"/>
          <w:szCs w:val="24"/>
          <w:u w:val="single"/>
        </w:rPr>
        <w:t>Fig</w:t>
      </w:r>
      <w:r w:rsidR="00CA578F" w:rsidRPr="00DE585B">
        <w:rPr>
          <w:rFonts w:ascii="Arial" w:hAnsi="Arial" w:cs="Arial"/>
          <w:b/>
          <w:i/>
          <w:sz w:val="24"/>
          <w:szCs w:val="24"/>
          <w:u w:val="single"/>
        </w:rPr>
        <w:t>: 1.4</w:t>
      </w:r>
      <w:r w:rsidR="00B26BE8" w:rsidRPr="00DE585B">
        <w:rPr>
          <w:rFonts w:ascii="Arial" w:hAnsi="Arial" w:cs="Arial"/>
          <w:b/>
          <w:i/>
          <w:sz w:val="24"/>
          <w:szCs w:val="24"/>
          <w:u w:val="single"/>
        </w:rPr>
        <w:t xml:space="preserve"> </w:t>
      </w:r>
      <w:proofErr w:type="gramStart"/>
      <w:r w:rsidR="00B26BE8" w:rsidRPr="00DE585B">
        <w:rPr>
          <w:rFonts w:ascii="Arial" w:hAnsi="Arial" w:cs="Arial"/>
          <w:b/>
          <w:i/>
          <w:sz w:val="24"/>
          <w:szCs w:val="24"/>
          <w:u w:val="single"/>
        </w:rPr>
        <w:t>NPM</w:t>
      </w:r>
      <w:r w:rsidR="009D3B0B">
        <w:rPr>
          <w:rFonts w:ascii="Arial" w:hAnsi="Arial" w:cs="Arial"/>
          <w:b/>
          <w:bCs/>
          <w:i/>
          <w:sz w:val="24"/>
          <w:szCs w:val="24"/>
          <w:u w:val="single"/>
          <w:lang w:val="en-GB"/>
        </w:rPr>
        <w:t>(</w:t>
      </w:r>
      <w:proofErr w:type="spellStart"/>
      <w:proofErr w:type="gramEnd"/>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D34161" w:rsidRPr="00DE585B" w:rsidRDefault="00D34161" w:rsidP="00D34161">
      <w:pPr>
        <w:pStyle w:val="ListParagraph"/>
        <w:spacing w:line="360" w:lineRule="auto"/>
        <w:ind w:left="737" w:right="737"/>
        <w:jc w:val="both"/>
        <w:rPr>
          <w:rFonts w:ascii="Arial" w:hAnsi="Arial" w:cs="Arial"/>
          <w:sz w:val="24"/>
          <w:szCs w:val="24"/>
        </w:rPr>
      </w:pPr>
      <w:r w:rsidRPr="00DE585B">
        <w:rPr>
          <w:rFonts w:ascii="Arial" w:hAnsi="Arial" w:cs="Arial"/>
          <w:sz w:val="24"/>
          <w:szCs w:val="24"/>
        </w:rPr>
        <w:t>The Net Profit Margin trend demonstrates the need for a turnaround. GE has moved from being operationally viable to a true "cash burner." The turnaround plan should focus on NPM recovery by enhancing operational efficiency (to improve gross and operating margins) and reducing debt (to minimize the drag of interest expense).</w:t>
      </w:r>
    </w:p>
    <w:p w:rsidR="00A417B9" w:rsidRPr="00DE585B" w:rsidRDefault="00A417B9" w:rsidP="00991EC6">
      <w:pPr>
        <w:pStyle w:val="ListParagraph"/>
        <w:spacing w:line="360" w:lineRule="auto"/>
        <w:ind w:left="737" w:right="737"/>
        <w:rPr>
          <w:rFonts w:ascii="Arial" w:hAnsi="Arial" w:cs="Arial"/>
          <w:b/>
          <w:sz w:val="24"/>
          <w:szCs w:val="24"/>
          <w:u w:val="single"/>
        </w:rPr>
      </w:pPr>
    </w:p>
    <w:p w:rsidR="00A417B9" w:rsidRPr="00DE585B" w:rsidRDefault="00D34161" w:rsidP="00D34161">
      <w:pPr>
        <w:pStyle w:val="ListParagraph"/>
        <w:numPr>
          <w:ilvl w:val="0"/>
          <w:numId w:val="4"/>
        </w:numPr>
        <w:spacing w:line="360" w:lineRule="auto"/>
        <w:ind w:left="1097" w:right="737"/>
        <w:rPr>
          <w:rFonts w:ascii="Arial" w:hAnsi="Arial" w:cs="Arial"/>
          <w:b/>
          <w:sz w:val="24"/>
          <w:szCs w:val="24"/>
          <w:u w:val="single"/>
        </w:rPr>
      </w:pPr>
      <w:r w:rsidRPr="00DE585B">
        <w:rPr>
          <w:rFonts w:ascii="Arial" w:hAnsi="Arial" w:cs="Arial"/>
          <w:b/>
          <w:sz w:val="24"/>
          <w:szCs w:val="24"/>
          <w:u w:val="single"/>
        </w:rPr>
        <w:t>Liquidity</w:t>
      </w:r>
    </w:p>
    <w:p w:rsidR="00D34161" w:rsidRPr="00DE585B" w:rsidRDefault="00D34161" w:rsidP="00D34161">
      <w:pPr>
        <w:pStyle w:val="ListParagraph"/>
        <w:numPr>
          <w:ilvl w:val="0"/>
          <w:numId w:val="5"/>
        </w:numPr>
        <w:spacing w:line="360" w:lineRule="auto"/>
        <w:ind w:left="1097" w:right="737"/>
        <w:rPr>
          <w:rFonts w:ascii="Arial" w:hAnsi="Arial" w:cs="Arial"/>
          <w:b/>
          <w:sz w:val="24"/>
          <w:szCs w:val="24"/>
          <w:u w:val="single"/>
        </w:rPr>
      </w:pPr>
      <w:r w:rsidRPr="00DE585B">
        <w:rPr>
          <w:rFonts w:ascii="Arial" w:hAnsi="Arial" w:cs="Arial"/>
          <w:b/>
          <w:sz w:val="24"/>
          <w:szCs w:val="24"/>
          <w:u w:val="single"/>
        </w:rPr>
        <w:t>Current ratio</w:t>
      </w:r>
    </w:p>
    <w:p w:rsidR="00386068" w:rsidRPr="00DE585B" w:rsidRDefault="00386068" w:rsidP="00386068">
      <w:pPr>
        <w:pStyle w:val="ListParagraph"/>
        <w:spacing w:line="360" w:lineRule="auto"/>
        <w:ind w:left="1097" w:right="737"/>
        <w:jc w:val="both"/>
        <w:rPr>
          <w:rFonts w:ascii="Arial" w:hAnsi="Arial" w:cs="Arial"/>
          <w:sz w:val="24"/>
          <w:szCs w:val="24"/>
        </w:rPr>
      </w:pPr>
      <w:r w:rsidRPr="00DE585B">
        <w:rPr>
          <w:rFonts w:ascii="Arial" w:hAnsi="Arial" w:cs="Arial"/>
          <w:sz w:val="24"/>
          <w:szCs w:val="24"/>
        </w:rPr>
        <w:t xml:space="preserve">The current ratio is one of the most popular liquidity ratios utilized to evaluate a company's ability to pay its current liabilities. It informs shareholders and analysts of a company's ability to use its current assets on the balance sheet to meet its current debt payments and any other payable obligations due within the year. Generally </w:t>
      </w:r>
      <w:r w:rsidRPr="00DE585B">
        <w:rPr>
          <w:rFonts w:ascii="Arial" w:hAnsi="Arial" w:cs="Arial"/>
          <w:sz w:val="24"/>
          <w:szCs w:val="24"/>
        </w:rPr>
        <w:lastRenderedPageBreak/>
        <w:t xml:space="preserve">speaking, a current ratio that is near the industry average or slightly above the industry average is considered an acceptable level or safety line for debt payments. (Fernando, 2025) </w:t>
      </w:r>
    </w:p>
    <w:tbl>
      <w:tblPr>
        <w:tblStyle w:val="GridTable4-Accent2"/>
        <w:tblpPr w:leftFromText="180" w:rightFromText="180" w:vertAnchor="text" w:horzAnchor="margin" w:tblpXSpec="center" w:tblpY="507"/>
        <w:tblW w:w="9461" w:type="dxa"/>
        <w:tblLook w:val="04A0" w:firstRow="1" w:lastRow="0" w:firstColumn="1" w:lastColumn="0" w:noHBand="0" w:noVBand="1"/>
      </w:tblPr>
      <w:tblGrid>
        <w:gridCol w:w="750"/>
        <w:gridCol w:w="3062"/>
        <w:gridCol w:w="3379"/>
        <w:gridCol w:w="2270"/>
      </w:tblGrid>
      <w:tr w:rsidR="00271BE2" w:rsidRPr="00DE585B" w:rsidTr="00271BE2">
        <w:trPr>
          <w:cnfStyle w:val="100000000000" w:firstRow="1" w:lastRow="0" w:firstColumn="0" w:lastColumn="0" w:oddVBand="0" w:evenVBand="0" w:oddHBand="0" w:evenHBand="0" w:firstRowFirstColumn="0" w:firstRowLastColumn="0" w:lastRowFirstColumn="0" w:lastRowLastColumn="0"/>
          <w:trHeight w:val="899"/>
        </w:trPr>
        <w:tc>
          <w:tcPr>
            <w:cnfStyle w:val="001000000000" w:firstRow="0" w:lastRow="0" w:firstColumn="1" w:lastColumn="0" w:oddVBand="0" w:evenVBand="0" w:oddHBand="0" w:evenHBand="0" w:firstRowFirstColumn="0" w:firstRowLastColumn="0" w:lastRowFirstColumn="0" w:lastRowLastColumn="0"/>
            <w:tcW w:w="0" w:type="auto"/>
            <w:hideMark/>
          </w:tcPr>
          <w:p w:rsidR="00271BE2" w:rsidRPr="00DE585B" w:rsidRDefault="00271BE2" w:rsidP="00271BE2">
            <w:pP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Year</w:t>
            </w:r>
          </w:p>
        </w:tc>
        <w:tc>
          <w:tcPr>
            <w:tcW w:w="0" w:type="auto"/>
            <w:hideMark/>
          </w:tcPr>
          <w:p w:rsidR="00271BE2" w:rsidRPr="00DE585B" w:rsidRDefault="00271BE2" w:rsidP="00271BE2">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Total Current Assets (£m)</w:t>
            </w:r>
          </w:p>
        </w:tc>
        <w:tc>
          <w:tcPr>
            <w:tcW w:w="0" w:type="auto"/>
            <w:hideMark/>
          </w:tcPr>
          <w:p w:rsidR="00271BE2" w:rsidRPr="00DE585B" w:rsidRDefault="00271BE2" w:rsidP="00271BE2">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Total Current Liabilities (£m)</w:t>
            </w:r>
          </w:p>
        </w:tc>
        <w:tc>
          <w:tcPr>
            <w:tcW w:w="0" w:type="auto"/>
            <w:hideMark/>
          </w:tcPr>
          <w:p w:rsidR="00271BE2" w:rsidRPr="00DE585B" w:rsidRDefault="00271BE2" w:rsidP="00271BE2">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Current Ratio (x</w:t>
            </w:r>
            <w:r w:rsidR="001869EC" w:rsidRPr="00DE585B">
              <w:rPr>
                <w:rFonts w:ascii="Arial" w:eastAsia="Times New Roman" w:hAnsi="Arial" w:cs="Arial"/>
                <w:color w:val="1B1C1D"/>
                <w:sz w:val="24"/>
                <w:szCs w:val="24"/>
                <w:bdr w:val="none" w:sz="0" w:space="0" w:color="auto" w:frame="1"/>
              </w:rPr>
              <w:t>:1</w:t>
            </w:r>
            <w:r w:rsidRPr="00DE585B">
              <w:rPr>
                <w:rFonts w:ascii="Arial" w:eastAsia="Times New Roman" w:hAnsi="Arial" w:cs="Arial"/>
                <w:color w:val="1B1C1D"/>
                <w:sz w:val="24"/>
                <w:szCs w:val="24"/>
                <w:bdr w:val="none" w:sz="0" w:space="0" w:color="auto" w:frame="1"/>
              </w:rPr>
              <w:t>)</w:t>
            </w:r>
          </w:p>
        </w:tc>
      </w:tr>
      <w:tr w:rsidR="00271BE2" w:rsidRPr="00DE585B" w:rsidTr="00271BE2">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271BE2" w:rsidRPr="00DE585B" w:rsidRDefault="00271BE2" w:rsidP="00271BE2">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2024</w:t>
            </w:r>
          </w:p>
        </w:tc>
        <w:tc>
          <w:tcPr>
            <w:tcW w:w="0" w:type="auto"/>
            <w:hideMark/>
          </w:tcPr>
          <w:p w:rsidR="00271BE2" w:rsidRPr="00DE585B" w:rsidRDefault="00271BE2"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242,494</w:t>
            </w:r>
          </w:p>
        </w:tc>
        <w:tc>
          <w:tcPr>
            <w:tcW w:w="0" w:type="auto"/>
            <w:hideMark/>
          </w:tcPr>
          <w:p w:rsidR="00271BE2" w:rsidRPr="00DE585B" w:rsidRDefault="00271BE2"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158,291</w:t>
            </w:r>
          </w:p>
        </w:tc>
        <w:tc>
          <w:tcPr>
            <w:tcW w:w="0" w:type="auto"/>
            <w:hideMark/>
          </w:tcPr>
          <w:p w:rsidR="00271BE2" w:rsidRPr="00DE585B" w:rsidRDefault="001869EC"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1.53</w:t>
            </w:r>
          </w:p>
        </w:tc>
      </w:tr>
      <w:tr w:rsidR="00271BE2" w:rsidRPr="00DE585B" w:rsidTr="00271BE2">
        <w:trPr>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271BE2" w:rsidRPr="00DE585B" w:rsidRDefault="00271BE2" w:rsidP="00271BE2">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271BE2" w:rsidRPr="00DE585B" w:rsidRDefault="00271BE2" w:rsidP="00271BE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258,851</w:t>
            </w:r>
          </w:p>
        </w:tc>
        <w:tc>
          <w:tcPr>
            <w:tcW w:w="0" w:type="auto"/>
            <w:hideMark/>
          </w:tcPr>
          <w:p w:rsidR="00271BE2" w:rsidRPr="00DE585B" w:rsidRDefault="00271BE2" w:rsidP="00271BE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161,148</w:t>
            </w:r>
          </w:p>
        </w:tc>
        <w:tc>
          <w:tcPr>
            <w:tcW w:w="0" w:type="auto"/>
            <w:hideMark/>
          </w:tcPr>
          <w:p w:rsidR="00271BE2" w:rsidRPr="00DE585B" w:rsidRDefault="001869EC" w:rsidP="00271BE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1B1C1D"/>
                <w:sz w:val="24"/>
                <w:szCs w:val="24"/>
                <w:bdr w:val="none" w:sz="0" w:space="0" w:color="auto" w:frame="1"/>
              </w:rPr>
            </w:pPr>
            <w:r w:rsidRPr="00DE585B">
              <w:rPr>
                <w:rFonts w:ascii="Arial" w:eastAsia="Times New Roman" w:hAnsi="Arial" w:cs="Arial"/>
                <w:b/>
                <w:bCs/>
                <w:color w:val="1B1C1D"/>
                <w:sz w:val="24"/>
                <w:szCs w:val="24"/>
                <w:bdr w:val="none" w:sz="0" w:space="0" w:color="auto" w:frame="1"/>
              </w:rPr>
              <w:t>1.61</w:t>
            </w:r>
          </w:p>
        </w:tc>
      </w:tr>
      <w:tr w:rsidR="00271BE2" w:rsidRPr="00DE585B" w:rsidTr="00271BE2">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271BE2" w:rsidRPr="00DE585B" w:rsidRDefault="00271BE2" w:rsidP="00271BE2">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2022</w:t>
            </w:r>
          </w:p>
        </w:tc>
        <w:tc>
          <w:tcPr>
            <w:tcW w:w="0" w:type="auto"/>
            <w:hideMark/>
          </w:tcPr>
          <w:p w:rsidR="00271BE2" w:rsidRPr="00DE585B" w:rsidRDefault="00271BE2"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338,040</w:t>
            </w:r>
          </w:p>
        </w:tc>
        <w:tc>
          <w:tcPr>
            <w:tcW w:w="0" w:type="auto"/>
            <w:hideMark/>
          </w:tcPr>
          <w:p w:rsidR="00271BE2" w:rsidRPr="00DE585B" w:rsidRDefault="00271BE2"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216,473</w:t>
            </w:r>
          </w:p>
        </w:tc>
        <w:tc>
          <w:tcPr>
            <w:tcW w:w="0" w:type="auto"/>
            <w:hideMark/>
          </w:tcPr>
          <w:p w:rsidR="00271BE2" w:rsidRPr="00DE585B" w:rsidRDefault="001869EC"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1B1C1D"/>
                <w:sz w:val="24"/>
                <w:szCs w:val="24"/>
                <w:bdr w:val="none" w:sz="0" w:space="0" w:color="auto" w:frame="1"/>
              </w:rPr>
            </w:pPr>
            <w:r w:rsidRPr="00DE585B">
              <w:rPr>
                <w:rFonts w:ascii="Arial" w:eastAsia="Times New Roman" w:hAnsi="Arial" w:cs="Arial"/>
                <w:b/>
                <w:bCs/>
                <w:color w:val="1B1C1D"/>
                <w:sz w:val="24"/>
                <w:szCs w:val="24"/>
                <w:bdr w:val="none" w:sz="0" w:space="0" w:color="auto" w:frame="1"/>
              </w:rPr>
              <w:t>1.56</w:t>
            </w:r>
          </w:p>
        </w:tc>
      </w:tr>
      <w:tr w:rsidR="00271BE2" w:rsidRPr="00DE585B" w:rsidTr="00271BE2">
        <w:trPr>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271BE2" w:rsidRPr="00DE585B" w:rsidRDefault="00271BE2" w:rsidP="00271BE2">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2021</w:t>
            </w:r>
          </w:p>
        </w:tc>
        <w:tc>
          <w:tcPr>
            <w:tcW w:w="0" w:type="auto"/>
            <w:hideMark/>
          </w:tcPr>
          <w:p w:rsidR="00271BE2" w:rsidRPr="00DE585B" w:rsidRDefault="00271BE2" w:rsidP="00271BE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337,146</w:t>
            </w:r>
          </w:p>
        </w:tc>
        <w:tc>
          <w:tcPr>
            <w:tcW w:w="0" w:type="auto"/>
            <w:hideMark/>
          </w:tcPr>
          <w:p w:rsidR="00271BE2" w:rsidRPr="00DE585B" w:rsidRDefault="00271BE2" w:rsidP="00271BE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216,787</w:t>
            </w:r>
          </w:p>
        </w:tc>
        <w:tc>
          <w:tcPr>
            <w:tcW w:w="0" w:type="auto"/>
            <w:hideMark/>
          </w:tcPr>
          <w:p w:rsidR="00271BE2" w:rsidRPr="00DE585B" w:rsidRDefault="001869EC" w:rsidP="00271BE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1B1C1D"/>
                <w:sz w:val="24"/>
                <w:szCs w:val="24"/>
                <w:bdr w:val="none" w:sz="0" w:space="0" w:color="auto" w:frame="1"/>
              </w:rPr>
            </w:pPr>
            <w:r w:rsidRPr="00DE585B">
              <w:rPr>
                <w:rFonts w:ascii="Arial" w:eastAsia="Times New Roman" w:hAnsi="Arial" w:cs="Arial"/>
                <w:b/>
                <w:bCs/>
                <w:color w:val="1B1C1D"/>
                <w:sz w:val="24"/>
                <w:szCs w:val="24"/>
                <w:bdr w:val="none" w:sz="0" w:space="0" w:color="auto" w:frame="1"/>
              </w:rPr>
              <w:t>1.56</w:t>
            </w:r>
          </w:p>
        </w:tc>
      </w:tr>
      <w:tr w:rsidR="00271BE2" w:rsidRPr="00DE585B" w:rsidTr="00271BE2">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rsidR="00271BE2" w:rsidRPr="00DE585B" w:rsidRDefault="00271BE2" w:rsidP="00271BE2">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271BE2" w:rsidRPr="00DE585B" w:rsidRDefault="00271BE2"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326,843</w:t>
            </w:r>
          </w:p>
        </w:tc>
        <w:tc>
          <w:tcPr>
            <w:tcW w:w="0" w:type="auto"/>
            <w:hideMark/>
          </w:tcPr>
          <w:p w:rsidR="00271BE2" w:rsidRPr="00DE585B" w:rsidRDefault="00271BE2"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179,510</w:t>
            </w:r>
          </w:p>
        </w:tc>
        <w:tc>
          <w:tcPr>
            <w:tcW w:w="0" w:type="auto"/>
            <w:hideMark/>
          </w:tcPr>
          <w:p w:rsidR="00271BE2" w:rsidRPr="00DE585B" w:rsidRDefault="001869EC" w:rsidP="00271BE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1B1C1D"/>
                <w:sz w:val="24"/>
                <w:szCs w:val="24"/>
                <w:bdr w:val="none" w:sz="0" w:space="0" w:color="auto" w:frame="1"/>
              </w:rPr>
            </w:pPr>
            <w:r w:rsidRPr="00DE585B">
              <w:rPr>
                <w:rFonts w:ascii="Arial" w:eastAsia="Times New Roman" w:hAnsi="Arial" w:cs="Arial"/>
                <w:b/>
                <w:bCs/>
                <w:color w:val="1B1C1D"/>
                <w:sz w:val="24"/>
                <w:szCs w:val="24"/>
                <w:bdr w:val="none" w:sz="0" w:space="0" w:color="auto" w:frame="1"/>
              </w:rPr>
              <w:t>1.82</w:t>
            </w:r>
          </w:p>
        </w:tc>
      </w:tr>
    </w:tbl>
    <w:p w:rsidR="00386068" w:rsidRPr="00DE585B" w:rsidRDefault="00271BE2" w:rsidP="00386068">
      <w:pPr>
        <w:pStyle w:val="ListParagraph"/>
        <w:spacing w:line="360" w:lineRule="auto"/>
        <w:ind w:left="1097" w:right="737"/>
        <w:jc w:val="both"/>
        <w:rPr>
          <w:rFonts w:ascii="Arial" w:hAnsi="Arial" w:cs="Arial"/>
          <w:b/>
          <w:bCs/>
          <w:sz w:val="24"/>
          <w:szCs w:val="24"/>
        </w:rPr>
      </w:pPr>
      <w:r w:rsidRPr="00DE585B">
        <w:rPr>
          <w:rFonts w:ascii="Arial" w:hAnsi="Arial" w:cs="Arial"/>
          <w:b/>
          <w:bCs/>
          <w:sz w:val="24"/>
          <w:szCs w:val="24"/>
        </w:rPr>
        <w:t xml:space="preserve"> </w:t>
      </w:r>
      <w:r w:rsidR="00386068" w:rsidRPr="00DE585B">
        <w:rPr>
          <w:rFonts w:ascii="Arial" w:hAnsi="Arial" w:cs="Arial"/>
          <w:b/>
          <w:bCs/>
          <w:sz w:val="24"/>
          <w:szCs w:val="24"/>
        </w:rPr>
        <w:t>Current Ratio = Current Assets / Current Liabilities</w:t>
      </w:r>
    </w:p>
    <w:p w:rsidR="00271BE2" w:rsidRPr="00DE585B" w:rsidRDefault="00271BE2" w:rsidP="00271BE2">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 xml:space="preserve">Table 1.5 Current </w:t>
      </w:r>
      <w:proofErr w:type="gramStart"/>
      <w:r w:rsidRPr="00DE585B">
        <w:rPr>
          <w:rFonts w:ascii="Arial" w:hAnsi="Arial" w:cs="Arial"/>
          <w:b/>
          <w:i/>
          <w:sz w:val="24"/>
          <w:szCs w:val="24"/>
          <w:u w:val="single"/>
        </w:rPr>
        <w:t>Ratio</w:t>
      </w:r>
      <w:r w:rsidR="009D3B0B">
        <w:rPr>
          <w:rFonts w:ascii="Arial" w:hAnsi="Arial" w:cs="Arial"/>
          <w:b/>
          <w:bCs/>
          <w:i/>
          <w:sz w:val="24"/>
          <w:szCs w:val="24"/>
          <w:u w:val="single"/>
          <w:lang w:val="en-GB"/>
        </w:rPr>
        <w:t>(</w:t>
      </w:r>
      <w:proofErr w:type="spellStart"/>
      <w:proofErr w:type="gramEnd"/>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386068" w:rsidRPr="00DE585B" w:rsidRDefault="00271BE2" w:rsidP="00386068">
      <w:pPr>
        <w:spacing w:after="0" w:line="240" w:lineRule="auto"/>
        <w:rPr>
          <w:rFonts w:ascii="Times New Roman" w:eastAsia="Times New Roman" w:hAnsi="Times New Roman" w:cs="Times New Roman"/>
          <w:sz w:val="24"/>
          <w:szCs w:val="24"/>
        </w:rPr>
      </w:pPr>
      <w:r w:rsidRPr="00DE585B">
        <w:rPr>
          <w:rFonts w:ascii="Arial" w:hAnsi="Arial" w:cs="Arial"/>
          <w:b/>
          <w:i/>
          <w:noProof/>
          <w:sz w:val="24"/>
          <w:szCs w:val="24"/>
          <w:u w:val="single"/>
        </w:rPr>
        <w:drawing>
          <wp:anchor distT="0" distB="0" distL="114300" distR="114300" simplePos="0" relativeHeight="251661312" behindDoc="0" locked="0" layoutInCell="1" allowOverlap="1">
            <wp:simplePos x="0" y="0"/>
            <wp:positionH relativeFrom="column">
              <wp:posOffset>812165</wp:posOffset>
            </wp:positionH>
            <wp:positionV relativeFrom="paragraph">
              <wp:posOffset>3810</wp:posOffset>
            </wp:positionV>
            <wp:extent cx="5539740" cy="3131820"/>
            <wp:effectExtent l="0" t="0" r="3810" b="11430"/>
            <wp:wrapNone/>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386068" w:rsidRPr="00DE585B">
        <w:rPr>
          <w:rFonts w:ascii="Times New Roman" w:eastAsia="Times New Roman" w:hAnsi="Times New Roman" w:cs="Times New Roman"/>
          <w:noProof/>
          <w:sz w:val="24"/>
          <w:szCs w:val="24"/>
        </w:rPr>
        <mc:AlternateContent>
          <mc:Choice Requires="wps">
            <w:drawing>
              <wp:inline distT="0" distB="0" distL="0" distR="0">
                <wp:extent cx="304800" cy="304800"/>
                <wp:effectExtent l="0" t="0" r="0" b="0"/>
                <wp:docPr id="5" name="Rectangle 5" descr="data:image/gif;base64,R0lGODlhAQABAIAAAP///wAAACH5BAEA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F1C89E" id="Rectangle 5" o:spid="_x0000_s1026" alt="data:image/gif;base64,R0lGODlhAQABAIAAAP///wAAACH5BAEAAAAALAAAAAABAAEAAAICRAEAO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c2B9QIAABIGAAAOAAAAZHJzL2Uyb0RvYy54bWysVM1ymzAQvnem76DRuQRw8A80OIONnWbG&#10;bdKkfQAZBGgKEpVk47TTd+9K2I6dXDptdRCrXbH77e6nvbreNTXaUqmY4DH2LzyMKM9EzngZ469f&#10;ls4EI6UJz0ktOI3xE1X4evr2zVXXRnQgKlHnVCJwwlXUtTGutG4j11VZRRuiLkRLORgLIRui4ShL&#10;N5ekA+9N7Q48b+R2QuatFBlVCrRpb8RT678oaKbvikJRjeoYAzZtd2n3tdnd6RWJSknaimV7GOQv&#10;UDSEcQh6dJUSTdBGsleuGpZJoUShLzLRuKIoWEZtDpCN773I5rEiLbW5QHFUeyyT+n9us0/be4lY&#10;HuMhRpw00KIHKBrhZU0RqHKqMihXDvlErCEldUtWvF8TRUfBuwevvrlL6yr5nMyS2yRJ7l3X7eA7&#10;/zCcJQsQkmRld7Db8+38Ab53XRybynetigDAY3svTe1UuxLZN4W4mFcAgCaqBSjAKkB2UEkpuoqS&#10;HErgGxfumQ9zUOANrbuPIodcyEYL25ddIRsTAyqOdrb9T8f2051GGSgvvWDiAUkyMO1lE4FEh59b&#10;qfQNFQ0yQowloLPOyXaldH/1cMXE4mLJ6hr0JKr5mQJ89hoIDb8amwFhCfMz9MLFZDEJnGAwWjiB&#10;l6ZOspwHzmjpj4fpZTqfp/4vE9cPoorlOeUmzIG8fvBn5Ng/o552R/oqUbPcuDOQlCzX81qiLYHH&#10;s7TLlhwsz9fccxi2XpDLi5T8QeDNBqGzHE3GTrAMhk449iaO54ezcOQFYZAuz1NaMU7/PSXUxTgc&#10;Doa2SyegX+Tm2fU6NxI1TMN4qlkTY6AGLHOJRIaBC55bWRNW9/JJKQz851JAuw+Ntnw1FO3Zvxb5&#10;E9BVCqATMA8GKQiVkD8w6mAoxVh93xBJMapvOVA+9IPATDF7CIbjARzkqWV9aiE8A1cx1hj14lz3&#10;k2/TSlZWEMm3heEigWdSMEth84R6VPvHBYPHZrIfkmaynZ7tredRPv0N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RyXNgfUCAAAS&#10;BgAADgAAAAAAAAAAAAAAAAAuAgAAZHJzL2Uyb0RvYy54bWxQSwECLQAUAAYACAAAACEATKDpLNgA&#10;AAADAQAADwAAAAAAAAAAAAAAAABPBQAAZHJzL2Rvd25yZXYueG1sUEsFBgAAAAAEAAQA8wAAAFQG&#10;AAAAAA==&#10;" filled="f" stroked="f">
                <o:lock v:ext="edit" aspectratio="t"/>
                <w10:anchorlock/>
              </v:rect>
            </w:pict>
          </mc:Fallback>
        </mc:AlternateContent>
      </w:r>
    </w:p>
    <w:p w:rsidR="00386068" w:rsidRPr="00DE585B" w:rsidRDefault="00386068" w:rsidP="00386068">
      <w:pPr>
        <w:pStyle w:val="ListParagraph"/>
        <w:spacing w:line="360" w:lineRule="auto"/>
        <w:ind w:left="1097" w:right="737"/>
        <w:rPr>
          <w:rFonts w:ascii="Arial" w:hAnsi="Arial" w:cs="Arial"/>
          <w:b/>
          <w:sz w:val="24"/>
          <w:szCs w:val="24"/>
          <w:u w:val="single"/>
        </w:rPr>
      </w:pPr>
    </w:p>
    <w:p w:rsidR="00A417B9" w:rsidRPr="00DE585B" w:rsidRDefault="00A417B9"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D34161">
      <w:pPr>
        <w:pStyle w:val="ListParagraph"/>
        <w:spacing w:line="360" w:lineRule="auto"/>
        <w:ind w:left="737" w:right="737"/>
        <w:rPr>
          <w:rFonts w:ascii="Arial" w:hAnsi="Arial" w:cs="Arial"/>
          <w:sz w:val="24"/>
          <w:szCs w:val="24"/>
        </w:rPr>
      </w:pPr>
    </w:p>
    <w:p w:rsidR="00271BE2" w:rsidRPr="00DE585B" w:rsidRDefault="00271BE2" w:rsidP="00271BE2">
      <w:pPr>
        <w:pStyle w:val="ListParagraph"/>
        <w:spacing w:line="360" w:lineRule="auto"/>
        <w:ind w:left="1097" w:right="737"/>
        <w:jc w:val="center"/>
        <w:rPr>
          <w:rFonts w:ascii="Arial" w:eastAsia="Times New Roman" w:hAnsi="Arial" w:cs="Arial"/>
          <w:b/>
          <w:i/>
          <w:sz w:val="24"/>
          <w:szCs w:val="24"/>
          <w:u w:val="single"/>
        </w:rPr>
      </w:pPr>
      <w:r w:rsidRPr="00DE585B">
        <w:rPr>
          <w:rFonts w:ascii="Arial" w:eastAsia="Times New Roman" w:hAnsi="Arial" w:cs="Arial"/>
          <w:b/>
          <w:i/>
          <w:sz w:val="24"/>
          <w:szCs w:val="24"/>
          <w:u w:val="single"/>
        </w:rPr>
        <w:t xml:space="preserve">Fig 1.5 Current </w:t>
      </w:r>
      <w:proofErr w:type="gramStart"/>
      <w:r w:rsidRPr="00DE585B">
        <w:rPr>
          <w:rFonts w:ascii="Arial" w:eastAsia="Times New Roman" w:hAnsi="Arial" w:cs="Arial"/>
          <w:b/>
          <w:i/>
          <w:sz w:val="24"/>
          <w:szCs w:val="24"/>
          <w:u w:val="single"/>
        </w:rPr>
        <w:t>Ratio</w:t>
      </w:r>
      <w:r w:rsidR="009D3B0B">
        <w:rPr>
          <w:rFonts w:ascii="Arial" w:hAnsi="Arial" w:cs="Arial"/>
          <w:b/>
          <w:bCs/>
          <w:i/>
          <w:sz w:val="24"/>
          <w:szCs w:val="24"/>
          <w:u w:val="single"/>
          <w:lang w:val="en-GB"/>
        </w:rPr>
        <w:t>(</w:t>
      </w:r>
      <w:proofErr w:type="spellStart"/>
      <w:proofErr w:type="gramEnd"/>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1869EC" w:rsidRPr="00DE585B" w:rsidRDefault="001869EC" w:rsidP="00271BE2">
      <w:pPr>
        <w:pStyle w:val="ListParagraph"/>
        <w:spacing w:line="360" w:lineRule="auto"/>
        <w:ind w:left="1097" w:right="737"/>
        <w:jc w:val="center"/>
        <w:rPr>
          <w:rFonts w:ascii="Arial" w:hAnsi="Arial" w:cs="Arial"/>
          <w:b/>
          <w:i/>
          <w:sz w:val="24"/>
          <w:szCs w:val="24"/>
          <w:u w:val="single"/>
        </w:rPr>
      </w:pPr>
    </w:p>
    <w:p w:rsidR="001869EC" w:rsidRPr="009D3B0B" w:rsidRDefault="00271BE2" w:rsidP="009D3B0B">
      <w:pPr>
        <w:pStyle w:val="ListParagraph"/>
        <w:spacing w:line="360" w:lineRule="auto"/>
        <w:ind w:left="737" w:right="737"/>
        <w:jc w:val="both"/>
        <w:rPr>
          <w:rFonts w:ascii="Arial" w:hAnsi="Arial" w:cs="Arial"/>
          <w:sz w:val="24"/>
          <w:szCs w:val="24"/>
        </w:rPr>
      </w:pPr>
      <w:r w:rsidRPr="00DE585B">
        <w:rPr>
          <w:rFonts w:ascii="Arial" w:hAnsi="Arial" w:cs="Arial"/>
          <w:sz w:val="24"/>
          <w:szCs w:val="24"/>
        </w:rPr>
        <w:t>The Current Ratio indicates that General Electronics isn't currently struggling with a liquidity crisis, since its current liabilities do not exceed its current assets. However, it is trending toward the lower end of the acceptable range and is highly reliant on the sale ability of the large inventory balance. Overall, the current trend indicates a decreasing, weaker liquidity cushion.</w:t>
      </w:r>
    </w:p>
    <w:p w:rsidR="001869EC" w:rsidRPr="00DE585B" w:rsidRDefault="001869EC" w:rsidP="001869EC">
      <w:pPr>
        <w:pStyle w:val="ListParagraph"/>
        <w:numPr>
          <w:ilvl w:val="0"/>
          <w:numId w:val="5"/>
        </w:numPr>
        <w:spacing w:line="360" w:lineRule="auto"/>
        <w:ind w:left="1097" w:right="737"/>
        <w:rPr>
          <w:rFonts w:ascii="Arial" w:hAnsi="Arial" w:cs="Arial"/>
          <w:b/>
          <w:sz w:val="24"/>
          <w:szCs w:val="24"/>
          <w:u w:val="single"/>
        </w:rPr>
      </w:pPr>
      <w:r w:rsidRPr="00DE585B">
        <w:rPr>
          <w:rFonts w:ascii="Arial" w:hAnsi="Arial" w:cs="Arial"/>
          <w:b/>
          <w:sz w:val="24"/>
          <w:szCs w:val="24"/>
          <w:u w:val="single"/>
        </w:rPr>
        <w:lastRenderedPageBreak/>
        <w:t>Quick ratio</w:t>
      </w:r>
    </w:p>
    <w:p w:rsidR="001869EC" w:rsidRPr="00DE585B" w:rsidRDefault="001869EC" w:rsidP="001869EC">
      <w:pPr>
        <w:pStyle w:val="ListParagraph"/>
        <w:spacing w:line="360" w:lineRule="auto"/>
        <w:ind w:left="1097" w:right="737"/>
        <w:rPr>
          <w:rFonts w:ascii="Arial" w:hAnsi="Arial" w:cs="Arial"/>
          <w:sz w:val="24"/>
          <w:szCs w:val="24"/>
        </w:rPr>
      </w:pPr>
      <w:r w:rsidRPr="00DE585B">
        <w:rPr>
          <w:rFonts w:ascii="Arial" w:hAnsi="Arial" w:cs="Arial"/>
          <w:noProof/>
          <w:sz w:val="24"/>
          <w:szCs w:val="24"/>
        </w:rPr>
        <w:drawing>
          <wp:anchor distT="0" distB="0" distL="114300" distR="114300" simplePos="0" relativeHeight="251662336" behindDoc="0" locked="0" layoutInCell="1" allowOverlap="1">
            <wp:simplePos x="0" y="0"/>
            <wp:positionH relativeFrom="column">
              <wp:posOffset>945515</wp:posOffset>
            </wp:positionH>
            <wp:positionV relativeFrom="paragraph">
              <wp:posOffset>838835</wp:posOffset>
            </wp:positionV>
            <wp:extent cx="2353310" cy="245110"/>
            <wp:effectExtent l="0" t="0" r="8890" b="2540"/>
            <wp:wrapTopAndBottom/>
            <wp:docPr id="8" name="Picture 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70397D8D-F4AC-C0DB-ED67-FD7187A045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70397D8D-F4AC-C0DB-ED67-FD7187A0458A}"/>
                        </a:ext>
                      </a:extLst>
                    </pic:cNvPr>
                    <pic:cNvPicPr>
                      <a:picLocks noChangeAspect="1"/>
                    </pic:cNvPicPr>
                  </pic:nvPicPr>
                  <pic:blipFill rotWithShape="1">
                    <a:blip r:embed="rId14">
                      <a:extLst>
                        <a:ext uri="{28A0092B-C50C-407E-A947-70E740481C1C}">
                          <a14:useLocalDpi xmlns:a14="http://schemas.microsoft.com/office/drawing/2010/main" val="0"/>
                        </a:ext>
                      </a:extLst>
                    </a:blip>
                    <a:srcRect r="22129"/>
                    <a:stretch/>
                  </pic:blipFill>
                  <pic:spPr bwMode="auto">
                    <a:xfrm>
                      <a:off x="0" y="0"/>
                      <a:ext cx="2353310" cy="245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E585B">
        <w:rPr>
          <w:rFonts w:ascii="Arial" w:hAnsi="Arial" w:cs="Arial"/>
          <w:sz w:val="24"/>
          <w:szCs w:val="24"/>
        </w:rPr>
        <w:t>The quick ratio assesses the company's ability to quickly pay its short-term obligations, using only its most liquid assets. The quick ratio is typically utilized to assess the strength of the company's cash position.</w:t>
      </w:r>
      <w:r w:rsidR="00E8035C" w:rsidRPr="00DE585B">
        <w:rPr>
          <w:rFonts w:ascii="Arial" w:hAnsi="Arial" w:cs="Arial"/>
          <w:sz w:val="24"/>
          <w:szCs w:val="24"/>
        </w:rPr>
        <w:t xml:space="preserve"> (Seth, 2025)</w:t>
      </w:r>
    </w:p>
    <w:tbl>
      <w:tblPr>
        <w:tblStyle w:val="GridTable7Colorful-Accent4"/>
        <w:tblpPr w:leftFromText="180" w:rightFromText="180" w:vertAnchor="text" w:horzAnchor="margin" w:tblpXSpec="center" w:tblpY="350"/>
        <w:tblW w:w="9765" w:type="dxa"/>
        <w:tblLook w:val="04A0" w:firstRow="1" w:lastRow="0" w:firstColumn="1" w:lastColumn="0" w:noHBand="0" w:noVBand="1"/>
      </w:tblPr>
      <w:tblGrid>
        <w:gridCol w:w="846"/>
        <w:gridCol w:w="2608"/>
        <w:gridCol w:w="3915"/>
        <w:gridCol w:w="2396"/>
      </w:tblGrid>
      <w:tr w:rsidR="001869EC" w:rsidRPr="00DE585B" w:rsidTr="001869EC">
        <w:trPr>
          <w:cnfStyle w:val="100000000000" w:firstRow="1" w:lastRow="0" w:firstColumn="0" w:lastColumn="0" w:oddVBand="0" w:evenVBand="0" w:oddHBand="0" w:evenHBand="0" w:firstRowFirstColumn="0" w:firstRowLastColumn="0" w:lastRowFirstColumn="0" w:lastRowLastColumn="0"/>
          <w:trHeight w:val="599"/>
        </w:trPr>
        <w:tc>
          <w:tcPr>
            <w:cnfStyle w:val="001000000100" w:firstRow="0" w:lastRow="0" w:firstColumn="1" w:lastColumn="0" w:oddVBand="0" w:evenVBand="0" w:oddHBand="0" w:evenHBand="0" w:firstRowFirstColumn="1" w:firstRowLastColumn="0" w:lastRowFirstColumn="0" w:lastRowLastColumn="0"/>
            <w:tcW w:w="0" w:type="auto"/>
            <w:hideMark/>
          </w:tcPr>
          <w:p w:rsidR="001869EC" w:rsidRPr="00DE585B" w:rsidRDefault="001869EC" w:rsidP="001869E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Year</w:t>
            </w:r>
          </w:p>
        </w:tc>
        <w:tc>
          <w:tcPr>
            <w:tcW w:w="0" w:type="auto"/>
            <w:hideMark/>
          </w:tcPr>
          <w:p w:rsidR="001869EC" w:rsidRPr="00DE585B" w:rsidRDefault="001869EC" w:rsidP="001869E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Quick Assets (£m)</w:t>
            </w:r>
          </w:p>
        </w:tc>
        <w:tc>
          <w:tcPr>
            <w:tcW w:w="0" w:type="auto"/>
            <w:hideMark/>
          </w:tcPr>
          <w:p w:rsidR="001869EC" w:rsidRPr="00DE585B" w:rsidRDefault="001869EC" w:rsidP="001869E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Total Current Liabilities (£m)</w:t>
            </w:r>
          </w:p>
        </w:tc>
        <w:tc>
          <w:tcPr>
            <w:tcW w:w="0" w:type="auto"/>
            <w:hideMark/>
          </w:tcPr>
          <w:p w:rsidR="001869EC" w:rsidRPr="00DE585B" w:rsidRDefault="001869EC" w:rsidP="001869E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Quick Ratio (x:1)</w:t>
            </w:r>
          </w:p>
        </w:tc>
      </w:tr>
      <w:tr w:rsidR="001869EC" w:rsidRPr="00DE585B" w:rsidTr="001869EC">
        <w:trPr>
          <w:cnfStyle w:val="000000100000" w:firstRow="0" w:lastRow="0" w:firstColumn="0" w:lastColumn="0" w:oddVBand="0" w:evenVBand="0" w:oddHBand="1"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0" w:type="auto"/>
            <w:hideMark/>
          </w:tcPr>
          <w:p w:rsidR="001869EC" w:rsidRPr="00DE585B" w:rsidRDefault="001869EC" w:rsidP="001869EC">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2024</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163,139</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158,291</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1.03</w:t>
            </w:r>
          </w:p>
        </w:tc>
      </w:tr>
      <w:tr w:rsidR="001869EC" w:rsidRPr="00DE585B" w:rsidTr="001869EC">
        <w:trPr>
          <w:trHeight w:val="599"/>
        </w:trPr>
        <w:tc>
          <w:tcPr>
            <w:cnfStyle w:val="001000000000" w:firstRow="0" w:lastRow="0" w:firstColumn="1" w:lastColumn="0" w:oddVBand="0" w:evenVBand="0" w:oddHBand="0" w:evenHBand="0" w:firstRowFirstColumn="0" w:firstRowLastColumn="0" w:lastRowFirstColumn="0" w:lastRowLastColumn="0"/>
            <w:tcW w:w="0" w:type="auto"/>
            <w:hideMark/>
          </w:tcPr>
          <w:p w:rsidR="001869EC" w:rsidRPr="00DE585B" w:rsidRDefault="001869EC" w:rsidP="001869EC">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2023</w:t>
            </w:r>
          </w:p>
        </w:tc>
        <w:tc>
          <w:tcPr>
            <w:tcW w:w="0" w:type="auto"/>
            <w:hideMark/>
          </w:tcPr>
          <w:p w:rsidR="001869EC" w:rsidRPr="00DE585B" w:rsidRDefault="001869EC" w:rsidP="001869E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170,578</w:t>
            </w:r>
          </w:p>
        </w:tc>
        <w:tc>
          <w:tcPr>
            <w:tcW w:w="0" w:type="auto"/>
            <w:hideMark/>
          </w:tcPr>
          <w:p w:rsidR="001869EC" w:rsidRPr="00DE585B" w:rsidRDefault="001869EC" w:rsidP="001869E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161,148</w:t>
            </w:r>
          </w:p>
        </w:tc>
        <w:tc>
          <w:tcPr>
            <w:tcW w:w="0" w:type="auto"/>
            <w:hideMark/>
          </w:tcPr>
          <w:p w:rsidR="001869EC" w:rsidRPr="00DE585B" w:rsidRDefault="001869EC" w:rsidP="001869E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1.06</w:t>
            </w:r>
          </w:p>
        </w:tc>
      </w:tr>
      <w:tr w:rsidR="001869EC" w:rsidRPr="00DE585B" w:rsidTr="001869EC">
        <w:trPr>
          <w:cnfStyle w:val="000000100000" w:firstRow="0" w:lastRow="0" w:firstColumn="0" w:lastColumn="0" w:oddVBand="0" w:evenVBand="0" w:oddHBand="1" w:evenHBand="0" w:firstRowFirstColumn="0" w:firstRowLastColumn="0" w:lastRowFirstColumn="0" w:lastRowLastColumn="0"/>
          <w:trHeight w:val="599"/>
        </w:trPr>
        <w:tc>
          <w:tcPr>
            <w:cnfStyle w:val="001000000000" w:firstRow="0" w:lastRow="0" w:firstColumn="1" w:lastColumn="0" w:oddVBand="0" w:evenVBand="0" w:oddHBand="0" w:evenHBand="0" w:firstRowFirstColumn="0" w:firstRowLastColumn="0" w:lastRowFirstColumn="0" w:lastRowLastColumn="0"/>
            <w:tcW w:w="0" w:type="auto"/>
            <w:hideMark/>
          </w:tcPr>
          <w:p w:rsidR="001869EC" w:rsidRPr="00DE585B" w:rsidRDefault="001869EC" w:rsidP="001869EC">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2022</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197,859</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216,473</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0.91</w:t>
            </w:r>
          </w:p>
        </w:tc>
      </w:tr>
      <w:tr w:rsidR="001869EC" w:rsidRPr="00DE585B" w:rsidTr="001869EC">
        <w:trPr>
          <w:trHeight w:val="599"/>
        </w:trPr>
        <w:tc>
          <w:tcPr>
            <w:cnfStyle w:val="001000000000" w:firstRow="0" w:lastRow="0" w:firstColumn="1" w:lastColumn="0" w:oddVBand="0" w:evenVBand="0" w:oddHBand="0" w:evenHBand="0" w:firstRowFirstColumn="0" w:firstRowLastColumn="0" w:lastRowFirstColumn="0" w:lastRowLastColumn="0"/>
            <w:tcW w:w="0" w:type="auto"/>
            <w:hideMark/>
          </w:tcPr>
          <w:p w:rsidR="001869EC" w:rsidRPr="00DE585B" w:rsidRDefault="001869EC" w:rsidP="001869EC">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2021</w:t>
            </w:r>
          </w:p>
        </w:tc>
        <w:tc>
          <w:tcPr>
            <w:tcW w:w="0" w:type="auto"/>
            <w:hideMark/>
          </w:tcPr>
          <w:p w:rsidR="001869EC" w:rsidRPr="00DE585B" w:rsidRDefault="001869EC" w:rsidP="001869E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202,677</w:t>
            </w:r>
          </w:p>
        </w:tc>
        <w:tc>
          <w:tcPr>
            <w:tcW w:w="0" w:type="auto"/>
            <w:hideMark/>
          </w:tcPr>
          <w:p w:rsidR="001869EC" w:rsidRPr="00DE585B" w:rsidRDefault="001869EC" w:rsidP="001869E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216,787</w:t>
            </w:r>
          </w:p>
        </w:tc>
        <w:tc>
          <w:tcPr>
            <w:tcW w:w="0" w:type="auto"/>
            <w:hideMark/>
          </w:tcPr>
          <w:p w:rsidR="001869EC" w:rsidRPr="00DE585B" w:rsidRDefault="001869EC" w:rsidP="001869E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0.93</w:t>
            </w:r>
          </w:p>
        </w:tc>
      </w:tr>
      <w:tr w:rsidR="001869EC" w:rsidRPr="00DE585B" w:rsidTr="001869EC">
        <w:trPr>
          <w:cnfStyle w:val="000000100000" w:firstRow="0" w:lastRow="0" w:firstColumn="0" w:lastColumn="0" w:oddVBand="0" w:evenVBand="0" w:oddHBand="1" w:evenHBand="0" w:firstRowFirstColumn="0" w:firstRowLastColumn="0" w:lastRowFirstColumn="0" w:lastRowLastColumn="0"/>
          <w:trHeight w:val="599"/>
        </w:trPr>
        <w:tc>
          <w:tcPr>
            <w:cnfStyle w:val="001000000000" w:firstRow="0" w:lastRow="0" w:firstColumn="1" w:lastColumn="0" w:oddVBand="0" w:evenVBand="0" w:oddHBand="0" w:evenHBand="0" w:firstRowFirstColumn="0" w:firstRowLastColumn="0" w:lastRowFirstColumn="0" w:lastRowLastColumn="0"/>
            <w:tcW w:w="0" w:type="auto"/>
            <w:hideMark/>
          </w:tcPr>
          <w:p w:rsidR="001869EC" w:rsidRPr="00DE585B" w:rsidRDefault="001869EC" w:rsidP="001869EC">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2020</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206,413</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179,510</w:t>
            </w:r>
          </w:p>
        </w:tc>
        <w:tc>
          <w:tcPr>
            <w:tcW w:w="0" w:type="auto"/>
            <w:hideMark/>
          </w:tcPr>
          <w:p w:rsidR="001869EC" w:rsidRPr="00DE585B" w:rsidRDefault="001869EC" w:rsidP="001869E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1.15</w:t>
            </w:r>
          </w:p>
        </w:tc>
      </w:tr>
    </w:tbl>
    <w:p w:rsidR="001869EC" w:rsidRPr="00DE585B" w:rsidRDefault="001869EC" w:rsidP="001869EC">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 xml:space="preserve">Table 1.6 Quick </w:t>
      </w:r>
      <w:proofErr w:type="gramStart"/>
      <w:r w:rsidRPr="00DE585B">
        <w:rPr>
          <w:rFonts w:ascii="Arial" w:hAnsi="Arial" w:cs="Arial"/>
          <w:b/>
          <w:i/>
          <w:sz w:val="24"/>
          <w:szCs w:val="24"/>
          <w:u w:val="single"/>
        </w:rPr>
        <w:t>Ratio</w:t>
      </w:r>
      <w:r w:rsidR="009D3B0B">
        <w:rPr>
          <w:rFonts w:ascii="Arial" w:hAnsi="Arial" w:cs="Arial"/>
          <w:b/>
          <w:bCs/>
          <w:i/>
          <w:sz w:val="24"/>
          <w:szCs w:val="24"/>
          <w:u w:val="single"/>
          <w:lang w:val="en-GB"/>
        </w:rPr>
        <w:t>(</w:t>
      </w:r>
      <w:proofErr w:type="spellStart"/>
      <w:proofErr w:type="gramEnd"/>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1869EC" w:rsidRPr="00DE585B" w:rsidRDefault="001869EC" w:rsidP="001869EC">
      <w:pPr>
        <w:pStyle w:val="ListParagraph"/>
        <w:spacing w:line="360" w:lineRule="auto"/>
        <w:ind w:left="737" w:right="737"/>
        <w:jc w:val="both"/>
        <w:rPr>
          <w:rFonts w:ascii="Arial" w:hAnsi="Arial" w:cs="Arial"/>
          <w:sz w:val="24"/>
          <w:szCs w:val="24"/>
        </w:rPr>
      </w:pPr>
      <w:r w:rsidRPr="00DE585B">
        <w:rPr>
          <w:rFonts w:ascii="Arial" w:hAnsi="Arial" w:cs="Arial"/>
          <w:sz w:val="24"/>
          <w:szCs w:val="24"/>
        </w:rPr>
        <w:t>The Quick Ratio affirms that General Electronics encountered a legitimate liquidity crisis for 2021-2022. Although it has statistically improved, a financial ratio of 1.03 is still dangerous, as the company is now financially living and operating paycheck-to-paycheck with its quick assets. The financial statements note that the firm's 1.53 Current Ratio was only possible when accounting for £79355m in Inventories, thereby indicating that while inventory is important for liquidity, it is an unreliable means of meeting its immediate debts.</w:t>
      </w:r>
    </w:p>
    <w:p w:rsidR="001869EC" w:rsidRPr="00DE585B" w:rsidRDefault="00E8035C" w:rsidP="00E8035C">
      <w:pPr>
        <w:pStyle w:val="ListParagraph"/>
        <w:numPr>
          <w:ilvl w:val="0"/>
          <w:numId w:val="4"/>
        </w:numPr>
        <w:spacing w:line="360" w:lineRule="auto"/>
        <w:ind w:left="1097" w:right="737"/>
        <w:rPr>
          <w:rFonts w:ascii="Arial" w:hAnsi="Arial" w:cs="Arial"/>
          <w:b/>
          <w:sz w:val="24"/>
          <w:szCs w:val="24"/>
          <w:u w:val="single"/>
        </w:rPr>
      </w:pPr>
      <w:r w:rsidRPr="00DE585B">
        <w:rPr>
          <w:rFonts w:ascii="Arial" w:hAnsi="Arial" w:cs="Arial"/>
          <w:b/>
          <w:sz w:val="24"/>
          <w:szCs w:val="24"/>
          <w:u w:val="single"/>
        </w:rPr>
        <w:t>Efficiency</w:t>
      </w:r>
    </w:p>
    <w:p w:rsidR="00E8035C" w:rsidRPr="00DE585B" w:rsidRDefault="00E8035C" w:rsidP="00E8035C">
      <w:pPr>
        <w:pStyle w:val="ListParagraph"/>
        <w:numPr>
          <w:ilvl w:val="0"/>
          <w:numId w:val="8"/>
        </w:numPr>
        <w:spacing w:line="360" w:lineRule="auto"/>
        <w:ind w:left="1097" w:right="737"/>
        <w:rPr>
          <w:rFonts w:ascii="Arial" w:hAnsi="Arial" w:cs="Arial"/>
          <w:b/>
          <w:sz w:val="24"/>
          <w:szCs w:val="24"/>
          <w:u w:val="single"/>
        </w:rPr>
      </w:pPr>
      <w:r w:rsidRPr="00DE585B">
        <w:rPr>
          <w:rFonts w:ascii="Arial" w:hAnsi="Arial" w:cs="Arial"/>
          <w:b/>
          <w:sz w:val="24"/>
          <w:szCs w:val="24"/>
          <w:u w:val="single"/>
        </w:rPr>
        <w:t xml:space="preserve">Non-current asset turnover </w:t>
      </w:r>
    </w:p>
    <w:tbl>
      <w:tblPr>
        <w:tblStyle w:val="GridTable2-Accent6"/>
        <w:tblpPr w:leftFromText="180" w:rightFromText="180" w:vertAnchor="text" w:horzAnchor="page" w:tblpX="1748" w:tblpY="415"/>
        <w:tblW w:w="8782" w:type="dxa"/>
        <w:tblLook w:val="04A0" w:firstRow="1" w:lastRow="0" w:firstColumn="1" w:lastColumn="0" w:noHBand="0" w:noVBand="1"/>
      </w:tblPr>
      <w:tblGrid>
        <w:gridCol w:w="1029"/>
        <w:gridCol w:w="2566"/>
        <w:gridCol w:w="3189"/>
        <w:gridCol w:w="1998"/>
      </w:tblGrid>
      <w:tr w:rsidR="00E8035C" w:rsidRPr="00DE585B" w:rsidTr="00E8035C">
        <w:trPr>
          <w:cnfStyle w:val="100000000000" w:firstRow="1" w:lastRow="0" w:firstColumn="0" w:lastColumn="0" w:oddVBand="0" w:evenVBand="0" w:oddHBand="0"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0" w:type="auto"/>
            <w:hideMark/>
          </w:tcPr>
          <w:p w:rsidR="00E8035C" w:rsidRPr="00DE585B" w:rsidRDefault="00E8035C" w:rsidP="00E8035C">
            <w:pP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Year</w:t>
            </w:r>
          </w:p>
        </w:tc>
        <w:tc>
          <w:tcPr>
            <w:tcW w:w="0" w:type="auto"/>
            <w:hideMark/>
          </w:tcPr>
          <w:p w:rsidR="00E8035C" w:rsidRPr="00DE585B" w:rsidRDefault="00E8035C" w:rsidP="00E8035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Net Sales (£m)</w:t>
            </w:r>
          </w:p>
        </w:tc>
        <w:tc>
          <w:tcPr>
            <w:tcW w:w="0" w:type="auto"/>
            <w:hideMark/>
          </w:tcPr>
          <w:p w:rsidR="00E8035C" w:rsidRPr="00DE585B" w:rsidRDefault="00E8035C" w:rsidP="00E8035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Average NCA (£m)</w:t>
            </w:r>
          </w:p>
        </w:tc>
        <w:tc>
          <w:tcPr>
            <w:tcW w:w="0" w:type="auto"/>
            <w:hideMark/>
          </w:tcPr>
          <w:p w:rsidR="00E8035C" w:rsidRPr="00DE585B" w:rsidRDefault="00E8035C" w:rsidP="00E8035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NCAT (x:1)</w:t>
            </w:r>
          </w:p>
        </w:tc>
      </w:tr>
      <w:tr w:rsidR="00E8035C" w:rsidRPr="00DE585B" w:rsidTr="00E8035C">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0" w:type="auto"/>
            <w:hideMark/>
          </w:tcPr>
          <w:p w:rsidR="00E8035C" w:rsidRPr="00DE585B" w:rsidRDefault="00E8035C" w:rsidP="00E8035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2024</w:t>
            </w:r>
          </w:p>
        </w:tc>
        <w:tc>
          <w:tcPr>
            <w:tcW w:w="0" w:type="auto"/>
            <w:hideMark/>
          </w:tcPr>
          <w:p w:rsidR="00E8035C" w:rsidRPr="00DE585B" w:rsidRDefault="00E8035C"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394,879</w:t>
            </w:r>
          </w:p>
        </w:tc>
        <w:tc>
          <w:tcPr>
            <w:tcW w:w="0" w:type="auto"/>
            <w:hideMark/>
          </w:tcPr>
          <w:p w:rsidR="00E8035C" w:rsidRPr="00DE585B" w:rsidRDefault="00E8035C"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88,940</w:t>
            </w:r>
          </w:p>
        </w:tc>
        <w:tc>
          <w:tcPr>
            <w:tcW w:w="0" w:type="auto"/>
            <w:hideMark/>
          </w:tcPr>
          <w:p w:rsidR="00E8035C" w:rsidRPr="00DE585B" w:rsidRDefault="00520684"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4.44</w:t>
            </w:r>
          </w:p>
        </w:tc>
      </w:tr>
      <w:tr w:rsidR="00E8035C" w:rsidRPr="00DE585B" w:rsidTr="00E8035C">
        <w:trPr>
          <w:trHeight w:val="385"/>
        </w:trPr>
        <w:tc>
          <w:tcPr>
            <w:cnfStyle w:val="001000000000" w:firstRow="0" w:lastRow="0" w:firstColumn="1" w:lastColumn="0" w:oddVBand="0" w:evenVBand="0" w:oddHBand="0" w:evenHBand="0" w:firstRowFirstColumn="0" w:firstRowLastColumn="0" w:lastRowFirstColumn="0" w:lastRowLastColumn="0"/>
            <w:tcW w:w="0" w:type="auto"/>
            <w:hideMark/>
          </w:tcPr>
          <w:p w:rsidR="00E8035C" w:rsidRPr="00DE585B" w:rsidRDefault="00E8035C" w:rsidP="00E8035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E8035C" w:rsidRPr="00DE585B" w:rsidRDefault="00E8035C" w:rsidP="00E8035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420,457</w:t>
            </w:r>
          </w:p>
        </w:tc>
        <w:tc>
          <w:tcPr>
            <w:tcW w:w="0" w:type="auto"/>
            <w:hideMark/>
          </w:tcPr>
          <w:p w:rsidR="00E8035C" w:rsidRPr="00DE585B" w:rsidRDefault="00E8035C" w:rsidP="00E8035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107,030</w:t>
            </w:r>
          </w:p>
        </w:tc>
        <w:tc>
          <w:tcPr>
            <w:tcW w:w="0" w:type="auto"/>
            <w:hideMark/>
          </w:tcPr>
          <w:p w:rsidR="00E8035C" w:rsidRPr="00DE585B" w:rsidRDefault="00520684" w:rsidP="00E8035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3.93</w:t>
            </w:r>
          </w:p>
        </w:tc>
      </w:tr>
      <w:tr w:rsidR="00E8035C" w:rsidRPr="00DE585B" w:rsidTr="00E8035C">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0" w:type="auto"/>
            <w:hideMark/>
          </w:tcPr>
          <w:p w:rsidR="00E8035C" w:rsidRPr="00DE585B" w:rsidRDefault="00E8035C" w:rsidP="00E8035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2022</w:t>
            </w:r>
          </w:p>
        </w:tc>
        <w:tc>
          <w:tcPr>
            <w:tcW w:w="0" w:type="auto"/>
            <w:hideMark/>
          </w:tcPr>
          <w:p w:rsidR="00E8035C" w:rsidRPr="00DE585B" w:rsidRDefault="00E8035C"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542,751</w:t>
            </w:r>
          </w:p>
        </w:tc>
        <w:tc>
          <w:tcPr>
            <w:tcW w:w="0" w:type="auto"/>
            <w:hideMark/>
          </w:tcPr>
          <w:p w:rsidR="00E8035C" w:rsidRPr="00DE585B" w:rsidRDefault="00E8035C"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120,888</w:t>
            </w:r>
          </w:p>
        </w:tc>
        <w:tc>
          <w:tcPr>
            <w:tcW w:w="0" w:type="auto"/>
            <w:hideMark/>
          </w:tcPr>
          <w:p w:rsidR="00E8035C" w:rsidRPr="00DE585B" w:rsidRDefault="00520684"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4.49</w:t>
            </w:r>
          </w:p>
        </w:tc>
      </w:tr>
      <w:tr w:rsidR="00E8035C" w:rsidRPr="00DE585B" w:rsidTr="00E8035C">
        <w:trPr>
          <w:trHeight w:val="385"/>
        </w:trPr>
        <w:tc>
          <w:tcPr>
            <w:cnfStyle w:val="001000000000" w:firstRow="0" w:lastRow="0" w:firstColumn="1" w:lastColumn="0" w:oddVBand="0" w:evenVBand="0" w:oddHBand="0" w:evenHBand="0" w:firstRowFirstColumn="0" w:firstRowLastColumn="0" w:lastRowFirstColumn="0" w:lastRowLastColumn="0"/>
            <w:tcW w:w="0" w:type="auto"/>
            <w:hideMark/>
          </w:tcPr>
          <w:p w:rsidR="00E8035C" w:rsidRPr="00DE585B" w:rsidRDefault="00E8035C" w:rsidP="00E8035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2021</w:t>
            </w:r>
          </w:p>
        </w:tc>
        <w:tc>
          <w:tcPr>
            <w:tcW w:w="0" w:type="auto"/>
            <w:hideMark/>
          </w:tcPr>
          <w:p w:rsidR="00E8035C" w:rsidRPr="00DE585B" w:rsidRDefault="00E8035C" w:rsidP="00E8035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601,602</w:t>
            </w:r>
          </w:p>
        </w:tc>
        <w:tc>
          <w:tcPr>
            <w:tcW w:w="0" w:type="auto"/>
            <w:hideMark/>
          </w:tcPr>
          <w:p w:rsidR="00E8035C" w:rsidRPr="00DE585B" w:rsidRDefault="00E8035C" w:rsidP="00E8035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129,786</w:t>
            </w:r>
          </w:p>
        </w:tc>
        <w:tc>
          <w:tcPr>
            <w:tcW w:w="0" w:type="auto"/>
            <w:hideMark/>
          </w:tcPr>
          <w:p w:rsidR="00E8035C" w:rsidRPr="00DE585B" w:rsidRDefault="00520684" w:rsidP="00E8035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4.64</w:t>
            </w:r>
          </w:p>
        </w:tc>
      </w:tr>
      <w:tr w:rsidR="00E8035C" w:rsidRPr="00DE585B" w:rsidTr="00E8035C">
        <w:trPr>
          <w:cnfStyle w:val="000000100000" w:firstRow="0" w:lastRow="0" w:firstColumn="0" w:lastColumn="0" w:oddVBand="0" w:evenVBand="0" w:oddHBand="1"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0" w:type="auto"/>
            <w:hideMark/>
          </w:tcPr>
          <w:p w:rsidR="00E8035C" w:rsidRPr="00DE585B" w:rsidRDefault="00E8035C" w:rsidP="00E8035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E8035C" w:rsidRPr="00DE585B" w:rsidRDefault="00E8035C"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614,680</w:t>
            </w:r>
          </w:p>
        </w:tc>
        <w:tc>
          <w:tcPr>
            <w:tcW w:w="0" w:type="auto"/>
            <w:hideMark/>
          </w:tcPr>
          <w:p w:rsidR="00E8035C" w:rsidRPr="00DE585B" w:rsidRDefault="00E8035C"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134,833</w:t>
            </w:r>
          </w:p>
        </w:tc>
        <w:tc>
          <w:tcPr>
            <w:tcW w:w="0" w:type="auto"/>
            <w:hideMark/>
          </w:tcPr>
          <w:p w:rsidR="00E8035C" w:rsidRPr="00DE585B" w:rsidRDefault="00520684" w:rsidP="00E8035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4.56</w:t>
            </w:r>
          </w:p>
        </w:tc>
      </w:tr>
    </w:tbl>
    <w:p w:rsidR="00E8035C" w:rsidRPr="00DE585B" w:rsidRDefault="00E8035C" w:rsidP="00E8035C">
      <w:pPr>
        <w:pStyle w:val="ListParagraph"/>
        <w:spacing w:line="360" w:lineRule="auto"/>
        <w:ind w:left="1097" w:right="737"/>
        <w:rPr>
          <w:rFonts w:ascii="Arial" w:hAnsi="Arial" w:cs="Arial"/>
          <w:sz w:val="24"/>
          <w:szCs w:val="24"/>
        </w:rPr>
      </w:pPr>
      <w:r w:rsidRPr="00DE585B">
        <w:rPr>
          <w:rFonts w:ascii="Arial" w:hAnsi="Arial" w:cs="Arial"/>
          <w:sz w:val="24"/>
          <w:szCs w:val="24"/>
        </w:rPr>
        <w:t>NCAT = Net Sales / Average Non-current Assets</w:t>
      </w:r>
    </w:p>
    <w:p w:rsidR="00E8035C" w:rsidRPr="00DE585B" w:rsidRDefault="00E8035C" w:rsidP="00E8035C">
      <w:pPr>
        <w:pStyle w:val="ListParagraph"/>
        <w:spacing w:line="360" w:lineRule="auto"/>
        <w:ind w:left="1097" w:right="737"/>
        <w:rPr>
          <w:rFonts w:ascii="Arial" w:hAnsi="Arial" w:cs="Arial"/>
          <w:sz w:val="24"/>
          <w:szCs w:val="24"/>
        </w:rPr>
      </w:pPr>
      <w:r w:rsidRPr="00DE585B">
        <w:rPr>
          <w:rFonts w:ascii="Arial" w:hAnsi="Arial" w:cs="Arial"/>
          <w:sz w:val="24"/>
          <w:szCs w:val="24"/>
        </w:rPr>
        <w:t xml:space="preserve"> </w:t>
      </w:r>
    </w:p>
    <w:p w:rsidR="001869EC" w:rsidRPr="00DE585B" w:rsidRDefault="00E8035C" w:rsidP="00E8035C">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 xml:space="preserve">Table 1.7 Non-Current asset </w:t>
      </w:r>
      <w:proofErr w:type="gramStart"/>
      <w:r w:rsidRPr="00DE585B">
        <w:rPr>
          <w:rFonts w:ascii="Arial" w:hAnsi="Arial" w:cs="Arial"/>
          <w:b/>
          <w:i/>
          <w:sz w:val="24"/>
          <w:szCs w:val="24"/>
          <w:u w:val="single"/>
        </w:rPr>
        <w:t>Turnover</w:t>
      </w:r>
      <w:r w:rsidR="009D3B0B">
        <w:rPr>
          <w:rFonts w:ascii="Arial" w:hAnsi="Arial" w:cs="Arial"/>
          <w:b/>
          <w:bCs/>
          <w:i/>
          <w:sz w:val="24"/>
          <w:szCs w:val="24"/>
          <w:u w:val="single"/>
          <w:lang w:val="en-GB"/>
        </w:rPr>
        <w:t>(</w:t>
      </w:r>
      <w:proofErr w:type="spellStart"/>
      <w:proofErr w:type="gramEnd"/>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1869EC" w:rsidRPr="00DE585B" w:rsidRDefault="001869EC" w:rsidP="001869EC">
      <w:pPr>
        <w:pStyle w:val="ListParagraph"/>
        <w:spacing w:line="360" w:lineRule="auto"/>
        <w:ind w:left="1097" w:right="737"/>
        <w:rPr>
          <w:rFonts w:ascii="Arial" w:hAnsi="Arial" w:cs="Arial"/>
          <w:sz w:val="24"/>
          <w:szCs w:val="24"/>
        </w:rPr>
      </w:pPr>
    </w:p>
    <w:p w:rsidR="00520684" w:rsidRPr="00DE585B" w:rsidRDefault="00520684" w:rsidP="00520684">
      <w:pPr>
        <w:pStyle w:val="ListParagraph"/>
        <w:numPr>
          <w:ilvl w:val="0"/>
          <w:numId w:val="8"/>
        </w:numPr>
        <w:spacing w:line="360" w:lineRule="auto"/>
        <w:ind w:left="1097" w:right="737"/>
        <w:rPr>
          <w:rFonts w:ascii="Arial" w:hAnsi="Arial" w:cs="Arial"/>
          <w:b/>
          <w:sz w:val="24"/>
          <w:szCs w:val="24"/>
          <w:u w:val="single"/>
        </w:rPr>
      </w:pPr>
      <w:r w:rsidRPr="00DE585B">
        <w:rPr>
          <w:rFonts w:ascii="Arial" w:hAnsi="Arial" w:cs="Arial"/>
          <w:b/>
          <w:sz w:val="24"/>
          <w:szCs w:val="24"/>
          <w:u w:val="single"/>
        </w:rPr>
        <w:lastRenderedPageBreak/>
        <w:t>Inventory Days</w:t>
      </w:r>
    </w:p>
    <w:tbl>
      <w:tblPr>
        <w:tblpPr w:leftFromText="180" w:rightFromText="180" w:vertAnchor="text" w:horzAnchor="margin" w:tblpXSpec="center" w:tblpY="509"/>
        <w:tblW w:w="9851" w:type="dxa"/>
        <w:tblCellSpacing w:w="15" w:type="dxa"/>
        <w:tblCellMar>
          <w:left w:w="0" w:type="dxa"/>
          <w:right w:w="0" w:type="dxa"/>
        </w:tblCellMar>
        <w:tblLook w:val="04A0" w:firstRow="1" w:lastRow="0" w:firstColumn="1" w:lastColumn="0" w:noHBand="0" w:noVBand="1"/>
      </w:tblPr>
      <w:tblGrid>
        <w:gridCol w:w="1089"/>
        <w:gridCol w:w="2840"/>
        <w:gridCol w:w="3489"/>
        <w:gridCol w:w="2433"/>
      </w:tblGrid>
      <w:tr w:rsidR="00520684" w:rsidRPr="00DE585B" w:rsidTr="00520684">
        <w:trPr>
          <w:trHeight w:val="342"/>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Year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Cost of Sales (£m)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Average Inventory (£m)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Inventory Days</w:t>
            </w:r>
          </w:p>
        </w:tc>
      </w:tr>
      <w:tr w:rsidR="00520684" w:rsidRPr="00DE585B" w:rsidTr="00520684">
        <w:trPr>
          <w:trHeight w:val="34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280,885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83,814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108.9 days</w:t>
            </w:r>
          </w:p>
        </w:tc>
      </w:tr>
      <w:tr w:rsidR="00520684" w:rsidRPr="00DE585B" w:rsidTr="00520684">
        <w:trPr>
          <w:trHeight w:val="34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322,897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114,227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129.1 days</w:t>
            </w:r>
          </w:p>
        </w:tc>
      </w:tr>
      <w:tr w:rsidR="00520684" w:rsidRPr="00DE585B" w:rsidTr="00520684">
        <w:trPr>
          <w:trHeight w:val="34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390,459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137,325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128.4 days</w:t>
            </w:r>
          </w:p>
        </w:tc>
      </w:tr>
      <w:tr w:rsidR="00520684" w:rsidRPr="00DE585B" w:rsidTr="00520684">
        <w:trPr>
          <w:trHeight w:val="34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428,586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127,450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108.5 days</w:t>
            </w:r>
          </w:p>
        </w:tc>
      </w:tr>
      <w:tr w:rsidR="00520684" w:rsidRPr="00DE585B" w:rsidTr="00520684">
        <w:trPr>
          <w:trHeight w:val="34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438,424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color w:val="1B1C1D"/>
                <w:sz w:val="24"/>
                <w:szCs w:val="24"/>
              </w:rPr>
            </w:pPr>
            <w:r w:rsidRPr="00DE585B">
              <w:rPr>
                <w:rFonts w:ascii="Arial" w:eastAsia="Times New Roman" w:hAnsi="Arial" w:cs="Arial"/>
                <w:color w:val="1B1C1D"/>
                <w:sz w:val="24"/>
                <w:szCs w:val="24"/>
              </w:rPr>
              <w:t>120,430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520684" w:rsidRPr="00DE585B" w:rsidRDefault="00520684" w:rsidP="00520684">
            <w:pPr>
              <w:spacing w:after="0" w:line="240" w:lineRule="auto"/>
              <w:jc w:val="center"/>
              <w:rPr>
                <w:rFonts w:ascii="Arial" w:eastAsia="Times New Roman" w:hAnsi="Arial" w:cs="Arial"/>
                <w:b/>
                <w:bCs/>
                <w:color w:val="1B1C1D"/>
                <w:sz w:val="24"/>
                <w:szCs w:val="24"/>
                <w:bdr w:val="none" w:sz="0" w:space="0" w:color="auto" w:frame="1"/>
              </w:rPr>
            </w:pPr>
            <w:r w:rsidRPr="00DE585B">
              <w:rPr>
                <w:rFonts w:ascii="Arial" w:eastAsia="Times New Roman" w:hAnsi="Arial" w:cs="Arial"/>
                <w:b/>
                <w:bCs/>
                <w:color w:val="1B1C1D"/>
                <w:sz w:val="24"/>
                <w:szCs w:val="24"/>
                <w:bdr w:val="none" w:sz="0" w:space="0" w:color="auto" w:frame="1"/>
              </w:rPr>
              <w:t>100.3 days</w:t>
            </w:r>
          </w:p>
        </w:tc>
      </w:tr>
    </w:tbl>
    <w:p w:rsidR="00520684" w:rsidRPr="00DE585B" w:rsidRDefault="00520684" w:rsidP="00520684">
      <w:pPr>
        <w:pStyle w:val="ListParagraph"/>
        <w:spacing w:line="360" w:lineRule="auto"/>
        <w:ind w:left="1097" w:right="737"/>
        <w:rPr>
          <w:rFonts w:ascii="Arial" w:hAnsi="Arial" w:cs="Arial"/>
          <w:sz w:val="24"/>
          <w:szCs w:val="24"/>
        </w:rPr>
      </w:pPr>
      <w:r w:rsidRPr="00DE585B">
        <w:rPr>
          <w:rFonts w:ascii="Arial" w:hAnsi="Arial" w:cs="Arial"/>
          <w:sz w:val="24"/>
          <w:szCs w:val="24"/>
        </w:rPr>
        <w:t>Inventory days = Average In</w:t>
      </w:r>
      <w:r w:rsidR="00363F8E" w:rsidRPr="00DE585B">
        <w:rPr>
          <w:rFonts w:ascii="Arial" w:hAnsi="Arial" w:cs="Arial"/>
          <w:sz w:val="24"/>
          <w:szCs w:val="24"/>
        </w:rPr>
        <w:t>v</w:t>
      </w:r>
      <w:r w:rsidRPr="00DE585B">
        <w:rPr>
          <w:rFonts w:ascii="Arial" w:hAnsi="Arial" w:cs="Arial"/>
          <w:sz w:val="24"/>
          <w:szCs w:val="24"/>
        </w:rPr>
        <w:t>entory / Cost of Sales x 365</w:t>
      </w: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 xml:space="preserve">Table: 1.8 Inventory </w:t>
      </w:r>
      <w:proofErr w:type="gramStart"/>
      <w:r w:rsidRPr="00DE585B">
        <w:rPr>
          <w:rFonts w:ascii="Arial" w:hAnsi="Arial" w:cs="Arial"/>
          <w:b/>
          <w:i/>
          <w:sz w:val="24"/>
          <w:szCs w:val="24"/>
          <w:u w:val="single"/>
        </w:rPr>
        <w:t>Days</w:t>
      </w:r>
      <w:r w:rsidR="009D3B0B">
        <w:rPr>
          <w:rFonts w:ascii="Arial" w:hAnsi="Arial" w:cs="Arial"/>
          <w:b/>
          <w:bCs/>
          <w:i/>
          <w:sz w:val="24"/>
          <w:szCs w:val="24"/>
          <w:u w:val="single"/>
          <w:lang w:val="en-GB"/>
        </w:rPr>
        <w:t>(</w:t>
      </w:r>
      <w:proofErr w:type="spellStart"/>
      <w:proofErr w:type="gramEnd"/>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520684" w:rsidRPr="00DE585B" w:rsidRDefault="00520684" w:rsidP="00520684">
      <w:pPr>
        <w:pStyle w:val="ListParagraph"/>
        <w:spacing w:line="360" w:lineRule="auto"/>
        <w:ind w:left="1097" w:right="737"/>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r w:rsidRPr="00DE585B">
        <w:rPr>
          <w:rFonts w:ascii="Arial" w:hAnsi="Arial" w:cs="Arial"/>
          <w:b/>
          <w:i/>
          <w:noProof/>
          <w:sz w:val="24"/>
          <w:szCs w:val="24"/>
          <w:u w:val="single"/>
        </w:rPr>
        <w:drawing>
          <wp:anchor distT="0" distB="0" distL="114300" distR="114300" simplePos="0" relativeHeight="251663360" behindDoc="1" locked="0" layoutInCell="1" allowOverlap="1">
            <wp:simplePos x="0" y="0"/>
            <wp:positionH relativeFrom="column">
              <wp:posOffset>789305</wp:posOffset>
            </wp:positionH>
            <wp:positionV relativeFrom="page">
              <wp:posOffset>4221480</wp:posOffset>
            </wp:positionV>
            <wp:extent cx="5486400" cy="3337560"/>
            <wp:effectExtent l="0" t="0" r="0" b="15240"/>
            <wp:wrapNone/>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V relativeFrom="margin">
              <wp14:pctHeight>0</wp14:pctHeight>
            </wp14:sizeRelV>
          </wp:anchor>
        </w:drawing>
      </w: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p>
    <w:p w:rsidR="00520684" w:rsidRPr="00DE585B" w:rsidRDefault="00520684" w:rsidP="00520684">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 xml:space="preserve">Fig: 1.6 NCAT &amp; Inventory </w:t>
      </w:r>
      <w:proofErr w:type="gramStart"/>
      <w:r w:rsidRPr="00DE585B">
        <w:rPr>
          <w:rFonts w:ascii="Arial" w:hAnsi="Arial" w:cs="Arial"/>
          <w:b/>
          <w:i/>
          <w:sz w:val="24"/>
          <w:szCs w:val="24"/>
          <w:u w:val="single"/>
        </w:rPr>
        <w:t>Days</w:t>
      </w:r>
      <w:r w:rsidR="009D3B0B">
        <w:rPr>
          <w:rFonts w:ascii="Arial" w:hAnsi="Arial" w:cs="Arial"/>
          <w:b/>
          <w:bCs/>
          <w:i/>
          <w:sz w:val="24"/>
          <w:szCs w:val="24"/>
          <w:u w:val="single"/>
          <w:lang w:val="en-GB"/>
        </w:rPr>
        <w:t>(</w:t>
      </w:r>
      <w:proofErr w:type="spellStart"/>
      <w:proofErr w:type="gramEnd"/>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520684" w:rsidRPr="00DE585B" w:rsidRDefault="00520684" w:rsidP="00363F8E">
      <w:pPr>
        <w:pStyle w:val="NormalWeb"/>
        <w:spacing w:line="360" w:lineRule="auto"/>
        <w:ind w:left="737" w:right="737"/>
        <w:rPr>
          <w:rFonts w:ascii="Arial" w:eastAsiaTheme="minorHAnsi" w:hAnsi="Arial" w:cs="Arial"/>
        </w:rPr>
      </w:pPr>
      <w:r w:rsidRPr="00DE585B">
        <w:rPr>
          <w:rFonts w:ascii="Arial" w:eastAsiaTheme="minorHAnsi" w:hAnsi="Arial" w:cs="Arial"/>
        </w:rPr>
        <w:t>NCAT: The recovery is due to asset shrinkage (denominator effect), not sales growth (numerator effect). This is a defensive change.</w:t>
      </w:r>
    </w:p>
    <w:p w:rsidR="00520684" w:rsidRPr="00DE585B" w:rsidRDefault="00520684" w:rsidP="00363F8E">
      <w:pPr>
        <w:pStyle w:val="NormalWeb"/>
        <w:spacing w:line="360" w:lineRule="auto"/>
        <w:ind w:left="737" w:right="737"/>
        <w:rPr>
          <w:rFonts w:ascii="Arial" w:eastAsiaTheme="minorHAnsi" w:hAnsi="Arial" w:cs="Arial"/>
        </w:rPr>
      </w:pPr>
      <w:r w:rsidRPr="00DE585B">
        <w:rPr>
          <w:rFonts w:ascii="Arial" w:eastAsiaTheme="minorHAnsi" w:hAnsi="Arial" w:cs="Arial"/>
        </w:rPr>
        <w:lastRenderedPageBreak/>
        <w:t>Inventory Days: The high days in 2022-2023 was the root cause of the profitability and cash flow crisis. The recent improvement is a prerequisite for stability, but must be driven lower to restore operational excellence.</w:t>
      </w:r>
    </w:p>
    <w:p w:rsidR="00520684" w:rsidRPr="00DE585B" w:rsidRDefault="00363F8E" w:rsidP="00363F8E">
      <w:pPr>
        <w:pStyle w:val="ListParagraph"/>
        <w:numPr>
          <w:ilvl w:val="0"/>
          <w:numId w:val="4"/>
        </w:numPr>
        <w:spacing w:line="360" w:lineRule="auto"/>
        <w:ind w:left="1097" w:right="737"/>
        <w:rPr>
          <w:rFonts w:ascii="Arial" w:hAnsi="Arial" w:cs="Arial"/>
          <w:b/>
          <w:sz w:val="24"/>
          <w:szCs w:val="24"/>
          <w:u w:val="single"/>
        </w:rPr>
      </w:pPr>
      <w:r w:rsidRPr="00DE585B">
        <w:rPr>
          <w:rFonts w:ascii="Arial" w:hAnsi="Arial" w:cs="Arial"/>
          <w:b/>
          <w:sz w:val="24"/>
          <w:szCs w:val="24"/>
          <w:u w:val="single"/>
        </w:rPr>
        <w:t xml:space="preserve">Gearing </w:t>
      </w:r>
    </w:p>
    <w:p w:rsidR="00363F8E" w:rsidRPr="00DE585B" w:rsidRDefault="00363F8E" w:rsidP="00323C95">
      <w:pPr>
        <w:pStyle w:val="ListParagraph"/>
        <w:numPr>
          <w:ilvl w:val="0"/>
          <w:numId w:val="12"/>
        </w:numPr>
        <w:spacing w:line="360" w:lineRule="auto"/>
        <w:ind w:right="737"/>
        <w:rPr>
          <w:rFonts w:ascii="Arial" w:hAnsi="Arial" w:cs="Arial"/>
          <w:b/>
          <w:sz w:val="24"/>
          <w:szCs w:val="24"/>
          <w:u w:val="single"/>
        </w:rPr>
      </w:pPr>
      <w:r w:rsidRPr="00DE585B">
        <w:rPr>
          <w:rFonts w:ascii="Arial" w:hAnsi="Arial" w:cs="Arial"/>
          <w:b/>
          <w:sz w:val="24"/>
          <w:szCs w:val="24"/>
          <w:u w:val="single"/>
        </w:rPr>
        <w:t>Debt-to-Equity Ratio</w:t>
      </w:r>
    </w:p>
    <w:p w:rsidR="00363F8E" w:rsidRPr="00DE585B" w:rsidRDefault="00363F8E" w:rsidP="00363F8E">
      <w:pPr>
        <w:pStyle w:val="ListParagraph"/>
        <w:spacing w:line="360" w:lineRule="auto"/>
        <w:ind w:right="737"/>
        <w:rPr>
          <w:rFonts w:ascii="Arial" w:hAnsi="Arial" w:cs="Arial"/>
          <w:sz w:val="24"/>
          <w:szCs w:val="24"/>
        </w:rPr>
      </w:pPr>
      <w:r w:rsidRPr="00DE585B">
        <w:rPr>
          <w:rFonts w:ascii="Arial" w:hAnsi="Arial" w:cs="Arial"/>
          <w:sz w:val="24"/>
          <w:szCs w:val="24"/>
        </w:rPr>
        <w:t xml:space="preserve"> The gearing ratio is a method for assessing an organization’s financial condition by comparing the amount of capital made up of borrowed funds to the total amount of capital invested.  It is a measure of how “levered” an organization is; or, in other words, to what extent debt is used to finance the activities of the organization. A high gearing ratio indicates a high level of debt in relation to the company’s equity. Depending on the industry, this may (or may not) indicate financial risk. (Allianz, 2024)</w:t>
      </w:r>
    </w:p>
    <w:tbl>
      <w:tblPr>
        <w:tblStyle w:val="PlainTable5"/>
        <w:tblpPr w:leftFromText="180" w:rightFromText="180" w:vertAnchor="text" w:horzAnchor="margin" w:tblpXSpec="center" w:tblpY="-9"/>
        <w:tblW w:w="9447" w:type="dxa"/>
        <w:tblLook w:val="04A0" w:firstRow="1" w:lastRow="0" w:firstColumn="1" w:lastColumn="0" w:noHBand="0" w:noVBand="1"/>
      </w:tblPr>
      <w:tblGrid>
        <w:gridCol w:w="828"/>
        <w:gridCol w:w="2800"/>
        <w:gridCol w:w="2387"/>
        <w:gridCol w:w="3432"/>
      </w:tblGrid>
      <w:tr w:rsidR="00363F8E" w:rsidRPr="00DE585B" w:rsidTr="00363F8E">
        <w:trPr>
          <w:cnfStyle w:val="100000000000" w:firstRow="1" w:lastRow="0" w:firstColumn="0" w:lastColumn="0" w:oddVBand="0" w:evenVBand="0" w:oddHBand="0" w:evenHBand="0" w:firstRowFirstColumn="0" w:firstRowLastColumn="0" w:lastRowFirstColumn="0" w:lastRowLastColumn="0"/>
          <w:trHeight w:val="551"/>
        </w:trPr>
        <w:tc>
          <w:tcPr>
            <w:cnfStyle w:val="001000000100" w:firstRow="0" w:lastRow="0" w:firstColumn="1" w:lastColumn="0" w:oddVBand="0" w:evenVBand="0" w:oddHBand="0" w:evenHBand="0" w:firstRowFirstColumn="1" w:firstRowLastColumn="0" w:lastRowFirstColumn="0" w:lastRowLastColumn="0"/>
            <w:tcW w:w="0" w:type="auto"/>
            <w:hideMark/>
          </w:tcPr>
          <w:p w:rsidR="00363F8E" w:rsidRPr="00DE585B" w:rsidRDefault="00363F8E" w:rsidP="00363F8E">
            <w:pP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Year</w:t>
            </w:r>
          </w:p>
        </w:tc>
        <w:tc>
          <w:tcPr>
            <w:tcW w:w="0" w:type="auto"/>
            <w:hideMark/>
          </w:tcPr>
          <w:p w:rsidR="00363F8E" w:rsidRPr="00DE585B" w:rsidRDefault="00363F8E" w:rsidP="00363F8E">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Total Liabilities (£m)</w:t>
            </w:r>
          </w:p>
        </w:tc>
        <w:tc>
          <w:tcPr>
            <w:tcW w:w="0" w:type="auto"/>
            <w:hideMark/>
          </w:tcPr>
          <w:p w:rsidR="00363F8E" w:rsidRPr="00DE585B" w:rsidRDefault="00363F8E" w:rsidP="00363F8E">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Total Equity (£m)</w:t>
            </w:r>
          </w:p>
        </w:tc>
        <w:tc>
          <w:tcPr>
            <w:tcW w:w="0" w:type="auto"/>
            <w:hideMark/>
          </w:tcPr>
          <w:p w:rsidR="00363F8E" w:rsidRPr="00DE585B" w:rsidRDefault="00363F8E" w:rsidP="00363F8E">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Debt-to-Equity Ratio (x:1)</w:t>
            </w:r>
          </w:p>
        </w:tc>
      </w:tr>
      <w:tr w:rsidR="00363F8E" w:rsidRPr="00DE585B" w:rsidTr="00363F8E">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0" w:type="auto"/>
            <w:hideMark/>
          </w:tcPr>
          <w:p w:rsidR="00363F8E" w:rsidRPr="00DE585B" w:rsidRDefault="00363F8E" w:rsidP="00363F8E">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2024</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170,249</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153,105</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1.11</w:t>
            </w:r>
          </w:p>
        </w:tc>
      </w:tr>
      <w:tr w:rsidR="00363F8E" w:rsidRPr="00DE585B" w:rsidTr="00363F8E">
        <w:trPr>
          <w:trHeight w:val="551"/>
        </w:trPr>
        <w:tc>
          <w:tcPr>
            <w:cnfStyle w:val="001000000000" w:firstRow="0" w:lastRow="0" w:firstColumn="1" w:lastColumn="0" w:oddVBand="0" w:evenVBand="0" w:oddHBand="0" w:evenHBand="0" w:firstRowFirstColumn="0" w:firstRowLastColumn="0" w:lastRowFirstColumn="0" w:lastRowLastColumn="0"/>
            <w:tcW w:w="0" w:type="auto"/>
            <w:hideMark/>
          </w:tcPr>
          <w:p w:rsidR="00363F8E" w:rsidRPr="00DE585B" w:rsidRDefault="00363F8E" w:rsidP="00363F8E">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2023</w:t>
            </w:r>
          </w:p>
        </w:tc>
        <w:tc>
          <w:tcPr>
            <w:tcW w:w="0" w:type="auto"/>
            <w:hideMark/>
          </w:tcPr>
          <w:p w:rsidR="00363F8E" w:rsidRPr="00DE585B" w:rsidRDefault="00363F8E" w:rsidP="00363F8E">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176,952</w:t>
            </w:r>
          </w:p>
        </w:tc>
        <w:tc>
          <w:tcPr>
            <w:tcW w:w="0" w:type="auto"/>
            <w:hideMark/>
          </w:tcPr>
          <w:p w:rsidR="00363F8E" w:rsidRPr="00DE585B" w:rsidRDefault="00363F8E" w:rsidP="00363F8E">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178,920</w:t>
            </w:r>
          </w:p>
        </w:tc>
        <w:tc>
          <w:tcPr>
            <w:tcW w:w="0" w:type="auto"/>
            <w:hideMark/>
          </w:tcPr>
          <w:p w:rsidR="00363F8E" w:rsidRPr="00DE585B" w:rsidRDefault="00363F8E" w:rsidP="00363F8E">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0.99</w:t>
            </w:r>
          </w:p>
        </w:tc>
      </w:tr>
      <w:tr w:rsidR="00363F8E" w:rsidRPr="00DE585B" w:rsidTr="00363F8E">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0" w:type="auto"/>
            <w:hideMark/>
          </w:tcPr>
          <w:p w:rsidR="00363F8E" w:rsidRPr="00DE585B" w:rsidRDefault="00363F8E" w:rsidP="00363F8E">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2022</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235,757</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268,406</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0.88</w:t>
            </w:r>
          </w:p>
        </w:tc>
      </w:tr>
      <w:tr w:rsidR="00363F8E" w:rsidRPr="00DE585B" w:rsidTr="00363F8E">
        <w:trPr>
          <w:trHeight w:val="551"/>
        </w:trPr>
        <w:tc>
          <w:tcPr>
            <w:cnfStyle w:val="001000000000" w:firstRow="0" w:lastRow="0" w:firstColumn="1" w:lastColumn="0" w:oddVBand="0" w:evenVBand="0" w:oddHBand="0" w:evenHBand="0" w:firstRowFirstColumn="0" w:firstRowLastColumn="0" w:lastRowFirstColumn="0" w:lastRowLastColumn="0"/>
            <w:tcW w:w="0" w:type="auto"/>
            <w:hideMark/>
          </w:tcPr>
          <w:p w:rsidR="00363F8E" w:rsidRPr="00DE585B" w:rsidRDefault="00363F8E" w:rsidP="00363F8E">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2021</w:t>
            </w:r>
          </w:p>
        </w:tc>
        <w:tc>
          <w:tcPr>
            <w:tcW w:w="0" w:type="auto"/>
            <w:hideMark/>
          </w:tcPr>
          <w:p w:rsidR="00363F8E" w:rsidRPr="00DE585B" w:rsidRDefault="00363F8E" w:rsidP="00363F8E">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234,399</w:t>
            </w:r>
          </w:p>
        </w:tc>
        <w:tc>
          <w:tcPr>
            <w:tcW w:w="0" w:type="auto"/>
            <w:hideMark/>
          </w:tcPr>
          <w:p w:rsidR="00363F8E" w:rsidRPr="00DE585B" w:rsidRDefault="00363F8E" w:rsidP="00363F8E">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275,949</w:t>
            </w:r>
          </w:p>
        </w:tc>
        <w:tc>
          <w:tcPr>
            <w:tcW w:w="0" w:type="auto"/>
            <w:hideMark/>
          </w:tcPr>
          <w:p w:rsidR="00363F8E" w:rsidRPr="00DE585B" w:rsidRDefault="00363F8E" w:rsidP="00363F8E">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0.85</w:t>
            </w:r>
          </w:p>
        </w:tc>
      </w:tr>
      <w:tr w:rsidR="00363F8E" w:rsidRPr="00DE585B" w:rsidTr="00363F8E">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0" w:type="auto"/>
            <w:hideMark/>
          </w:tcPr>
          <w:p w:rsidR="00363F8E" w:rsidRPr="00DE585B" w:rsidRDefault="00363F8E" w:rsidP="00363F8E">
            <w:pPr>
              <w:jc w:val="center"/>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2020</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196,989</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313,301</w:t>
            </w:r>
          </w:p>
        </w:tc>
        <w:tc>
          <w:tcPr>
            <w:tcW w:w="0" w:type="auto"/>
            <w:hideMark/>
          </w:tcPr>
          <w:p w:rsidR="00363F8E" w:rsidRPr="00DE585B" w:rsidRDefault="00363F8E" w:rsidP="00363F8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0.63</w:t>
            </w:r>
          </w:p>
        </w:tc>
      </w:tr>
    </w:tbl>
    <w:p w:rsidR="00363F8E" w:rsidRPr="00DE585B" w:rsidRDefault="00363F8E" w:rsidP="00363F8E">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 xml:space="preserve"> Table 1.9 Debt-to-Equity Ratio</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w:t>
      </w:r>
      <w:proofErr w:type="spellStart"/>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323C95" w:rsidRDefault="00323C95" w:rsidP="00323C95">
      <w:pPr>
        <w:pStyle w:val="ListParagraph"/>
        <w:numPr>
          <w:ilvl w:val="0"/>
          <w:numId w:val="12"/>
        </w:numPr>
        <w:spacing w:line="360" w:lineRule="auto"/>
        <w:ind w:right="737"/>
        <w:rPr>
          <w:rFonts w:ascii="Arial" w:hAnsi="Arial" w:cs="Arial"/>
          <w:b/>
          <w:sz w:val="24"/>
          <w:szCs w:val="24"/>
          <w:u w:val="single"/>
        </w:rPr>
      </w:pPr>
      <w:r w:rsidRPr="00DE585B">
        <w:rPr>
          <w:rFonts w:ascii="Arial" w:hAnsi="Arial" w:cs="Arial"/>
          <w:b/>
          <w:sz w:val="24"/>
          <w:szCs w:val="24"/>
          <w:u w:val="single"/>
        </w:rPr>
        <w:t>Debt-to-</w:t>
      </w:r>
      <w:r w:rsidR="00395624">
        <w:rPr>
          <w:rFonts w:ascii="Arial" w:hAnsi="Arial" w:cs="Arial"/>
          <w:b/>
          <w:sz w:val="24"/>
          <w:szCs w:val="24"/>
          <w:u w:val="single"/>
        </w:rPr>
        <w:t>capital</w:t>
      </w:r>
      <w:r w:rsidRPr="00DE585B">
        <w:rPr>
          <w:rFonts w:ascii="Arial" w:hAnsi="Arial" w:cs="Arial"/>
          <w:b/>
          <w:sz w:val="24"/>
          <w:szCs w:val="24"/>
          <w:u w:val="single"/>
        </w:rPr>
        <w:t xml:space="preserve"> Ratio</w:t>
      </w:r>
    </w:p>
    <w:p w:rsidR="009D3B0B" w:rsidRPr="009D3B0B" w:rsidRDefault="009D3B0B" w:rsidP="009D3B0B">
      <w:pPr>
        <w:pStyle w:val="ListParagraph"/>
        <w:spacing w:line="360" w:lineRule="auto"/>
        <w:ind w:left="1097" w:right="737"/>
        <w:rPr>
          <w:rFonts w:ascii="Arial" w:hAnsi="Arial" w:cs="Arial"/>
          <w:sz w:val="24"/>
          <w:szCs w:val="24"/>
        </w:rPr>
      </w:pPr>
      <w:r w:rsidRPr="00DE585B">
        <w:rPr>
          <w:rFonts w:ascii="Arial" w:hAnsi="Arial" w:cs="Arial"/>
          <w:sz w:val="24"/>
          <w:szCs w:val="24"/>
        </w:rPr>
        <w:t xml:space="preserve">The Debt-to-Capital Ratio gives the percentage of the company's total capitalization </w:t>
      </w:r>
      <w:r>
        <w:rPr>
          <w:rFonts w:ascii="Arial" w:hAnsi="Arial" w:cs="Arial"/>
          <w:sz w:val="24"/>
          <w:szCs w:val="24"/>
        </w:rPr>
        <w:t>(Total Assets) financed by debt</w:t>
      </w:r>
    </w:p>
    <w:tbl>
      <w:tblPr>
        <w:tblStyle w:val="GridTable4-Accent5"/>
        <w:tblpPr w:leftFromText="180" w:rightFromText="180" w:vertAnchor="text" w:horzAnchor="margin" w:tblpXSpec="center" w:tblpY="186"/>
        <w:tblW w:w="8286" w:type="dxa"/>
        <w:tblLook w:val="04A0" w:firstRow="1" w:lastRow="0" w:firstColumn="1" w:lastColumn="0" w:noHBand="0" w:noVBand="1"/>
      </w:tblPr>
      <w:tblGrid>
        <w:gridCol w:w="750"/>
        <w:gridCol w:w="2024"/>
        <w:gridCol w:w="1707"/>
        <w:gridCol w:w="1866"/>
        <w:gridCol w:w="1939"/>
      </w:tblGrid>
      <w:tr w:rsidR="009D3B0B" w:rsidRPr="00DE585B" w:rsidTr="009D3B0B">
        <w:trPr>
          <w:cnfStyle w:val="100000000000" w:firstRow="1" w:lastRow="0" w:firstColumn="0" w:lastColumn="0" w:oddVBand="0" w:evenVBand="0" w:oddHBand="0" w:evenHBand="0" w:firstRowFirstColumn="0" w:firstRowLastColumn="0" w:lastRowFirstColumn="0" w:lastRowLastColumn="0"/>
          <w:trHeight w:val="688"/>
        </w:trPr>
        <w:tc>
          <w:tcPr>
            <w:cnfStyle w:val="001000000000" w:firstRow="0" w:lastRow="0" w:firstColumn="1" w:lastColumn="0" w:oddVBand="0" w:evenVBand="0" w:oddHBand="0" w:evenHBand="0" w:firstRowFirstColumn="0" w:firstRowLastColumn="0" w:lastRowFirstColumn="0" w:lastRowLastColumn="0"/>
            <w:tcW w:w="0" w:type="auto"/>
            <w:hideMark/>
          </w:tcPr>
          <w:p w:rsidR="009D3B0B" w:rsidRPr="00DE585B" w:rsidRDefault="009D3B0B" w:rsidP="009D3B0B">
            <w:pP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Year</w:t>
            </w:r>
          </w:p>
        </w:tc>
        <w:tc>
          <w:tcPr>
            <w:tcW w:w="0" w:type="auto"/>
            <w:hideMark/>
          </w:tcPr>
          <w:p w:rsidR="009D3B0B" w:rsidRPr="00DE585B" w:rsidRDefault="009D3B0B" w:rsidP="009D3B0B">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Total Liabilities (£m)</w:t>
            </w:r>
          </w:p>
        </w:tc>
        <w:tc>
          <w:tcPr>
            <w:tcW w:w="0" w:type="auto"/>
            <w:hideMark/>
          </w:tcPr>
          <w:p w:rsidR="009D3B0B" w:rsidRPr="00DE585B" w:rsidRDefault="009D3B0B" w:rsidP="009D3B0B">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Total Equity (£m)</w:t>
            </w:r>
          </w:p>
        </w:tc>
        <w:tc>
          <w:tcPr>
            <w:tcW w:w="0" w:type="auto"/>
            <w:hideMark/>
          </w:tcPr>
          <w:p w:rsidR="009D3B0B" w:rsidRPr="00DE585B" w:rsidRDefault="009D3B0B" w:rsidP="009D3B0B">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Debt-to-Equity Ratio</w:t>
            </w:r>
          </w:p>
        </w:tc>
        <w:tc>
          <w:tcPr>
            <w:tcW w:w="0" w:type="auto"/>
            <w:hideMark/>
          </w:tcPr>
          <w:p w:rsidR="009D3B0B" w:rsidRPr="00DE585B" w:rsidRDefault="009D3B0B" w:rsidP="009D3B0B">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Debt-to-Capital Ratio</w:t>
            </w:r>
          </w:p>
        </w:tc>
      </w:tr>
      <w:tr w:rsidR="009D3B0B" w:rsidRPr="00DE585B" w:rsidTr="009D3B0B">
        <w:trPr>
          <w:cnfStyle w:val="000000100000" w:firstRow="0" w:lastRow="0" w:firstColumn="0" w:lastColumn="0" w:oddVBand="0" w:evenVBand="0" w:oddHBand="1" w:evenHBand="0" w:firstRowFirstColumn="0" w:firstRowLastColumn="0" w:lastRowFirstColumn="0" w:lastRowLastColumn="0"/>
          <w:trHeight w:val="688"/>
        </w:trPr>
        <w:tc>
          <w:tcPr>
            <w:cnfStyle w:val="001000000000" w:firstRow="0" w:lastRow="0" w:firstColumn="1" w:lastColumn="0" w:oddVBand="0" w:evenVBand="0" w:oddHBand="0" w:evenHBand="0" w:firstRowFirstColumn="0" w:firstRowLastColumn="0" w:lastRowFirstColumn="0" w:lastRowLastColumn="0"/>
            <w:tcW w:w="0" w:type="auto"/>
            <w:hideMark/>
          </w:tcPr>
          <w:p w:rsidR="009D3B0B" w:rsidRPr="00DE585B" w:rsidRDefault="009D3B0B" w:rsidP="009D3B0B">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2024</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170,249</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153,105</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1.11x</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52.65%</w:t>
            </w:r>
          </w:p>
        </w:tc>
      </w:tr>
      <w:tr w:rsidR="009D3B0B" w:rsidRPr="00DE585B" w:rsidTr="009D3B0B">
        <w:trPr>
          <w:trHeight w:val="658"/>
        </w:trPr>
        <w:tc>
          <w:tcPr>
            <w:cnfStyle w:val="001000000000" w:firstRow="0" w:lastRow="0" w:firstColumn="1" w:lastColumn="0" w:oddVBand="0" w:evenVBand="0" w:oddHBand="0" w:evenHBand="0" w:firstRowFirstColumn="0" w:firstRowLastColumn="0" w:lastRowFirstColumn="0" w:lastRowLastColumn="0"/>
            <w:tcW w:w="0" w:type="auto"/>
            <w:hideMark/>
          </w:tcPr>
          <w:p w:rsidR="009D3B0B" w:rsidRPr="00DE585B" w:rsidRDefault="009D3B0B" w:rsidP="009D3B0B">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9D3B0B" w:rsidRPr="00DE585B" w:rsidRDefault="009D3B0B" w:rsidP="009D3B0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176,952</w:t>
            </w:r>
          </w:p>
        </w:tc>
        <w:tc>
          <w:tcPr>
            <w:tcW w:w="0" w:type="auto"/>
            <w:hideMark/>
          </w:tcPr>
          <w:p w:rsidR="009D3B0B" w:rsidRPr="00DE585B" w:rsidRDefault="009D3B0B" w:rsidP="009D3B0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178,920</w:t>
            </w:r>
          </w:p>
        </w:tc>
        <w:tc>
          <w:tcPr>
            <w:tcW w:w="0" w:type="auto"/>
            <w:hideMark/>
          </w:tcPr>
          <w:p w:rsidR="009D3B0B" w:rsidRPr="00DE585B" w:rsidRDefault="009D3B0B" w:rsidP="009D3B0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0.99x</w:t>
            </w:r>
          </w:p>
        </w:tc>
        <w:tc>
          <w:tcPr>
            <w:tcW w:w="0" w:type="auto"/>
            <w:hideMark/>
          </w:tcPr>
          <w:p w:rsidR="009D3B0B" w:rsidRPr="00DE585B" w:rsidRDefault="009D3B0B" w:rsidP="009D3B0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49.72%</w:t>
            </w:r>
          </w:p>
        </w:tc>
      </w:tr>
      <w:tr w:rsidR="009D3B0B" w:rsidRPr="00DE585B" w:rsidTr="009D3B0B">
        <w:trPr>
          <w:cnfStyle w:val="000000100000" w:firstRow="0" w:lastRow="0" w:firstColumn="0" w:lastColumn="0" w:oddVBand="0" w:evenVBand="0" w:oddHBand="1" w:evenHBand="0" w:firstRowFirstColumn="0" w:firstRowLastColumn="0" w:lastRowFirstColumn="0" w:lastRowLastColumn="0"/>
          <w:trHeight w:val="688"/>
        </w:trPr>
        <w:tc>
          <w:tcPr>
            <w:cnfStyle w:val="001000000000" w:firstRow="0" w:lastRow="0" w:firstColumn="1" w:lastColumn="0" w:oddVBand="0" w:evenVBand="0" w:oddHBand="0" w:evenHBand="0" w:firstRowFirstColumn="0" w:firstRowLastColumn="0" w:lastRowFirstColumn="0" w:lastRowLastColumn="0"/>
            <w:tcW w:w="0" w:type="auto"/>
            <w:hideMark/>
          </w:tcPr>
          <w:p w:rsidR="009D3B0B" w:rsidRPr="00DE585B" w:rsidRDefault="009D3B0B" w:rsidP="009D3B0B">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2022</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235,757</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268,406</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0.88x</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46.76%</w:t>
            </w:r>
          </w:p>
        </w:tc>
      </w:tr>
      <w:tr w:rsidR="009D3B0B" w:rsidRPr="00DE585B" w:rsidTr="009D3B0B">
        <w:trPr>
          <w:trHeight w:val="688"/>
        </w:trPr>
        <w:tc>
          <w:tcPr>
            <w:cnfStyle w:val="001000000000" w:firstRow="0" w:lastRow="0" w:firstColumn="1" w:lastColumn="0" w:oddVBand="0" w:evenVBand="0" w:oddHBand="0" w:evenHBand="0" w:firstRowFirstColumn="0" w:firstRowLastColumn="0" w:lastRowFirstColumn="0" w:lastRowLastColumn="0"/>
            <w:tcW w:w="0" w:type="auto"/>
            <w:hideMark/>
          </w:tcPr>
          <w:p w:rsidR="009D3B0B" w:rsidRPr="00DE585B" w:rsidRDefault="009D3B0B" w:rsidP="009D3B0B">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lastRenderedPageBreak/>
              <w:t>2021</w:t>
            </w:r>
          </w:p>
        </w:tc>
        <w:tc>
          <w:tcPr>
            <w:tcW w:w="0" w:type="auto"/>
            <w:hideMark/>
          </w:tcPr>
          <w:p w:rsidR="009D3B0B" w:rsidRPr="00DE585B" w:rsidRDefault="009D3B0B" w:rsidP="009D3B0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234,399</w:t>
            </w:r>
          </w:p>
        </w:tc>
        <w:tc>
          <w:tcPr>
            <w:tcW w:w="0" w:type="auto"/>
            <w:hideMark/>
          </w:tcPr>
          <w:p w:rsidR="009D3B0B" w:rsidRPr="00DE585B" w:rsidRDefault="009D3B0B" w:rsidP="009D3B0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275,949</w:t>
            </w:r>
          </w:p>
        </w:tc>
        <w:tc>
          <w:tcPr>
            <w:tcW w:w="0" w:type="auto"/>
            <w:hideMark/>
          </w:tcPr>
          <w:p w:rsidR="009D3B0B" w:rsidRPr="00DE585B" w:rsidRDefault="009D3B0B" w:rsidP="009D3B0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0.85x</w:t>
            </w:r>
          </w:p>
        </w:tc>
        <w:tc>
          <w:tcPr>
            <w:tcW w:w="0" w:type="auto"/>
            <w:hideMark/>
          </w:tcPr>
          <w:p w:rsidR="009D3B0B" w:rsidRPr="00DE585B" w:rsidRDefault="009D3B0B" w:rsidP="009D3B0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45.93%</w:t>
            </w:r>
          </w:p>
        </w:tc>
      </w:tr>
      <w:tr w:rsidR="009D3B0B" w:rsidRPr="00DE585B" w:rsidTr="009D3B0B">
        <w:trPr>
          <w:cnfStyle w:val="000000100000" w:firstRow="0" w:lastRow="0" w:firstColumn="0" w:lastColumn="0" w:oddVBand="0" w:evenVBand="0" w:oddHBand="1" w:evenHBand="0" w:firstRowFirstColumn="0" w:firstRowLastColumn="0" w:lastRowFirstColumn="0" w:lastRowLastColumn="0"/>
          <w:trHeight w:val="688"/>
        </w:trPr>
        <w:tc>
          <w:tcPr>
            <w:cnfStyle w:val="001000000000" w:firstRow="0" w:lastRow="0" w:firstColumn="1" w:lastColumn="0" w:oddVBand="0" w:evenVBand="0" w:oddHBand="0" w:evenHBand="0" w:firstRowFirstColumn="0" w:firstRowLastColumn="0" w:lastRowFirstColumn="0" w:lastRowLastColumn="0"/>
            <w:tcW w:w="0" w:type="auto"/>
            <w:hideMark/>
          </w:tcPr>
          <w:p w:rsidR="009D3B0B" w:rsidRPr="00DE585B" w:rsidRDefault="009D3B0B" w:rsidP="009D3B0B">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196,989</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313,301</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0.63x</w:t>
            </w:r>
          </w:p>
        </w:tc>
        <w:tc>
          <w:tcPr>
            <w:tcW w:w="0" w:type="auto"/>
            <w:hideMark/>
          </w:tcPr>
          <w:p w:rsidR="009D3B0B" w:rsidRPr="00DE585B" w:rsidRDefault="009D3B0B" w:rsidP="009D3B0B">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38.60%</w:t>
            </w:r>
          </w:p>
        </w:tc>
      </w:tr>
    </w:tbl>
    <w:p w:rsidR="009D3B0B" w:rsidRPr="00DE585B" w:rsidRDefault="009D3B0B" w:rsidP="009D3B0B">
      <w:pPr>
        <w:pStyle w:val="ListParagraph"/>
        <w:spacing w:line="360" w:lineRule="auto"/>
        <w:ind w:left="1097" w:right="737"/>
        <w:rPr>
          <w:rFonts w:ascii="Arial" w:hAnsi="Arial" w:cs="Arial"/>
          <w:b/>
          <w:sz w:val="24"/>
          <w:szCs w:val="24"/>
          <w:u w:val="single"/>
        </w:rPr>
      </w:pPr>
    </w:p>
    <w:p w:rsidR="00323C95" w:rsidRPr="00DE585B" w:rsidRDefault="00323C95" w:rsidP="00323C95">
      <w:pPr>
        <w:pStyle w:val="ListParagraph"/>
        <w:spacing w:line="360" w:lineRule="auto"/>
        <w:ind w:left="1097" w:right="737"/>
        <w:rPr>
          <w:rFonts w:ascii="Arial" w:hAnsi="Arial" w:cs="Arial"/>
          <w:b/>
          <w:i/>
          <w:sz w:val="24"/>
          <w:szCs w:val="24"/>
          <w:u w:val="single"/>
        </w:rPr>
      </w:pPr>
    </w:p>
    <w:p w:rsidR="009D3B0B" w:rsidRDefault="009D3B0B" w:rsidP="00323C95">
      <w:pPr>
        <w:spacing w:line="360" w:lineRule="auto"/>
        <w:ind w:right="737"/>
        <w:jc w:val="center"/>
        <w:rPr>
          <w:rFonts w:ascii="Arial" w:hAnsi="Arial" w:cs="Arial"/>
          <w:b/>
          <w:i/>
          <w:sz w:val="24"/>
          <w:szCs w:val="24"/>
          <w:u w:val="single"/>
        </w:rPr>
      </w:pPr>
    </w:p>
    <w:p w:rsidR="00323C95" w:rsidRPr="00DE585B" w:rsidRDefault="00323C95" w:rsidP="00323C95">
      <w:pPr>
        <w:spacing w:line="360" w:lineRule="auto"/>
        <w:ind w:right="737"/>
        <w:jc w:val="center"/>
        <w:rPr>
          <w:rFonts w:ascii="Arial" w:eastAsia="Times New Roman" w:hAnsi="Arial" w:cs="Arial"/>
          <w:b/>
          <w:bCs/>
          <w:i/>
          <w:color w:val="1B1C1D"/>
          <w:sz w:val="24"/>
          <w:szCs w:val="24"/>
          <w:u w:val="single"/>
          <w:bdr w:val="none" w:sz="0" w:space="0" w:color="auto" w:frame="1"/>
        </w:rPr>
      </w:pPr>
      <w:r w:rsidRPr="00DE585B">
        <w:rPr>
          <w:rFonts w:ascii="Arial" w:hAnsi="Arial" w:cs="Arial"/>
          <w:b/>
          <w:i/>
          <w:sz w:val="24"/>
          <w:szCs w:val="24"/>
          <w:u w:val="single"/>
        </w:rPr>
        <w:t xml:space="preserve">Table 1.10 </w:t>
      </w:r>
      <w:r w:rsidRPr="00DE585B">
        <w:rPr>
          <w:rFonts w:ascii="Arial" w:eastAsia="Times New Roman" w:hAnsi="Arial" w:cs="Arial"/>
          <w:b/>
          <w:bCs/>
          <w:i/>
          <w:color w:val="1B1C1D"/>
          <w:sz w:val="24"/>
          <w:szCs w:val="24"/>
          <w:u w:val="single"/>
          <w:bdr w:val="none" w:sz="0" w:space="0" w:color="auto" w:frame="1"/>
        </w:rPr>
        <w:t>Debt-to-Capital Ratio</w:t>
      </w:r>
      <w:r w:rsidR="009D3B0B">
        <w:rPr>
          <w:rFonts w:ascii="Arial" w:eastAsia="Times New Roman" w:hAnsi="Arial" w:cs="Arial"/>
          <w:b/>
          <w:bCs/>
          <w:i/>
          <w:color w:val="1B1C1D"/>
          <w:sz w:val="24"/>
          <w:szCs w:val="24"/>
          <w:u w:val="single"/>
          <w:bdr w:val="none" w:sz="0" w:space="0" w:color="auto" w:frame="1"/>
        </w:rPr>
        <w:t xml:space="preserve"> </w:t>
      </w:r>
      <w:r w:rsidR="009D3B0B">
        <w:rPr>
          <w:rFonts w:ascii="Arial" w:hAnsi="Arial" w:cs="Arial"/>
          <w:b/>
          <w:bCs/>
          <w:i/>
          <w:sz w:val="24"/>
          <w:szCs w:val="24"/>
          <w:u w:val="single"/>
          <w:lang w:val="en-GB"/>
        </w:rPr>
        <w:t>(</w:t>
      </w:r>
      <w:proofErr w:type="spellStart"/>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323C95" w:rsidRPr="00DE585B" w:rsidRDefault="00323C95" w:rsidP="00323C95">
      <w:pPr>
        <w:spacing w:line="360" w:lineRule="auto"/>
        <w:ind w:right="737"/>
        <w:jc w:val="center"/>
        <w:rPr>
          <w:rFonts w:ascii="Arial" w:eastAsia="Times New Roman" w:hAnsi="Arial" w:cs="Arial"/>
          <w:b/>
          <w:bCs/>
          <w:i/>
          <w:color w:val="1B1C1D"/>
          <w:sz w:val="24"/>
          <w:szCs w:val="24"/>
          <w:u w:val="single"/>
          <w:bdr w:val="none" w:sz="0" w:space="0" w:color="auto" w:frame="1"/>
        </w:rPr>
      </w:pPr>
    </w:p>
    <w:p w:rsidR="00323C95" w:rsidRPr="00DE585B" w:rsidRDefault="00323C95" w:rsidP="00323C95">
      <w:pPr>
        <w:spacing w:line="360" w:lineRule="auto"/>
        <w:ind w:right="737"/>
        <w:jc w:val="center"/>
        <w:rPr>
          <w:rFonts w:ascii="Arial" w:hAnsi="Arial" w:cs="Arial"/>
          <w:b/>
          <w:i/>
          <w:sz w:val="24"/>
          <w:szCs w:val="24"/>
          <w:u w:val="single"/>
        </w:rPr>
      </w:pPr>
      <w:r w:rsidRPr="00DE585B">
        <w:rPr>
          <w:rFonts w:ascii="Arial" w:hAnsi="Arial" w:cs="Arial"/>
          <w:b/>
          <w:i/>
          <w:noProof/>
          <w:sz w:val="24"/>
          <w:szCs w:val="24"/>
          <w:u w:val="single"/>
        </w:rPr>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5486400" cy="3200400"/>
            <wp:effectExtent l="0" t="0" r="0" b="0"/>
            <wp:wrapTopAndBottom/>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Pr="00DE585B">
        <w:rPr>
          <w:rFonts w:ascii="Arial" w:hAnsi="Arial" w:cs="Arial"/>
          <w:b/>
          <w:i/>
          <w:sz w:val="24"/>
          <w:szCs w:val="24"/>
          <w:u w:val="single"/>
        </w:rPr>
        <w:t>Fig: 1.7 Debt-to-Equity and Debt-to-Capital Ratio</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w:t>
      </w:r>
      <w:proofErr w:type="spellStart"/>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323C95" w:rsidRPr="00DE585B" w:rsidRDefault="00323C95" w:rsidP="00323C95">
      <w:pPr>
        <w:pStyle w:val="ListParagraph"/>
        <w:spacing w:line="360" w:lineRule="auto"/>
        <w:ind w:left="1097" w:right="737"/>
        <w:jc w:val="both"/>
        <w:rPr>
          <w:rFonts w:ascii="Arial" w:hAnsi="Arial" w:cs="Arial"/>
          <w:sz w:val="24"/>
          <w:szCs w:val="24"/>
        </w:rPr>
      </w:pPr>
      <w:r w:rsidRPr="00DE585B">
        <w:rPr>
          <w:rFonts w:ascii="Arial" w:hAnsi="Arial" w:cs="Arial"/>
          <w:sz w:val="24"/>
          <w:szCs w:val="24"/>
        </w:rPr>
        <w:t>The Debt-to-Equity Ratio has increased significantly from 2020 (0.63) to 2024 (1.11). The capital structure was thought to be high risk because by 2024, there were more liabilities than shareholder equity. The continuous increase in the leverage indicates that the company has been funding its losses with more debt, increasing its financial risk.</w:t>
      </w:r>
    </w:p>
    <w:p w:rsidR="00323C95" w:rsidRPr="00DE585B" w:rsidRDefault="009028AB" w:rsidP="00323C95">
      <w:pPr>
        <w:pStyle w:val="ListParagraph"/>
        <w:spacing w:line="360" w:lineRule="auto"/>
        <w:ind w:left="1097" w:right="737"/>
        <w:jc w:val="both"/>
        <w:rPr>
          <w:rFonts w:ascii="Arial" w:hAnsi="Arial" w:cs="Arial"/>
          <w:sz w:val="24"/>
          <w:szCs w:val="24"/>
        </w:rPr>
      </w:pPr>
      <w:r w:rsidRPr="00DE585B">
        <w:rPr>
          <w:rFonts w:ascii="Arial" w:hAnsi="Arial" w:cs="Arial"/>
          <w:sz w:val="24"/>
          <w:szCs w:val="24"/>
        </w:rPr>
        <w:t xml:space="preserve">For Debt-to-Capital </w:t>
      </w:r>
      <w:r w:rsidR="00323C95" w:rsidRPr="00DE585B">
        <w:rPr>
          <w:rFonts w:ascii="Arial" w:hAnsi="Arial" w:cs="Arial"/>
          <w:sz w:val="24"/>
          <w:szCs w:val="24"/>
        </w:rPr>
        <w:t xml:space="preserve">Solvency Crisis Confirmed by FY2024, More </w:t>
      </w:r>
      <w:proofErr w:type="gramStart"/>
      <w:r w:rsidR="00323C95" w:rsidRPr="00DE585B">
        <w:rPr>
          <w:rFonts w:ascii="Arial" w:hAnsi="Arial" w:cs="Arial"/>
          <w:sz w:val="24"/>
          <w:szCs w:val="24"/>
        </w:rPr>
        <w:t>Than</w:t>
      </w:r>
      <w:proofErr w:type="gramEnd"/>
      <w:r w:rsidR="00323C95" w:rsidRPr="00DE585B">
        <w:rPr>
          <w:rFonts w:ascii="Arial" w:hAnsi="Arial" w:cs="Arial"/>
          <w:sz w:val="24"/>
          <w:szCs w:val="24"/>
        </w:rPr>
        <w:t xml:space="preserve"> Half of the Company Assets are Financed from Debt, This Certainty of Fast Tracking into a Solvency Crisis is unequivocally a Flag for Increased Financial Risk. Lenders Will Keep General Electronics as a higher-risk borrower into consideration that they cannot generate profits to service these debts, as demonstrated by the Extremely Poor ROCE, and NPM</w:t>
      </w:r>
      <w:r w:rsidRPr="00DE585B">
        <w:rPr>
          <w:rFonts w:ascii="Arial" w:hAnsi="Arial" w:cs="Arial"/>
          <w:sz w:val="24"/>
          <w:szCs w:val="24"/>
        </w:rPr>
        <w:t xml:space="preserve"> (Hargrave, 2024)</w:t>
      </w:r>
    </w:p>
    <w:p w:rsidR="009028AB" w:rsidRPr="00DE585B" w:rsidRDefault="009028AB" w:rsidP="009028AB">
      <w:pPr>
        <w:pStyle w:val="ListParagraph"/>
        <w:numPr>
          <w:ilvl w:val="0"/>
          <w:numId w:val="4"/>
        </w:numPr>
        <w:spacing w:line="360" w:lineRule="auto"/>
        <w:ind w:left="1097" w:right="737"/>
        <w:rPr>
          <w:rFonts w:ascii="Arial" w:hAnsi="Arial" w:cs="Arial"/>
          <w:b/>
          <w:sz w:val="24"/>
          <w:szCs w:val="24"/>
          <w:u w:val="single"/>
        </w:rPr>
      </w:pPr>
      <w:r w:rsidRPr="00DE585B">
        <w:rPr>
          <w:rFonts w:ascii="Arial" w:hAnsi="Arial" w:cs="Arial"/>
          <w:b/>
          <w:sz w:val="24"/>
          <w:szCs w:val="24"/>
          <w:u w:val="single"/>
        </w:rPr>
        <w:t>Investment</w:t>
      </w:r>
    </w:p>
    <w:p w:rsidR="009028AB" w:rsidRPr="00DE585B" w:rsidRDefault="009028AB" w:rsidP="009028AB">
      <w:pPr>
        <w:pStyle w:val="ListParagraph"/>
        <w:spacing w:line="360" w:lineRule="auto"/>
        <w:ind w:left="1097" w:right="737"/>
        <w:rPr>
          <w:rFonts w:ascii="Arial" w:hAnsi="Arial" w:cs="Arial"/>
          <w:b/>
          <w:sz w:val="24"/>
          <w:szCs w:val="24"/>
          <w:u w:val="single"/>
        </w:rPr>
      </w:pPr>
      <w:r w:rsidRPr="00DE585B">
        <w:rPr>
          <w:rFonts w:ascii="Arial" w:hAnsi="Arial" w:cs="Arial"/>
          <w:b/>
          <w:sz w:val="24"/>
          <w:szCs w:val="24"/>
          <w:u w:val="single"/>
        </w:rPr>
        <w:t xml:space="preserve">Return </w:t>
      </w:r>
      <w:proofErr w:type="gramStart"/>
      <w:r w:rsidRPr="00DE585B">
        <w:rPr>
          <w:rFonts w:ascii="Arial" w:hAnsi="Arial" w:cs="Arial"/>
          <w:b/>
          <w:sz w:val="24"/>
          <w:szCs w:val="24"/>
          <w:u w:val="single"/>
        </w:rPr>
        <w:t>On</w:t>
      </w:r>
      <w:proofErr w:type="gramEnd"/>
      <w:r w:rsidRPr="00DE585B">
        <w:rPr>
          <w:rFonts w:ascii="Arial" w:hAnsi="Arial" w:cs="Arial"/>
          <w:b/>
          <w:sz w:val="24"/>
          <w:szCs w:val="24"/>
          <w:u w:val="single"/>
        </w:rPr>
        <w:t xml:space="preserve"> Equity and Earning Per share </w:t>
      </w:r>
    </w:p>
    <w:tbl>
      <w:tblPr>
        <w:tblStyle w:val="GridTable2-Accent6"/>
        <w:tblW w:w="9417" w:type="dxa"/>
        <w:tblInd w:w="679" w:type="dxa"/>
        <w:tblLook w:val="04A0" w:firstRow="1" w:lastRow="0" w:firstColumn="1" w:lastColumn="0" w:noHBand="0" w:noVBand="1"/>
      </w:tblPr>
      <w:tblGrid>
        <w:gridCol w:w="972"/>
        <w:gridCol w:w="3719"/>
        <w:gridCol w:w="3288"/>
        <w:gridCol w:w="1438"/>
      </w:tblGrid>
      <w:tr w:rsidR="009028AB" w:rsidRPr="00DE585B" w:rsidTr="00B4524C">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0" w:type="auto"/>
            <w:hideMark/>
          </w:tcPr>
          <w:p w:rsidR="009028AB" w:rsidRPr="00DE585B" w:rsidRDefault="009028AB"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lastRenderedPageBreak/>
              <w:t>Year</w:t>
            </w:r>
          </w:p>
        </w:tc>
        <w:tc>
          <w:tcPr>
            <w:tcW w:w="0" w:type="auto"/>
            <w:hideMark/>
          </w:tcPr>
          <w:p w:rsidR="009028AB" w:rsidRPr="00DE585B" w:rsidRDefault="009028AB" w:rsidP="00B4524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Net Income (Loss) (£m)</w:t>
            </w:r>
          </w:p>
        </w:tc>
        <w:tc>
          <w:tcPr>
            <w:tcW w:w="0" w:type="auto"/>
            <w:hideMark/>
          </w:tcPr>
          <w:p w:rsidR="009028AB" w:rsidRPr="00DE585B" w:rsidRDefault="009028AB" w:rsidP="00B4524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Average Equity (£m)</w:t>
            </w:r>
          </w:p>
        </w:tc>
        <w:tc>
          <w:tcPr>
            <w:tcW w:w="0" w:type="auto"/>
            <w:hideMark/>
          </w:tcPr>
          <w:p w:rsidR="009028AB" w:rsidRPr="00DE585B" w:rsidRDefault="009028AB" w:rsidP="00B4524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ROE</w:t>
            </w:r>
          </w:p>
        </w:tc>
      </w:tr>
      <w:tr w:rsidR="009028AB" w:rsidRPr="00DE585B" w:rsidTr="00B4524C">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0" w:type="auto"/>
            <w:hideMark/>
          </w:tcPr>
          <w:p w:rsidR="009028AB" w:rsidRPr="00DE585B" w:rsidRDefault="009028AB"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2024</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-24,029</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166,012</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-14.47%</w:t>
            </w:r>
          </w:p>
        </w:tc>
      </w:tr>
      <w:tr w:rsidR="009028AB" w:rsidRPr="00DE585B" w:rsidTr="00B4524C">
        <w:trPr>
          <w:trHeight w:val="404"/>
        </w:trPr>
        <w:tc>
          <w:tcPr>
            <w:cnfStyle w:val="001000000000" w:firstRow="0" w:lastRow="0" w:firstColumn="1" w:lastColumn="0" w:oddVBand="0" w:evenVBand="0" w:oddHBand="0" w:evenHBand="0" w:firstRowFirstColumn="0" w:firstRowLastColumn="0" w:lastRowFirstColumn="0" w:lastRowLastColumn="0"/>
            <w:tcW w:w="0" w:type="auto"/>
            <w:hideMark/>
          </w:tcPr>
          <w:p w:rsidR="009028AB" w:rsidRPr="00DE585B" w:rsidRDefault="009028AB"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9028AB" w:rsidRPr="00DE585B" w:rsidRDefault="009028AB"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-98,238</w:t>
            </w:r>
          </w:p>
        </w:tc>
        <w:tc>
          <w:tcPr>
            <w:tcW w:w="0" w:type="auto"/>
            <w:hideMark/>
          </w:tcPr>
          <w:p w:rsidR="009028AB" w:rsidRPr="00DE585B" w:rsidRDefault="009028AB"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223,663</w:t>
            </w:r>
          </w:p>
        </w:tc>
        <w:tc>
          <w:tcPr>
            <w:tcW w:w="0" w:type="auto"/>
            <w:hideMark/>
          </w:tcPr>
          <w:p w:rsidR="009028AB" w:rsidRPr="00DE585B" w:rsidRDefault="009028AB"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-43.92%</w:t>
            </w:r>
          </w:p>
        </w:tc>
      </w:tr>
      <w:tr w:rsidR="009028AB" w:rsidRPr="00DE585B" w:rsidTr="00B4524C">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0" w:type="auto"/>
            <w:hideMark/>
          </w:tcPr>
          <w:p w:rsidR="009028AB" w:rsidRPr="00DE585B" w:rsidRDefault="009028AB"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2022</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407</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272,178</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0.15%</w:t>
            </w:r>
          </w:p>
        </w:tc>
      </w:tr>
      <w:tr w:rsidR="009028AB" w:rsidRPr="00DE585B" w:rsidTr="00B4524C">
        <w:trPr>
          <w:trHeight w:val="404"/>
        </w:trPr>
        <w:tc>
          <w:tcPr>
            <w:cnfStyle w:val="001000000000" w:firstRow="0" w:lastRow="0" w:firstColumn="1" w:lastColumn="0" w:oddVBand="0" w:evenVBand="0" w:oddHBand="0" w:evenHBand="0" w:firstRowFirstColumn="0" w:firstRowLastColumn="0" w:lastRowFirstColumn="0" w:lastRowLastColumn="0"/>
            <w:tcW w:w="0" w:type="auto"/>
            <w:hideMark/>
          </w:tcPr>
          <w:p w:rsidR="009028AB" w:rsidRPr="00DE585B" w:rsidRDefault="009028AB"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2021</w:t>
            </w:r>
          </w:p>
        </w:tc>
        <w:tc>
          <w:tcPr>
            <w:tcW w:w="0" w:type="auto"/>
            <w:hideMark/>
          </w:tcPr>
          <w:p w:rsidR="009028AB" w:rsidRPr="00DE585B" w:rsidRDefault="009028AB"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5,301</w:t>
            </w:r>
          </w:p>
        </w:tc>
        <w:tc>
          <w:tcPr>
            <w:tcW w:w="0" w:type="auto"/>
            <w:hideMark/>
          </w:tcPr>
          <w:p w:rsidR="009028AB" w:rsidRPr="00DE585B" w:rsidRDefault="009028AB"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294,625</w:t>
            </w:r>
          </w:p>
        </w:tc>
        <w:tc>
          <w:tcPr>
            <w:tcW w:w="0" w:type="auto"/>
            <w:hideMark/>
          </w:tcPr>
          <w:p w:rsidR="009028AB" w:rsidRPr="00DE585B" w:rsidRDefault="009028AB"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1.80%</w:t>
            </w:r>
          </w:p>
        </w:tc>
      </w:tr>
      <w:tr w:rsidR="009028AB" w:rsidRPr="00DE585B" w:rsidTr="00B4524C">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0" w:type="auto"/>
            <w:hideMark/>
          </w:tcPr>
          <w:p w:rsidR="009028AB" w:rsidRPr="00DE585B" w:rsidRDefault="009028AB"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38,572</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313,301</w:t>
            </w:r>
          </w:p>
        </w:tc>
        <w:tc>
          <w:tcPr>
            <w:tcW w:w="0" w:type="auto"/>
            <w:hideMark/>
          </w:tcPr>
          <w:p w:rsidR="009028AB" w:rsidRPr="00DE585B" w:rsidRDefault="009028AB"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12.31%</w:t>
            </w:r>
          </w:p>
        </w:tc>
      </w:tr>
    </w:tbl>
    <w:p w:rsidR="009028AB" w:rsidRPr="00DE585B" w:rsidRDefault="00B4524C" w:rsidP="00B4524C">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Table 1.11 ROE</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w:t>
      </w:r>
      <w:proofErr w:type="spellStart"/>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tbl>
      <w:tblPr>
        <w:tblStyle w:val="GridTable2-Accent6"/>
        <w:tblW w:w="9986" w:type="dxa"/>
        <w:tblInd w:w="397" w:type="dxa"/>
        <w:tblLook w:val="04A0" w:firstRow="1" w:lastRow="0" w:firstColumn="1" w:lastColumn="0" w:noHBand="0" w:noVBand="1"/>
      </w:tblPr>
      <w:tblGrid>
        <w:gridCol w:w="2097"/>
        <w:gridCol w:w="4933"/>
        <w:gridCol w:w="2956"/>
      </w:tblGrid>
      <w:tr w:rsidR="00B4524C" w:rsidRPr="00DE585B" w:rsidTr="00B4524C">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0" w:type="auto"/>
            <w:hideMark/>
          </w:tcPr>
          <w:p w:rsidR="00B4524C" w:rsidRPr="00DE585B" w:rsidRDefault="00B4524C"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Year</w:t>
            </w:r>
          </w:p>
        </w:tc>
        <w:tc>
          <w:tcPr>
            <w:tcW w:w="0" w:type="auto"/>
            <w:hideMark/>
          </w:tcPr>
          <w:p w:rsidR="00B4524C" w:rsidRPr="00DE585B" w:rsidRDefault="00B4524C" w:rsidP="00B4524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Basic EPS (£)</w:t>
            </w:r>
          </w:p>
        </w:tc>
        <w:tc>
          <w:tcPr>
            <w:tcW w:w="0" w:type="auto"/>
            <w:hideMark/>
          </w:tcPr>
          <w:p w:rsidR="00B4524C" w:rsidRPr="00DE585B" w:rsidRDefault="00B4524C" w:rsidP="00B4524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EPS (£)</w:t>
            </w:r>
          </w:p>
        </w:tc>
      </w:tr>
      <w:tr w:rsidR="00B4524C" w:rsidRPr="00DE585B" w:rsidTr="00B4524C">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0" w:type="auto"/>
            <w:hideMark/>
          </w:tcPr>
          <w:p w:rsidR="00B4524C" w:rsidRPr="00DE585B" w:rsidRDefault="00B4524C"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2024</w:t>
            </w:r>
          </w:p>
        </w:tc>
        <w:tc>
          <w:tcPr>
            <w:tcW w:w="0" w:type="auto"/>
            <w:hideMark/>
          </w:tcPr>
          <w:p w:rsidR="00B4524C" w:rsidRPr="00DE585B" w:rsidRDefault="00B4524C"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£-1.85</w:t>
            </w:r>
          </w:p>
        </w:tc>
        <w:tc>
          <w:tcPr>
            <w:tcW w:w="0" w:type="auto"/>
            <w:hideMark/>
          </w:tcPr>
          <w:p w:rsidR="00B4524C" w:rsidRPr="00DE585B" w:rsidRDefault="00B4524C"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£-1.85</w:t>
            </w:r>
          </w:p>
        </w:tc>
      </w:tr>
      <w:tr w:rsidR="00B4524C" w:rsidRPr="00DE585B" w:rsidTr="00B4524C">
        <w:trPr>
          <w:trHeight w:val="270"/>
        </w:trPr>
        <w:tc>
          <w:tcPr>
            <w:cnfStyle w:val="001000000000" w:firstRow="0" w:lastRow="0" w:firstColumn="1" w:lastColumn="0" w:oddVBand="0" w:evenVBand="0" w:oddHBand="0" w:evenHBand="0" w:firstRowFirstColumn="0" w:firstRowLastColumn="0" w:lastRowFirstColumn="0" w:lastRowLastColumn="0"/>
            <w:tcW w:w="0" w:type="auto"/>
            <w:hideMark/>
          </w:tcPr>
          <w:p w:rsidR="00B4524C" w:rsidRPr="00DE585B" w:rsidRDefault="00B4524C"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B4524C" w:rsidRPr="00DE585B" w:rsidRDefault="00B4524C"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£-7.64</w:t>
            </w:r>
          </w:p>
        </w:tc>
        <w:tc>
          <w:tcPr>
            <w:tcW w:w="0" w:type="auto"/>
            <w:hideMark/>
          </w:tcPr>
          <w:p w:rsidR="00B4524C" w:rsidRPr="00DE585B" w:rsidRDefault="00B4524C"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£-7.64</w:t>
            </w:r>
          </w:p>
        </w:tc>
      </w:tr>
      <w:tr w:rsidR="00B4524C" w:rsidRPr="00DE585B" w:rsidTr="00B4524C">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0" w:type="auto"/>
            <w:hideMark/>
          </w:tcPr>
          <w:p w:rsidR="00B4524C" w:rsidRPr="00DE585B" w:rsidRDefault="00B4524C"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2022</w:t>
            </w:r>
          </w:p>
        </w:tc>
        <w:tc>
          <w:tcPr>
            <w:tcW w:w="0" w:type="auto"/>
            <w:hideMark/>
          </w:tcPr>
          <w:p w:rsidR="00B4524C" w:rsidRPr="00DE585B" w:rsidRDefault="00B4524C"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£0.03</w:t>
            </w:r>
          </w:p>
        </w:tc>
        <w:tc>
          <w:tcPr>
            <w:tcW w:w="0" w:type="auto"/>
            <w:hideMark/>
          </w:tcPr>
          <w:p w:rsidR="00B4524C" w:rsidRPr="00DE585B" w:rsidRDefault="00B4524C"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£0.03</w:t>
            </w:r>
          </w:p>
        </w:tc>
      </w:tr>
      <w:tr w:rsidR="00B4524C" w:rsidRPr="00DE585B" w:rsidTr="00B4524C">
        <w:trPr>
          <w:trHeight w:val="270"/>
        </w:trPr>
        <w:tc>
          <w:tcPr>
            <w:cnfStyle w:val="001000000000" w:firstRow="0" w:lastRow="0" w:firstColumn="1" w:lastColumn="0" w:oddVBand="0" w:evenVBand="0" w:oddHBand="0" w:evenHBand="0" w:firstRowFirstColumn="0" w:firstRowLastColumn="0" w:lastRowFirstColumn="0" w:lastRowLastColumn="0"/>
            <w:tcW w:w="0" w:type="auto"/>
            <w:hideMark/>
          </w:tcPr>
          <w:p w:rsidR="00B4524C" w:rsidRPr="00DE585B" w:rsidRDefault="00B4524C"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2021</w:t>
            </w:r>
          </w:p>
        </w:tc>
        <w:tc>
          <w:tcPr>
            <w:tcW w:w="0" w:type="auto"/>
            <w:hideMark/>
          </w:tcPr>
          <w:p w:rsidR="00B4524C" w:rsidRPr="00DE585B" w:rsidRDefault="00B4524C"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£0.39</w:t>
            </w:r>
          </w:p>
        </w:tc>
        <w:tc>
          <w:tcPr>
            <w:tcW w:w="0" w:type="auto"/>
            <w:hideMark/>
          </w:tcPr>
          <w:p w:rsidR="00B4524C" w:rsidRPr="00DE585B" w:rsidRDefault="00B4524C" w:rsidP="00B4524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£0.39</w:t>
            </w:r>
          </w:p>
        </w:tc>
      </w:tr>
      <w:tr w:rsidR="00B4524C" w:rsidRPr="00DE585B" w:rsidTr="00B4524C">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0" w:type="auto"/>
            <w:hideMark/>
          </w:tcPr>
          <w:p w:rsidR="00B4524C" w:rsidRPr="00DE585B" w:rsidRDefault="00B4524C" w:rsidP="00B4524C">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B4524C" w:rsidRPr="00DE585B" w:rsidRDefault="00B4524C"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£2.78</w:t>
            </w:r>
          </w:p>
        </w:tc>
        <w:tc>
          <w:tcPr>
            <w:tcW w:w="0" w:type="auto"/>
            <w:hideMark/>
          </w:tcPr>
          <w:p w:rsidR="00B4524C" w:rsidRPr="00DE585B" w:rsidRDefault="00B4524C" w:rsidP="00B4524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£2.72</w:t>
            </w:r>
          </w:p>
        </w:tc>
      </w:tr>
    </w:tbl>
    <w:p w:rsidR="00B4524C" w:rsidRPr="00DE585B" w:rsidRDefault="00B4524C" w:rsidP="00B4524C">
      <w:pPr>
        <w:pStyle w:val="ListParagraph"/>
        <w:spacing w:line="360" w:lineRule="auto"/>
        <w:ind w:left="1097" w:right="737"/>
        <w:jc w:val="center"/>
        <w:rPr>
          <w:rFonts w:ascii="Arial" w:hAnsi="Arial" w:cs="Arial"/>
          <w:b/>
          <w:i/>
          <w:sz w:val="24"/>
          <w:szCs w:val="24"/>
          <w:u w:val="single"/>
        </w:rPr>
      </w:pPr>
      <w:r w:rsidRPr="00DE585B">
        <w:rPr>
          <w:rFonts w:ascii="Arial" w:hAnsi="Arial" w:cs="Arial"/>
          <w:b/>
          <w:i/>
          <w:noProof/>
          <w:sz w:val="24"/>
          <w:szCs w:val="24"/>
          <w:u w:val="single"/>
        </w:rPr>
        <w:drawing>
          <wp:anchor distT="0" distB="0" distL="114300" distR="114300" simplePos="0" relativeHeight="251665408" behindDoc="0" locked="0" layoutInCell="1" allowOverlap="1">
            <wp:simplePos x="0" y="0"/>
            <wp:positionH relativeFrom="column">
              <wp:posOffset>606425</wp:posOffset>
            </wp:positionH>
            <wp:positionV relativeFrom="paragraph">
              <wp:posOffset>377190</wp:posOffset>
            </wp:positionV>
            <wp:extent cx="5486400" cy="3200400"/>
            <wp:effectExtent l="0" t="0" r="0" b="0"/>
            <wp:wrapTopAndBottom/>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Pr="00DE585B">
        <w:rPr>
          <w:rFonts w:ascii="Arial" w:hAnsi="Arial" w:cs="Arial"/>
          <w:b/>
          <w:i/>
          <w:sz w:val="24"/>
          <w:szCs w:val="24"/>
          <w:u w:val="single"/>
        </w:rPr>
        <w:t>Table 1.12 EPS</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w:t>
      </w:r>
      <w:proofErr w:type="spellStart"/>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B4524C" w:rsidRPr="00DE585B" w:rsidRDefault="00B4524C" w:rsidP="00B4524C">
      <w:pPr>
        <w:spacing w:line="360" w:lineRule="auto"/>
        <w:ind w:right="737"/>
        <w:jc w:val="center"/>
        <w:rPr>
          <w:rFonts w:ascii="Arial" w:hAnsi="Arial" w:cs="Arial"/>
          <w:b/>
          <w:i/>
          <w:sz w:val="24"/>
          <w:szCs w:val="24"/>
          <w:u w:val="single"/>
        </w:rPr>
      </w:pPr>
      <w:r w:rsidRPr="00DE585B">
        <w:rPr>
          <w:rFonts w:ascii="Arial" w:hAnsi="Arial" w:cs="Arial"/>
          <w:b/>
          <w:i/>
          <w:sz w:val="24"/>
          <w:szCs w:val="24"/>
          <w:u w:val="single"/>
        </w:rPr>
        <w:t>Fig 1.8 ROE and EPS</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w:t>
      </w:r>
      <w:proofErr w:type="spellStart"/>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B4524C" w:rsidRPr="00DE585B" w:rsidRDefault="00B4524C" w:rsidP="00B4524C">
      <w:pPr>
        <w:spacing w:line="360" w:lineRule="auto"/>
        <w:ind w:left="737" w:right="737"/>
        <w:jc w:val="both"/>
        <w:rPr>
          <w:rFonts w:ascii="Arial" w:hAnsi="Arial" w:cs="Arial"/>
          <w:sz w:val="24"/>
          <w:szCs w:val="24"/>
        </w:rPr>
      </w:pPr>
      <w:r w:rsidRPr="00DE585B">
        <w:rPr>
          <w:rFonts w:ascii="Arial" w:hAnsi="Arial" w:cs="Arial"/>
          <w:sz w:val="24"/>
          <w:szCs w:val="24"/>
        </w:rPr>
        <w:t xml:space="preserve">The Earnings </w:t>
      </w:r>
      <w:proofErr w:type="gramStart"/>
      <w:r w:rsidRPr="00DE585B">
        <w:rPr>
          <w:rFonts w:ascii="Arial" w:hAnsi="Arial" w:cs="Arial"/>
          <w:sz w:val="24"/>
          <w:szCs w:val="24"/>
        </w:rPr>
        <w:t>Per</w:t>
      </w:r>
      <w:proofErr w:type="gramEnd"/>
      <w:r w:rsidRPr="00DE585B">
        <w:rPr>
          <w:rFonts w:ascii="Arial" w:hAnsi="Arial" w:cs="Arial"/>
          <w:sz w:val="24"/>
          <w:szCs w:val="24"/>
        </w:rPr>
        <w:t xml:space="preserve"> Share (EPS) trend indicates a value loss to shareholders. EPS has steadily decreased from 2.78 in 2020 to 0.03 in 2022 and a considerable drop into a negative value of -1.85 in 2023 and further to--7.64 in 2024. The loss in value corresponds to decreasing absolute net income values and declining firm </w:t>
      </w:r>
      <w:proofErr w:type="spellStart"/>
      <w:r w:rsidRPr="00DE585B">
        <w:rPr>
          <w:rFonts w:ascii="Arial" w:hAnsi="Arial" w:cs="Arial"/>
          <w:sz w:val="24"/>
          <w:szCs w:val="24"/>
        </w:rPr>
        <w:t>profitability.The</w:t>
      </w:r>
      <w:proofErr w:type="spellEnd"/>
      <w:r w:rsidRPr="00DE585B">
        <w:rPr>
          <w:rFonts w:ascii="Arial" w:hAnsi="Arial" w:cs="Arial"/>
          <w:sz w:val="24"/>
          <w:szCs w:val="24"/>
        </w:rPr>
        <w:t xml:space="preserve"> negative EPS incurred per share corresponds to significant losses per share that would be likely to decrease the market valuation and investor confidence. </w:t>
      </w:r>
    </w:p>
    <w:p w:rsidR="00B4524C" w:rsidRPr="00DE585B" w:rsidRDefault="00B4524C" w:rsidP="009D3B0B">
      <w:pPr>
        <w:spacing w:line="360" w:lineRule="auto"/>
        <w:ind w:left="737" w:right="737"/>
        <w:jc w:val="both"/>
        <w:rPr>
          <w:rFonts w:ascii="Arial" w:hAnsi="Arial" w:cs="Arial"/>
          <w:sz w:val="24"/>
          <w:szCs w:val="24"/>
        </w:rPr>
      </w:pPr>
      <w:r w:rsidRPr="00DE585B">
        <w:rPr>
          <w:rFonts w:ascii="Arial" w:hAnsi="Arial" w:cs="Arial"/>
          <w:sz w:val="24"/>
          <w:szCs w:val="24"/>
        </w:rPr>
        <w:lastRenderedPageBreak/>
        <w:t>The Return on Equity (ROE) experienced the same pessimistic trajectory, with declining result: -54.9% in 2017 to negative percentages in 2023 and 2024. The return rate for 2023 is concerning, as it demonstrates extreme losses relative to the capital invested by the shareholders. Further, cumulative losses have also diminished retained earnings and returned total equity to -£153 in 2024 for example from £313 in 2020, bei</w:t>
      </w:r>
      <w:r w:rsidR="009D3B0B">
        <w:rPr>
          <w:rFonts w:ascii="Arial" w:hAnsi="Arial" w:cs="Arial"/>
          <w:sz w:val="24"/>
          <w:szCs w:val="24"/>
        </w:rPr>
        <w:t>ng carried from prior earnings.</w:t>
      </w:r>
    </w:p>
    <w:p w:rsidR="00B4524C" w:rsidRPr="00DE585B" w:rsidRDefault="00B4524C" w:rsidP="00EC5EBE">
      <w:pPr>
        <w:pStyle w:val="ListParagraph"/>
        <w:numPr>
          <w:ilvl w:val="0"/>
          <w:numId w:val="4"/>
        </w:numPr>
        <w:spacing w:line="360" w:lineRule="auto"/>
        <w:ind w:left="737" w:right="737"/>
        <w:rPr>
          <w:rFonts w:ascii="Arial" w:hAnsi="Arial" w:cs="Arial"/>
          <w:b/>
          <w:sz w:val="24"/>
          <w:szCs w:val="24"/>
          <w:u w:val="single"/>
        </w:rPr>
      </w:pPr>
      <w:bookmarkStart w:id="0" w:name="_Toc210855233"/>
      <w:r w:rsidRPr="00DE585B">
        <w:rPr>
          <w:rFonts w:ascii="Arial" w:hAnsi="Arial" w:cs="Arial"/>
          <w:b/>
          <w:sz w:val="24"/>
          <w:szCs w:val="24"/>
          <w:u w:val="single"/>
        </w:rPr>
        <w:t>Cash Flow</w:t>
      </w:r>
      <w:bookmarkEnd w:id="0"/>
    </w:p>
    <w:p w:rsidR="00B4524C" w:rsidRPr="00DE585B" w:rsidRDefault="00B4524C" w:rsidP="00EC5EBE">
      <w:pPr>
        <w:keepNext/>
        <w:ind w:left="737" w:right="737"/>
        <w:jc w:val="center"/>
        <w:rPr>
          <w:rFonts w:ascii="Arial" w:hAnsi="Arial" w:cs="Arial"/>
          <w:sz w:val="24"/>
          <w:szCs w:val="24"/>
        </w:rPr>
      </w:pPr>
      <w:r w:rsidRPr="00DE585B">
        <w:rPr>
          <w:rFonts w:ascii="Arial" w:hAnsi="Arial" w:cs="Arial"/>
          <w:noProof/>
          <w:sz w:val="24"/>
          <w:szCs w:val="24"/>
        </w:rPr>
        <w:drawing>
          <wp:inline distT="0" distB="0" distL="0" distR="0" wp14:anchorId="0EEE6CC2" wp14:editId="6BCEF5A9">
            <wp:extent cx="4145280" cy="2651760"/>
            <wp:effectExtent l="0" t="0" r="7620" b="0"/>
            <wp:docPr id="1687763700"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93CDE38-1F50-E0BE-C8C3-46037084EF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B4524C" w:rsidRPr="00DE585B" w:rsidRDefault="00B4524C" w:rsidP="00EC5EBE">
      <w:pPr>
        <w:spacing w:line="360" w:lineRule="auto"/>
        <w:ind w:left="737" w:right="737"/>
        <w:jc w:val="center"/>
        <w:rPr>
          <w:rFonts w:ascii="Arial" w:hAnsi="Arial" w:cs="Arial"/>
          <w:b/>
          <w:i/>
          <w:sz w:val="24"/>
          <w:szCs w:val="24"/>
          <w:u w:val="single"/>
        </w:rPr>
      </w:pPr>
      <w:bookmarkStart w:id="1" w:name="_Toc210664666"/>
      <w:bookmarkStart w:id="2" w:name="_Toc210664722"/>
      <w:r w:rsidRPr="00DE585B">
        <w:rPr>
          <w:rFonts w:ascii="Arial" w:hAnsi="Arial" w:cs="Arial"/>
          <w:b/>
          <w:i/>
          <w:sz w:val="24"/>
          <w:szCs w:val="24"/>
          <w:u w:val="single"/>
        </w:rPr>
        <w:t>Figure</w:t>
      </w:r>
      <w:r w:rsidR="00EC5EBE" w:rsidRPr="00DE585B">
        <w:rPr>
          <w:rFonts w:ascii="Arial" w:hAnsi="Arial" w:cs="Arial"/>
          <w:b/>
          <w:i/>
          <w:sz w:val="24"/>
          <w:szCs w:val="24"/>
          <w:u w:val="single"/>
        </w:rPr>
        <w:t xml:space="preserve"> 1.9</w:t>
      </w:r>
      <w:r w:rsidRPr="00DE585B">
        <w:rPr>
          <w:rFonts w:ascii="Arial" w:hAnsi="Arial" w:cs="Arial"/>
          <w:b/>
          <w:i/>
          <w:sz w:val="24"/>
          <w:szCs w:val="24"/>
          <w:u w:val="single"/>
        </w:rPr>
        <w:t>: Cash Flow Ratios</w:t>
      </w:r>
      <w:bookmarkEnd w:id="1"/>
      <w:bookmarkEnd w:id="2"/>
      <w:r w:rsidR="009D3B0B">
        <w:rPr>
          <w:rFonts w:ascii="Arial" w:hAnsi="Arial" w:cs="Arial"/>
          <w:b/>
          <w:i/>
          <w:sz w:val="24"/>
          <w:szCs w:val="24"/>
          <w:u w:val="single"/>
        </w:rPr>
        <w:t xml:space="preserve"> </w:t>
      </w:r>
      <w:r w:rsidR="009D3B0B">
        <w:rPr>
          <w:rFonts w:ascii="Arial" w:hAnsi="Arial" w:cs="Arial"/>
          <w:b/>
          <w:bCs/>
          <w:i/>
          <w:sz w:val="24"/>
          <w:szCs w:val="24"/>
          <w:u w:val="single"/>
          <w:lang w:val="en-GB"/>
        </w:rPr>
        <w:t>(</w:t>
      </w:r>
      <w:proofErr w:type="spellStart"/>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tbl>
      <w:tblPr>
        <w:tblStyle w:val="GridTable1Light-Accent6"/>
        <w:tblW w:w="8851" w:type="dxa"/>
        <w:tblInd w:w="950" w:type="dxa"/>
        <w:tblLook w:val="04A0" w:firstRow="1" w:lastRow="0" w:firstColumn="1" w:lastColumn="0" w:noHBand="0" w:noVBand="1"/>
      </w:tblPr>
      <w:tblGrid>
        <w:gridCol w:w="1806"/>
        <w:gridCol w:w="1409"/>
        <w:gridCol w:w="1409"/>
        <w:gridCol w:w="1409"/>
        <w:gridCol w:w="1409"/>
        <w:gridCol w:w="1409"/>
      </w:tblGrid>
      <w:tr w:rsidR="00B4524C" w:rsidRPr="00DE585B" w:rsidTr="00EC5EBE">
        <w:trPr>
          <w:cnfStyle w:val="100000000000" w:firstRow="1" w:lastRow="0" w:firstColumn="0" w:lastColumn="0" w:oddVBand="0" w:evenVBand="0" w:oddHBand="0" w:evenHBand="0" w:firstRowFirstColumn="0" w:firstRowLastColumn="0" w:lastRowFirstColumn="0" w:lastRowLastColumn="0"/>
          <w:trHeight w:val="807"/>
        </w:trPr>
        <w:tc>
          <w:tcPr>
            <w:cnfStyle w:val="001000000000" w:firstRow="0" w:lastRow="0" w:firstColumn="1" w:lastColumn="0" w:oddVBand="0" w:evenVBand="0" w:oddHBand="0" w:evenHBand="0" w:firstRowFirstColumn="0" w:firstRowLastColumn="0" w:lastRowFirstColumn="0" w:lastRowLastColumn="0"/>
            <w:tcW w:w="1806" w:type="dxa"/>
            <w:noWrap/>
            <w:hideMark/>
          </w:tcPr>
          <w:p w:rsidR="00B4524C" w:rsidRPr="00DE585B" w:rsidRDefault="00B4524C" w:rsidP="00EC5EBE">
            <w:pPr>
              <w:rPr>
                <w:rFonts w:ascii="Arial" w:eastAsia="Times New Roman" w:hAnsi="Arial" w:cs="Arial"/>
                <w:sz w:val="24"/>
                <w:szCs w:val="24"/>
              </w:rPr>
            </w:pPr>
            <w:r w:rsidRPr="00DE585B">
              <w:rPr>
                <w:rFonts w:ascii="Arial" w:eastAsia="Times New Roman" w:hAnsi="Arial" w:cs="Arial"/>
                <w:sz w:val="24"/>
                <w:szCs w:val="24"/>
              </w:rPr>
              <w:t>Cash Flow Ratios</w:t>
            </w:r>
          </w:p>
        </w:tc>
        <w:tc>
          <w:tcPr>
            <w:tcW w:w="1409" w:type="dxa"/>
            <w:noWrap/>
            <w:hideMark/>
          </w:tcPr>
          <w:p w:rsidR="00B4524C" w:rsidRPr="00DE585B" w:rsidRDefault="00B4524C" w:rsidP="00EC5EBE">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2024</w:t>
            </w:r>
          </w:p>
        </w:tc>
        <w:tc>
          <w:tcPr>
            <w:tcW w:w="1409" w:type="dxa"/>
            <w:noWrap/>
            <w:hideMark/>
          </w:tcPr>
          <w:p w:rsidR="00B4524C" w:rsidRPr="00DE585B" w:rsidRDefault="00B4524C" w:rsidP="00EC5EBE">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2023</w:t>
            </w:r>
          </w:p>
        </w:tc>
        <w:tc>
          <w:tcPr>
            <w:tcW w:w="1409" w:type="dxa"/>
            <w:noWrap/>
            <w:hideMark/>
          </w:tcPr>
          <w:p w:rsidR="00B4524C" w:rsidRPr="00DE585B" w:rsidRDefault="00B4524C" w:rsidP="00EC5EBE">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2022</w:t>
            </w:r>
          </w:p>
        </w:tc>
        <w:tc>
          <w:tcPr>
            <w:tcW w:w="1409" w:type="dxa"/>
            <w:noWrap/>
            <w:hideMark/>
          </w:tcPr>
          <w:p w:rsidR="00B4524C" w:rsidRPr="00DE585B" w:rsidRDefault="00B4524C" w:rsidP="00EC5EBE">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2021</w:t>
            </w:r>
          </w:p>
        </w:tc>
        <w:tc>
          <w:tcPr>
            <w:tcW w:w="1409" w:type="dxa"/>
            <w:noWrap/>
            <w:hideMark/>
          </w:tcPr>
          <w:p w:rsidR="00B4524C" w:rsidRPr="00DE585B" w:rsidRDefault="00B4524C" w:rsidP="00EC5EBE">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2020</w:t>
            </w:r>
          </w:p>
        </w:tc>
      </w:tr>
      <w:tr w:rsidR="00B4524C" w:rsidRPr="00DE585B" w:rsidTr="00EC5EBE">
        <w:trPr>
          <w:trHeight w:val="807"/>
        </w:trPr>
        <w:tc>
          <w:tcPr>
            <w:cnfStyle w:val="001000000000" w:firstRow="0" w:lastRow="0" w:firstColumn="1" w:lastColumn="0" w:oddVBand="0" w:evenVBand="0" w:oddHBand="0" w:evenHBand="0" w:firstRowFirstColumn="0" w:firstRowLastColumn="0" w:lastRowFirstColumn="0" w:lastRowLastColumn="0"/>
            <w:tcW w:w="1806" w:type="dxa"/>
            <w:noWrap/>
            <w:hideMark/>
          </w:tcPr>
          <w:p w:rsidR="00B4524C" w:rsidRPr="00DE585B" w:rsidRDefault="00B4524C" w:rsidP="00EC5EBE">
            <w:pPr>
              <w:rPr>
                <w:rFonts w:ascii="Arial" w:eastAsia="Times New Roman" w:hAnsi="Arial" w:cs="Arial"/>
                <w:sz w:val="24"/>
                <w:szCs w:val="24"/>
              </w:rPr>
            </w:pPr>
            <w:r w:rsidRPr="00DE585B">
              <w:rPr>
                <w:rFonts w:ascii="Arial" w:eastAsia="Times New Roman" w:hAnsi="Arial" w:cs="Arial"/>
                <w:sz w:val="24"/>
                <w:szCs w:val="24"/>
              </w:rPr>
              <w:t>Operating Cash Flow Ratio</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0.09</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0.16</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0.05</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0.19</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0.41</w:t>
            </w:r>
          </w:p>
        </w:tc>
      </w:tr>
      <w:tr w:rsidR="00B4524C" w:rsidRPr="00DE585B" w:rsidTr="00EC5EBE">
        <w:trPr>
          <w:trHeight w:val="807"/>
        </w:trPr>
        <w:tc>
          <w:tcPr>
            <w:cnfStyle w:val="001000000000" w:firstRow="0" w:lastRow="0" w:firstColumn="1" w:lastColumn="0" w:oddVBand="0" w:evenVBand="0" w:oddHBand="0" w:evenHBand="0" w:firstRowFirstColumn="0" w:firstRowLastColumn="0" w:lastRowFirstColumn="0" w:lastRowLastColumn="0"/>
            <w:tcW w:w="1806" w:type="dxa"/>
            <w:noWrap/>
            <w:hideMark/>
          </w:tcPr>
          <w:p w:rsidR="00B4524C" w:rsidRPr="00DE585B" w:rsidRDefault="00B4524C" w:rsidP="00EC5EBE">
            <w:pPr>
              <w:rPr>
                <w:rFonts w:ascii="Arial" w:eastAsia="Times New Roman" w:hAnsi="Arial" w:cs="Arial"/>
                <w:sz w:val="24"/>
                <w:szCs w:val="24"/>
              </w:rPr>
            </w:pPr>
            <w:r w:rsidRPr="00DE585B">
              <w:rPr>
                <w:rFonts w:ascii="Arial" w:eastAsia="Times New Roman" w:hAnsi="Arial" w:cs="Arial"/>
                <w:sz w:val="24"/>
                <w:szCs w:val="24"/>
              </w:rPr>
              <w:t>Cash Flow to Debt Ratio</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0.09</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0.14</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0.05</w:t>
            </w:r>
          </w:p>
        </w:tc>
        <w:tc>
          <w:tcPr>
            <w:tcW w:w="1409" w:type="dxa"/>
            <w:noWrap/>
            <w:hideMark/>
          </w:tcPr>
          <w:p w:rsidR="00B4524C" w:rsidRPr="00DE585B" w:rsidRDefault="00B4524C" w:rsidP="00EC5E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0.17</w:t>
            </w:r>
          </w:p>
        </w:tc>
        <w:tc>
          <w:tcPr>
            <w:tcW w:w="1409" w:type="dxa"/>
            <w:noWrap/>
            <w:hideMark/>
          </w:tcPr>
          <w:p w:rsidR="00B4524C" w:rsidRPr="00DE585B" w:rsidRDefault="00B4524C" w:rsidP="00EC5EBE">
            <w:pPr>
              <w:keepNext/>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E585B">
              <w:rPr>
                <w:rFonts w:ascii="Arial" w:eastAsia="Times New Roman" w:hAnsi="Arial" w:cs="Arial"/>
                <w:sz w:val="24"/>
                <w:szCs w:val="24"/>
              </w:rPr>
              <w:t>0.37</w:t>
            </w:r>
          </w:p>
        </w:tc>
      </w:tr>
    </w:tbl>
    <w:p w:rsidR="00EC5EBE" w:rsidRPr="00DE585B" w:rsidRDefault="00EC5EBE" w:rsidP="00EC5EBE">
      <w:pPr>
        <w:ind w:left="737" w:right="737"/>
        <w:jc w:val="center"/>
        <w:rPr>
          <w:rFonts w:ascii="Arial" w:hAnsi="Arial" w:cs="Arial"/>
          <w:b/>
          <w:i/>
          <w:sz w:val="24"/>
          <w:szCs w:val="24"/>
          <w:u w:val="single"/>
        </w:rPr>
      </w:pPr>
      <w:r w:rsidRPr="00DE585B">
        <w:rPr>
          <w:rFonts w:ascii="Arial" w:hAnsi="Arial" w:cs="Arial"/>
          <w:b/>
          <w:i/>
          <w:sz w:val="24"/>
          <w:szCs w:val="24"/>
          <w:u w:val="single"/>
        </w:rPr>
        <w:t>Table 1.13 Cash Flow</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w:t>
      </w:r>
      <w:proofErr w:type="spellStart"/>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B4524C" w:rsidRPr="00DE585B" w:rsidRDefault="00B4524C" w:rsidP="004D6020">
      <w:pPr>
        <w:spacing w:line="360" w:lineRule="auto"/>
        <w:ind w:left="737" w:right="737"/>
        <w:jc w:val="both"/>
        <w:rPr>
          <w:rFonts w:ascii="Arial" w:hAnsi="Arial" w:cs="Arial"/>
          <w:sz w:val="24"/>
          <w:szCs w:val="24"/>
        </w:rPr>
      </w:pPr>
      <w:r w:rsidRPr="00DE585B">
        <w:rPr>
          <w:rFonts w:ascii="Arial" w:hAnsi="Arial" w:cs="Arial"/>
          <w:sz w:val="24"/>
          <w:szCs w:val="24"/>
        </w:rPr>
        <w:t xml:space="preserve">The Operating Cash Flow Ratio shows the extent to which current liabilities can be paid by operating cash. The ratio has decreased to 0.09 in 2024 compared to 0.41 in 2020, indicating that cash operations are not enough to cover the short-term obligations. This indicates that the firm has been relying more on external funding to remain in business </w:t>
      </w:r>
      <w:r w:rsidR="00DC5558" w:rsidRPr="00DE585B">
        <w:rPr>
          <w:rFonts w:ascii="Arial" w:hAnsi="Arial" w:cs="Arial"/>
          <w:sz w:val="24"/>
          <w:szCs w:val="24"/>
        </w:rPr>
        <w:t>s</w:t>
      </w:r>
    </w:p>
    <w:p w:rsidR="004E4A98" w:rsidRPr="00DE585B" w:rsidRDefault="00B4524C" w:rsidP="009D3B0B">
      <w:pPr>
        <w:spacing w:line="360" w:lineRule="auto"/>
        <w:ind w:left="737" w:right="737"/>
        <w:jc w:val="both"/>
        <w:rPr>
          <w:rFonts w:ascii="Arial" w:hAnsi="Arial" w:cs="Arial"/>
          <w:sz w:val="24"/>
          <w:szCs w:val="24"/>
        </w:rPr>
      </w:pPr>
      <w:r w:rsidRPr="00DE585B">
        <w:rPr>
          <w:rFonts w:ascii="Arial" w:hAnsi="Arial" w:cs="Arial"/>
          <w:sz w:val="24"/>
          <w:szCs w:val="24"/>
        </w:rPr>
        <w:t xml:space="preserve">In the same vein, the Cash Flow to Debt Ratio dropped from 0.37 in 2020 to 0.09 in 2024, which matches a drastic decrease in the measure of repaying debt through operating </w:t>
      </w:r>
      <w:r w:rsidRPr="00DE585B">
        <w:rPr>
          <w:rFonts w:ascii="Arial" w:hAnsi="Arial" w:cs="Arial"/>
          <w:sz w:val="24"/>
          <w:szCs w:val="24"/>
        </w:rPr>
        <w:lastRenderedPageBreak/>
        <w:t>cash flows. This pattern suggests that the annual cash generation is less than 10 per cent of the total debt, which indicates the exis</w:t>
      </w:r>
      <w:r w:rsidR="009D3B0B">
        <w:rPr>
          <w:rFonts w:ascii="Arial" w:hAnsi="Arial" w:cs="Arial"/>
          <w:sz w:val="24"/>
          <w:szCs w:val="24"/>
        </w:rPr>
        <w:t xml:space="preserve">tence of a serious solvency </w:t>
      </w:r>
      <w:proofErr w:type="spellStart"/>
      <w:r w:rsidR="009D3B0B">
        <w:rPr>
          <w:rFonts w:ascii="Arial" w:hAnsi="Arial" w:cs="Arial"/>
          <w:sz w:val="24"/>
          <w:szCs w:val="24"/>
        </w:rPr>
        <w:t>ris</w:t>
      </w:r>
      <w:proofErr w:type="spellEnd"/>
    </w:p>
    <w:p w:rsidR="00B4524C" w:rsidRPr="00DE585B" w:rsidRDefault="00B4524C" w:rsidP="000C2922">
      <w:pPr>
        <w:spacing w:line="360" w:lineRule="auto"/>
        <w:ind w:right="737"/>
        <w:jc w:val="both"/>
        <w:rPr>
          <w:rFonts w:ascii="Arial" w:hAnsi="Arial" w:cs="Arial"/>
          <w:sz w:val="24"/>
          <w:szCs w:val="24"/>
        </w:rPr>
      </w:pPr>
    </w:p>
    <w:p w:rsidR="004D6020" w:rsidRPr="00DE585B" w:rsidRDefault="000F5DA5" w:rsidP="000F5DA5">
      <w:pPr>
        <w:numPr>
          <w:ilvl w:val="0"/>
          <w:numId w:val="13"/>
        </w:numPr>
        <w:tabs>
          <w:tab w:val="clear" w:pos="720"/>
          <w:tab w:val="num" w:pos="1080"/>
        </w:tabs>
        <w:spacing w:after="0" w:line="360" w:lineRule="auto"/>
        <w:ind w:left="1080"/>
        <w:rPr>
          <w:rFonts w:ascii="Arial" w:hAnsi="Arial" w:cs="Arial"/>
          <w:b/>
          <w:sz w:val="24"/>
          <w:szCs w:val="24"/>
          <w:u w:val="single"/>
        </w:rPr>
      </w:pPr>
      <w:r w:rsidRPr="00DE585B">
        <w:rPr>
          <w:rFonts w:ascii="Arial" w:hAnsi="Arial" w:cs="Arial"/>
          <w:b/>
          <w:sz w:val="24"/>
          <w:szCs w:val="24"/>
          <w:u w:val="single"/>
        </w:rPr>
        <w:t>Trends Analysis, strengths and threats. </w:t>
      </w:r>
    </w:p>
    <w:tbl>
      <w:tblPr>
        <w:tblStyle w:val="GridTable4-Accent4"/>
        <w:tblW w:w="9092" w:type="dxa"/>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3424"/>
        <w:gridCol w:w="3988"/>
      </w:tblGrid>
      <w:tr w:rsidR="00D60836" w:rsidRPr="00DE585B" w:rsidTr="004E4A98">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rsidR="004D6020" w:rsidRPr="00DE585B" w:rsidRDefault="004D6020" w:rsidP="004D6020">
            <w:pPr>
              <w:rPr>
                <w:rFonts w:ascii="Arial" w:hAnsi="Arial" w:cs="Arial"/>
                <w:sz w:val="24"/>
                <w:szCs w:val="24"/>
              </w:rPr>
            </w:pPr>
            <w:r w:rsidRPr="00DE585B">
              <w:rPr>
                <w:rFonts w:ascii="Arial" w:hAnsi="Arial" w:cs="Arial"/>
                <w:sz w:val="24"/>
                <w:szCs w:val="24"/>
              </w:rPr>
              <w:t>Category</w:t>
            </w:r>
          </w:p>
        </w:tc>
        <w:tc>
          <w:tcPr>
            <w:tcW w:w="0" w:type="auto"/>
            <w:hideMark/>
          </w:tcPr>
          <w:p w:rsidR="004D6020" w:rsidRPr="00DE585B" w:rsidRDefault="004D6020" w:rsidP="004D602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Primary Strength(s)</w:t>
            </w:r>
          </w:p>
        </w:tc>
        <w:tc>
          <w:tcPr>
            <w:tcW w:w="0" w:type="auto"/>
            <w:hideMark/>
          </w:tcPr>
          <w:p w:rsidR="004D6020" w:rsidRPr="00DE585B" w:rsidRDefault="004D6020" w:rsidP="004D602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Major Threat(s)</w:t>
            </w:r>
          </w:p>
        </w:tc>
      </w:tr>
      <w:tr w:rsidR="00D60836" w:rsidRPr="00DE585B" w:rsidTr="004E4A9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rsidR="004D6020" w:rsidRPr="00DE585B" w:rsidRDefault="004D6020" w:rsidP="004D6020">
            <w:pPr>
              <w:rPr>
                <w:rFonts w:ascii="Arial" w:hAnsi="Arial" w:cs="Arial"/>
                <w:sz w:val="24"/>
                <w:szCs w:val="24"/>
              </w:rPr>
            </w:pPr>
            <w:r w:rsidRPr="00DE585B">
              <w:rPr>
                <w:rFonts w:ascii="Arial" w:hAnsi="Arial" w:cs="Arial"/>
                <w:sz w:val="24"/>
                <w:szCs w:val="24"/>
              </w:rPr>
              <w:t>Profitability</w:t>
            </w:r>
          </w:p>
        </w:tc>
        <w:tc>
          <w:tcPr>
            <w:tcW w:w="0" w:type="auto"/>
            <w:hideMark/>
          </w:tcPr>
          <w:p w:rsidR="004D6020" w:rsidRPr="00DE585B" w:rsidRDefault="000F5DA5" w:rsidP="004E4A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The Gross Profit Margin (GPM) recovered slightly to 28.87% in FY2024, having crashed in FY2023.</w:t>
            </w:r>
          </w:p>
        </w:tc>
        <w:tc>
          <w:tcPr>
            <w:tcW w:w="0" w:type="auto"/>
            <w:hideMark/>
          </w:tcPr>
          <w:p w:rsidR="004D6020" w:rsidRPr="00DE585B" w:rsidRDefault="000F5DA5" w:rsidP="004E4A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Systemic Value Destruction. The company is not generating profits from its core operations, and quickly burning cash.</w:t>
            </w:r>
          </w:p>
        </w:tc>
      </w:tr>
      <w:tr w:rsidR="00D60836" w:rsidRPr="00DE585B" w:rsidTr="004E4A98">
        <w:trPr>
          <w:trHeight w:val="395"/>
        </w:trPr>
        <w:tc>
          <w:tcPr>
            <w:cnfStyle w:val="001000000000" w:firstRow="0" w:lastRow="0" w:firstColumn="1" w:lastColumn="0" w:oddVBand="0" w:evenVBand="0" w:oddHBand="0" w:evenHBand="0" w:firstRowFirstColumn="0" w:firstRowLastColumn="0" w:lastRowFirstColumn="0" w:lastRowLastColumn="0"/>
            <w:tcW w:w="0" w:type="auto"/>
            <w:hideMark/>
          </w:tcPr>
          <w:p w:rsidR="004D6020" w:rsidRPr="00DE585B" w:rsidRDefault="004D6020" w:rsidP="004D6020">
            <w:pPr>
              <w:rPr>
                <w:rFonts w:ascii="Arial" w:hAnsi="Arial" w:cs="Arial"/>
                <w:sz w:val="24"/>
                <w:szCs w:val="24"/>
              </w:rPr>
            </w:pPr>
            <w:r w:rsidRPr="00DE585B">
              <w:rPr>
                <w:rFonts w:ascii="Arial" w:hAnsi="Arial" w:cs="Arial"/>
                <w:sz w:val="24"/>
                <w:szCs w:val="24"/>
              </w:rPr>
              <w:t>Liquidity</w:t>
            </w:r>
          </w:p>
        </w:tc>
        <w:tc>
          <w:tcPr>
            <w:tcW w:w="0" w:type="auto"/>
            <w:hideMark/>
          </w:tcPr>
          <w:p w:rsidR="004D6020" w:rsidRPr="00DE585B" w:rsidRDefault="000F5DA5" w:rsidP="004E4A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Current Ratio (1.53x) remains above the minimum safety threshold of 1.0x.</w:t>
            </w:r>
          </w:p>
        </w:tc>
        <w:tc>
          <w:tcPr>
            <w:tcW w:w="0" w:type="auto"/>
            <w:hideMark/>
          </w:tcPr>
          <w:p w:rsidR="004D6020" w:rsidRPr="00DE585B" w:rsidRDefault="000F5DA5" w:rsidP="004E4A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 xml:space="preserve">Fragile Liquidity. Quick Ratio (1.03x) tight, high reliance on questionable Inventory to pay short term-obligations. </w:t>
            </w:r>
          </w:p>
        </w:tc>
      </w:tr>
      <w:tr w:rsidR="00D60836" w:rsidRPr="00DE585B" w:rsidTr="004E4A9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rsidR="004D6020" w:rsidRPr="00DE585B" w:rsidRDefault="004D6020" w:rsidP="004D6020">
            <w:pPr>
              <w:rPr>
                <w:rFonts w:ascii="Arial" w:hAnsi="Arial" w:cs="Arial"/>
                <w:sz w:val="24"/>
                <w:szCs w:val="24"/>
              </w:rPr>
            </w:pPr>
            <w:r w:rsidRPr="00DE585B">
              <w:rPr>
                <w:rFonts w:ascii="Arial" w:hAnsi="Arial" w:cs="Arial"/>
                <w:sz w:val="24"/>
                <w:szCs w:val="24"/>
              </w:rPr>
              <w:t>Gearing (Solvency)</w:t>
            </w:r>
          </w:p>
        </w:tc>
        <w:tc>
          <w:tcPr>
            <w:tcW w:w="0" w:type="auto"/>
            <w:hideMark/>
          </w:tcPr>
          <w:p w:rsidR="004D6020" w:rsidRPr="00DE585B" w:rsidRDefault="000F5DA5" w:rsidP="004E4A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The Non-Current Asset base has contracted, matching long-term assets with reduced revenue (NCAT recovery).</w:t>
            </w:r>
          </w:p>
        </w:tc>
        <w:tc>
          <w:tcPr>
            <w:tcW w:w="0" w:type="auto"/>
            <w:hideMark/>
          </w:tcPr>
          <w:p w:rsidR="004D6020" w:rsidRPr="00DE585B" w:rsidRDefault="000F5DA5" w:rsidP="004E4A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Severe Solvency Crisis. The creditors’ claim on assets of 1.11x D/E is now greater than the creditors' claim on assets. Financial risk of default</w:t>
            </w:r>
            <w:proofErr w:type="gramStart"/>
            <w:r w:rsidRPr="00DE585B">
              <w:rPr>
                <w:rFonts w:ascii="Arial" w:hAnsi="Arial" w:cs="Arial"/>
                <w:sz w:val="24"/>
                <w:szCs w:val="24"/>
              </w:rPr>
              <w:t>..</w:t>
            </w:r>
            <w:proofErr w:type="gramEnd"/>
          </w:p>
        </w:tc>
      </w:tr>
      <w:tr w:rsidR="00D60836" w:rsidRPr="00DE585B" w:rsidTr="004E4A98">
        <w:trPr>
          <w:trHeight w:val="395"/>
        </w:trPr>
        <w:tc>
          <w:tcPr>
            <w:cnfStyle w:val="001000000000" w:firstRow="0" w:lastRow="0" w:firstColumn="1" w:lastColumn="0" w:oddVBand="0" w:evenVBand="0" w:oddHBand="0" w:evenHBand="0" w:firstRowFirstColumn="0" w:firstRowLastColumn="0" w:lastRowFirstColumn="0" w:lastRowLastColumn="0"/>
            <w:tcW w:w="0" w:type="auto"/>
            <w:hideMark/>
          </w:tcPr>
          <w:p w:rsidR="004D6020" w:rsidRPr="00DE585B" w:rsidRDefault="004D6020" w:rsidP="004D6020">
            <w:pPr>
              <w:rPr>
                <w:rFonts w:ascii="Arial" w:hAnsi="Arial" w:cs="Arial"/>
                <w:sz w:val="24"/>
                <w:szCs w:val="24"/>
              </w:rPr>
            </w:pPr>
            <w:r w:rsidRPr="00DE585B">
              <w:rPr>
                <w:rFonts w:ascii="Arial" w:hAnsi="Arial" w:cs="Arial"/>
                <w:sz w:val="24"/>
                <w:szCs w:val="24"/>
              </w:rPr>
              <w:t>Investment</w:t>
            </w:r>
          </w:p>
        </w:tc>
        <w:tc>
          <w:tcPr>
            <w:tcW w:w="0" w:type="auto"/>
            <w:hideMark/>
          </w:tcPr>
          <w:p w:rsidR="004D6020" w:rsidRPr="00DE585B" w:rsidRDefault="000F5DA5" w:rsidP="004E4A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None. The company is burning capital and anti-generating returns.</w:t>
            </w:r>
          </w:p>
        </w:tc>
        <w:tc>
          <w:tcPr>
            <w:tcW w:w="0" w:type="auto"/>
            <w:hideMark/>
          </w:tcPr>
          <w:p w:rsidR="004D6020" w:rsidRPr="00DE585B" w:rsidRDefault="000F5DA5" w:rsidP="004E4A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ROE of −14.47% indicates the company is actively destroying shareholder capital and is not able to support the valuation.</w:t>
            </w:r>
          </w:p>
        </w:tc>
      </w:tr>
      <w:tr w:rsidR="00D60836" w:rsidRPr="00DE585B" w:rsidTr="004E4A9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rsidR="004D6020" w:rsidRPr="00DE585B" w:rsidRDefault="004D6020" w:rsidP="004D6020">
            <w:pPr>
              <w:rPr>
                <w:rFonts w:ascii="Arial" w:hAnsi="Arial" w:cs="Arial"/>
                <w:sz w:val="24"/>
                <w:szCs w:val="24"/>
              </w:rPr>
            </w:pPr>
            <w:r w:rsidRPr="00DE585B">
              <w:rPr>
                <w:rFonts w:ascii="Arial" w:hAnsi="Arial" w:cs="Arial"/>
                <w:sz w:val="24"/>
                <w:szCs w:val="24"/>
              </w:rPr>
              <w:t>Cash Flow</w:t>
            </w:r>
          </w:p>
        </w:tc>
        <w:tc>
          <w:tcPr>
            <w:tcW w:w="0" w:type="auto"/>
            <w:hideMark/>
          </w:tcPr>
          <w:p w:rsidR="004D6020" w:rsidRPr="00DE585B" w:rsidRDefault="000F5DA5" w:rsidP="004E4A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The Inventory Days cycle has contracted from 129 days (FY2023) to 108.9 days (FY2024), improving working capital flow.</w:t>
            </w:r>
          </w:p>
        </w:tc>
        <w:tc>
          <w:tcPr>
            <w:tcW w:w="0" w:type="auto"/>
            <w:hideMark/>
          </w:tcPr>
          <w:p w:rsidR="004D6020" w:rsidRPr="00DE585B" w:rsidRDefault="000F5DA5" w:rsidP="004E4A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Unsustainable Working Capital Drain. FY2023 was characterized by huge cash tied up in dead inventory, causing the crisis.</w:t>
            </w:r>
          </w:p>
        </w:tc>
      </w:tr>
    </w:tbl>
    <w:p w:rsidR="004D6020" w:rsidRPr="009D3B0B" w:rsidRDefault="00D60836" w:rsidP="00D60836">
      <w:pPr>
        <w:spacing w:line="360" w:lineRule="auto"/>
        <w:ind w:left="737" w:right="737"/>
        <w:jc w:val="center"/>
      </w:pPr>
      <w:r w:rsidRPr="00DE585B">
        <w:rPr>
          <w:rFonts w:ascii="Arial" w:hAnsi="Arial" w:cs="Arial"/>
          <w:b/>
          <w:i/>
          <w:sz w:val="24"/>
          <w:szCs w:val="24"/>
          <w:u w:val="single"/>
        </w:rPr>
        <w:t xml:space="preserve">Table 1.14 Trend </w:t>
      </w:r>
      <w:proofErr w:type="gramStart"/>
      <w:r w:rsidRPr="00DE585B">
        <w:rPr>
          <w:rFonts w:ascii="Arial" w:hAnsi="Arial" w:cs="Arial"/>
          <w:b/>
          <w:i/>
          <w:sz w:val="24"/>
          <w:szCs w:val="24"/>
          <w:u w:val="single"/>
        </w:rPr>
        <w:t>Summary</w:t>
      </w:r>
      <w:r w:rsidR="009D3B0B">
        <w:rPr>
          <w:rFonts w:ascii="Arial" w:hAnsi="Arial" w:cs="Arial"/>
          <w:b/>
          <w:i/>
          <w:sz w:val="24"/>
          <w:szCs w:val="24"/>
          <w:u w:val="single"/>
        </w:rPr>
        <w:t xml:space="preserve"> </w:t>
      </w:r>
      <w:r w:rsidR="009D3B0B">
        <w:t xml:space="preserve"> </w:t>
      </w:r>
      <w:r w:rsidR="009D3B0B">
        <w:rPr>
          <w:rFonts w:ascii="Arial" w:hAnsi="Arial" w:cs="Arial"/>
          <w:b/>
          <w:bCs/>
          <w:i/>
          <w:sz w:val="24"/>
          <w:szCs w:val="24"/>
          <w:u w:val="single"/>
          <w:lang w:val="en-GB"/>
        </w:rPr>
        <w:t>(</w:t>
      </w:r>
      <w:proofErr w:type="spellStart"/>
      <w:proofErr w:type="gramEnd"/>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4D6020" w:rsidRPr="00DE585B" w:rsidRDefault="00D60836" w:rsidP="00D60836">
      <w:pPr>
        <w:spacing w:line="360" w:lineRule="auto"/>
        <w:ind w:left="737" w:right="737"/>
        <w:jc w:val="both"/>
        <w:rPr>
          <w:rFonts w:ascii="Arial" w:hAnsi="Arial" w:cs="Arial"/>
          <w:sz w:val="24"/>
          <w:szCs w:val="24"/>
        </w:rPr>
      </w:pPr>
      <w:r w:rsidRPr="00DE585B">
        <w:rPr>
          <w:rFonts w:ascii="Arial" w:hAnsi="Arial" w:cs="Arial"/>
          <w:sz w:val="24"/>
          <w:szCs w:val="24"/>
        </w:rPr>
        <w:t xml:space="preserve">The present circumstances cannot continue. The business must prioritize on preservation of cash ad fast conversion of liquid assets with a focus on aggressively managing payables. Operational Improvement implementation of deep and sustained improvements in Inventory Days which will reduce cash tied up in working capital. </w:t>
      </w:r>
      <w:r w:rsidRPr="00DE585B">
        <w:rPr>
          <w:rFonts w:ascii="Arial" w:hAnsi="Arial" w:cs="Arial"/>
          <w:sz w:val="24"/>
          <w:szCs w:val="24"/>
        </w:rPr>
        <w:lastRenderedPageBreak/>
        <w:t>Reduction of Structural Debt the high debt load and associated interest expense will remain a drag on our negative Net Profit Margin and create the need for an equity contribution or a significant restructuring of our debts.</w:t>
      </w:r>
    </w:p>
    <w:p w:rsidR="004D6020" w:rsidRPr="00DE585B" w:rsidRDefault="004D6020" w:rsidP="004D6020">
      <w:pPr>
        <w:spacing w:line="360" w:lineRule="auto"/>
        <w:ind w:left="737" w:right="737"/>
        <w:jc w:val="both"/>
        <w:rPr>
          <w:rFonts w:ascii="Arial" w:hAnsi="Arial" w:cs="Arial"/>
          <w:sz w:val="24"/>
          <w:szCs w:val="24"/>
        </w:rPr>
      </w:pPr>
    </w:p>
    <w:p w:rsidR="000C2922" w:rsidRPr="00DE585B" w:rsidRDefault="000C2922" w:rsidP="000C2922">
      <w:pPr>
        <w:pStyle w:val="ListParagraph"/>
        <w:spacing w:before="120" w:after="280" w:line="360" w:lineRule="auto"/>
        <w:jc w:val="both"/>
        <w:rPr>
          <w:rFonts w:ascii="Arial" w:hAnsi="Arial" w:cs="Arial"/>
          <w:b/>
          <w:sz w:val="24"/>
          <w:szCs w:val="24"/>
        </w:rPr>
      </w:pPr>
      <w:bookmarkStart w:id="3" w:name="_Toc213103742"/>
      <w:r w:rsidRPr="00DE585B">
        <w:rPr>
          <w:rFonts w:ascii="Arial" w:hAnsi="Arial" w:cs="Arial"/>
          <w:b/>
          <w:sz w:val="24"/>
          <w:szCs w:val="24"/>
        </w:rPr>
        <w:t>Corporate Failure Prediction – Altman Z-Score</w:t>
      </w:r>
      <w:bookmarkEnd w:id="3"/>
    </w:p>
    <w:p w:rsidR="000C2922" w:rsidRPr="00DE585B" w:rsidRDefault="000C2922" w:rsidP="000C2922">
      <w:pPr>
        <w:pStyle w:val="ListParagraph"/>
        <w:numPr>
          <w:ilvl w:val="0"/>
          <w:numId w:val="14"/>
        </w:numPr>
        <w:spacing w:before="120" w:after="280" w:line="360" w:lineRule="auto"/>
        <w:jc w:val="both"/>
        <w:rPr>
          <w:rFonts w:ascii="Arial" w:hAnsi="Arial" w:cs="Arial"/>
          <w:sz w:val="24"/>
          <w:szCs w:val="24"/>
        </w:rPr>
      </w:pPr>
      <w:r w:rsidRPr="00DE585B">
        <w:rPr>
          <w:rFonts w:ascii="Arial" w:hAnsi="Arial" w:cs="Arial"/>
          <w:sz w:val="24"/>
          <w:szCs w:val="24"/>
        </w:rPr>
        <w:t>In order to determine the probability of bankruptcy, Altman Z-Score model (1968) has been used with the 2024 financial data.</w:t>
      </w:r>
    </w:p>
    <w:p w:rsidR="000C2922" w:rsidRPr="00DE585B" w:rsidRDefault="000C2922" w:rsidP="000C2922">
      <w:pPr>
        <w:spacing w:line="360" w:lineRule="auto"/>
        <w:jc w:val="center"/>
        <w:rPr>
          <w:rFonts w:ascii="Arial" w:hAnsi="Arial" w:cs="Arial"/>
          <w:sz w:val="24"/>
          <w:szCs w:val="24"/>
        </w:rPr>
      </w:pPr>
      <w:r w:rsidRPr="00DE585B">
        <w:rPr>
          <w:rFonts w:ascii="Arial" w:hAnsi="Arial" w:cs="Arial"/>
          <w:noProof/>
          <w:sz w:val="24"/>
          <w:szCs w:val="24"/>
        </w:rPr>
        <w:drawing>
          <wp:inline distT="0" distB="0" distL="0" distR="0" wp14:anchorId="5D767DB8" wp14:editId="25C1DE74">
            <wp:extent cx="2978303" cy="254013"/>
            <wp:effectExtent l="0" t="0" r="0" b="0"/>
            <wp:docPr id="933535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535246" name=""/>
                    <pic:cNvPicPr/>
                  </pic:nvPicPr>
                  <pic:blipFill>
                    <a:blip r:embed="rId19"/>
                    <a:stretch>
                      <a:fillRect/>
                    </a:stretch>
                  </pic:blipFill>
                  <pic:spPr>
                    <a:xfrm>
                      <a:off x="0" y="0"/>
                      <a:ext cx="2978303" cy="254013"/>
                    </a:xfrm>
                    <a:prstGeom prst="rect">
                      <a:avLst/>
                    </a:prstGeom>
                  </pic:spPr>
                </pic:pic>
              </a:graphicData>
            </a:graphic>
          </wp:inline>
        </w:drawing>
      </w:r>
    </w:p>
    <w:p w:rsidR="000C2922" w:rsidRPr="00DE585B" w:rsidRDefault="000C2922" w:rsidP="007367D1">
      <w:pPr>
        <w:spacing w:line="360" w:lineRule="auto"/>
        <w:ind w:left="737" w:right="737"/>
        <w:rPr>
          <w:rFonts w:ascii="Arial" w:hAnsi="Arial" w:cs="Arial"/>
          <w:sz w:val="24"/>
          <w:szCs w:val="24"/>
        </w:rPr>
      </w:pPr>
      <w:r w:rsidRPr="00DE585B">
        <w:rPr>
          <w:rFonts w:ascii="Arial" w:hAnsi="Arial" w:cs="Arial"/>
          <w:sz w:val="24"/>
          <w:szCs w:val="24"/>
        </w:rPr>
        <w:t>Where:</w:t>
      </w:r>
    </w:p>
    <w:p w:rsidR="000C2922" w:rsidRPr="00DE585B" w:rsidRDefault="003754BF" w:rsidP="007367D1">
      <w:pPr>
        <w:pStyle w:val="ListParagraph"/>
        <w:numPr>
          <w:ilvl w:val="0"/>
          <w:numId w:val="14"/>
        </w:numPr>
        <w:spacing w:before="120" w:after="280" w:line="360" w:lineRule="auto"/>
        <w:ind w:left="737" w:right="737"/>
        <w:jc w:val="both"/>
        <w:rPr>
          <w:rFonts w:ascii="Arial" w:hAnsi="Arial" w:cs="Arial"/>
          <w:sz w:val="24"/>
          <w:szCs w:val="24"/>
        </w:rPr>
      </w:pP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1</m:t>
            </m:r>
          </m:sub>
        </m:sSub>
      </m:oMath>
      <w:r w:rsidR="000C2922" w:rsidRPr="00DE585B">
        <w:rPr>
          <w:rFonts w:ascii="Arial" w:hAnsi="Arial" w:cs="Arial"/>
          <w:sz w:val="24"/>
          <w:szCs w:val="24"/>
        </w:rPr>
        <w:t>= Working Capital / Total Assets</w:t>
      </w:r>
    </w:p>
    <w:p w:rsidR="000C2922" w:rsidRPr="00DE585B" w:rsidRDefault="003754BF" w:rsidP="007367D1">
      <w:pPr>
        <w:pStyle w:val="ListParagraph"/>
        <w:numPr>
          <w:ilvl w:val="0"/>
          <w:numId w:val="14"/>
        </w:numPr>
        <w:spacing w:before="120" w:after="280" w:line="360" w:lineRule="auto"/>
        <w:ind w:left="737" w:right="737"/>
        <w:jc w:val="both"/>
        <w:rPr>
          <w:rFonts w:ascii="Arial" w:hAnsi="Arial" w:cs="Arial"/>
          <w:sz w:val="24"/>
          <w:szCs w:val="24"/>
        </w:rPr>
      </w:pP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2</m:t>
            </m:r>
          </m:sub>
        </m:sSub>
      </m:oMath>
      <w:r w:rsidR="000C2922" w:rsidRPr="00DE585B">
        <w:rPr>
          <w:rFonts w:ascii="Arial" w:hAnsi="Arial" w:cs="Arial"/>
          <w:sz w:val="24"/>
          <w:szCs w:val="24"/>
        </w:rPr>
        <w:t>= Retained Earnings / Total Assets</w:t>
      </w:r>
    </w:p>
    <w:p w:rsidR="000C2922" w:rsidRPr="00DE585B" w:rsidRDefault="003754BF" w:rsidP="007367D1">
      <w:pPr>
        <w:pStyle w:val="ListParagraph"/>
        <w:numPr>
          <w:ilvl w:val="0"/>
          <w:numId w:val="14"/>
        </w:numPr>
        <w:spacing w:before="120" w:after="280" w:line="360" w:lineRule="auto"/>
        <w:ind w:left="737" w:right="737"/>
        <w:jc w:val="both"/>
        <w:rPr>
          <w:rFonts w:ascii="Arial" w:hAnsi="Arial" w:cs="Arial"/>
          <w:sz w:val="24"/>
          <w:szCs w:val="24"/>
        </w:rPr>
      </w:pP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3</m:t>
            </m:r>
          </m:sub>
        </m:sSub>
      </m:oMath>
      <w:r w:rsidR="000C2922" w:rsidRPr="00DE585B">
        <w:rPr>
          <w:rFonts w:ascii="Arial" w:hAnsi="Arial" w:cs="Arial"/>
          <w:sz w:val="24"/>
          <w:szCs w:val="24"/>
        </w:rPr>
        <w:t>= EBIT / Total Assets</w:t>
      </w:r>
    </w:p>
    <w:p w:rsidR="000C2922" w:rsidRPr="00DE585B" w:rsidRDefault="003754BF" w:rsidP="007367D1">
      <w:pPr>
        <w:pStyle w:val="ListParagraph"/>
        <w:numPr>
          <w:ilvl w:val="0"/>
          <w:numId w:val="14"/>
        </w:numPr>
        <w:spacing w:before="120" w:after="280" w:line="360" w:lineRule="auto"/>
        <w:ind w:left="737" w:right="737"/>
        <w:jc w:val="both"/>
        <w:rPr>
          <w:rFonts w:ascii="Arial" w:hAnsi="Arial" w:cs="Arial"/>
          <w:sz w:val="24"/>
          <w:szCs w:val="24"/>
        </w:rPr>
      </w:pP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4</m:t>
            </m:r>
          </m:sub>
        </m:sSub>
      </m:oMath>
      <w:r w:rsidR="000C2922" w:rsidRPr="00DE585B">
        <w:rPr>
          <w:rFonts w:ascii="Arial" w:hAnsi="Arial" w:cs="Arial"/>
          <w:sz w:val="24"/>
          <w:szCs w:val="24"/>
        </w:rPr>
        <w:t>= Market Value of Equity / Total Liabilities</w:t>
      </w:r>
    </w:p>
    <w:p w:rsidR="000C2922" w:rsidRPr="00DE585B" w:rsidRDefault="003754BF" w:rsidP="007367D1">
      <w:pPr>
        <w:pStyle w:val="ListParagraph"/>
        <w:numPr>
          <w:ilvl w:val="0"/>
          <w:numId w:val="14"/>
        </w:numPr>
        <w:spacing w:before="120" w:after="280" w:line="360" w:lineRule="auto"/>
        <w:ind w:left="737" w:right="737"/>
        <w:jc w:val="both"/>
        <w:rPr>
          <w:rFonts w:ascii="Arial" w:hAnsi="Arial" w:cs="Arial"/>
          <w:sz w:val="24"/>
          <w:szCs w:val="24"/>
        </w:rPr>
      </w:pP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5</m:t>
            </m:r>
          </m:sub>
        </m:sSub>
      </m:oMath>
      <w:r w:rsidR="000C2922" w:rsidRPr="00DE585B">
        <w:rPr>
          <w:rFonts w:ascii="Arial" w:hAnsi="Arial" w:cs="Arial"/>
          <w:sz w:val="24"/>
          <w:szCs w:val="24"/>
        </w:rPr>
        <w:t>= Sales / Total Assets</w:t>
      </w:r>
    </w:p>
    <w:p w:rsidR="000C2922" w:rsidRPr="00DE585B" w:rsidRDefault="000C2922" w:rsidP="007367D1">
      <w:pPr>
        <w:spacing w:line="360" w:lineRule="auto"/>
        <w:ind w:left="737" w:right="737"/>
        <w:rPr>
          <w:rFonts w:ascii="Arial" w:hAnsi="Arial" w:cs="Arial"/>
          <w:sz w:val="24"/>
          <w:szCs w:val="24"/>
        </w:rPr>
      </w:pPr>
      <w:r w:rsidRPr="00DE585B">
        <w:rPr>
          <w:rFonts w:ascii="Arial" w:hAnsi="Arial" w:cs="Arial"/>
          <w:sz w:val="24"/>
          <w:szCs w:val="24"/>
        </w:rPr>
        <w:t>2024 approximations (based on provided data):</w:t>
      </w:r>
    </w:p>
    <w:p w:rsidR="000C2922" w:rsidRPr="00DE585B" w:rsidRDefault="000C2922" w:rsidP="007367D1">
      <w:pPr>
        <w:pStyle w:val="ListParagraph"/>
        <w:numPr>
          <w:ilvl w:val="0"/>
          <w:numId w:val="15"/>
        </w:numPr>
        <w:spacing w:before="120" w:after="280" w:line="360" w:lineRule="auto"/>
        <w:ind w:left="737" w:right="737"/>
        <w:jc w:val="both"/>
        <w:rPr>
          <w:rFonts w:ascii="Arial" w:hAnsi="Arial" w:cs="Arial"/>
          <w:sz w:val="24"/>
          <w:szCs w:val="24"/>
        </w:rPr>
      </w:pPr>
      <w:r w:rsidRPr="00DE585B">
        <w:rPr>
          <w:rFonts w:ascii="Arial" w:hAnsi="Arial" w:cs="Arial"/>
          <w:sz w:val="24"/>
          <w:szCs w:val="24"/>
        </w:rPr>
        <w:t>Working Capital = (242,494 – 158,291) = 84,203</w:t>
      </w:r>
    </w:p>
    <w:p w:rsidR="000C2922" w:rsidRPr="00DE585B" w:rsidRDefault="000C2922" w:rsidP="007367D1">
      <w:pPr>
        <w:pStyle w:val="ListParagraph"/>
        <w:numPr>
          <w:ilvl w:val="0"/>
          <w:numId w:val="15"/>
        </w:numPr>
        <w:spacing w:before="120" w:after="280" w:line="360" w:lineRule="auto"/>
        <w:ind w:left="737" w:right="737"/>
        <w:jc w:val="both"/>
        <w:rPr>
          <w:rFonts w:ascii="Arial" w:hAnsi="Arial" w:cs="Arial"/>
          <w:sz w:val="24"/>
          <w:szCs w:val="24"/>
        </w:rPr>
      </w:pPr>
      <w:r w:rsidRPr="00DE585B">
        <w:rPr>
          <w:rFonts w:ascii="Arial" w:hAnsi="Arial" w:cs="Arial"/>
          <w:sz w:val="24"/>
          <w:szCs w:val="24"/>
        </w:rPr>
        <w:t xml:space="preserve">Total Assets = 323,354 → </w:t>
      </w: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1</m:t>
            </m:r>
          </m:sub>
        </m:sSub>
        <m:r>
          <m:rPr>
            <m:sty m:val="p"/>
          </m:rPr>
          <w:rPr>
            <w:rFonts w:ascii="Cambria Math" w:hAnsi="Cambria Math" w:cs="Arial"/>
            <w:sz w:val="24"/>
            <w:szCs w:val="24"/>
          </w:rPr>
          <m:t>=0.26</m:t>
        </m:r>
      </m:oMath>
    </w:p>
    <w:p w:rsidR="000C2922" w:rsidRPr="00DE585B" w:rsidRDefault="000C2922" w:rsidP="007367D1">
      <w:pPr>
        <w:pStyle w:val="ListParagraph"/>
        <w:numPr>
          <w:ilvl w:val="0"/>
          <w:numId w:val="15"/>
        </w:numPr>
        <w:spacing w:before="120" w:after="280" w:line="360" w:lineRule="auto"/>
        <w:ind w:left="737" w:right="737"/>
        <w:jc w:val="both"/>
        <w:rPr>
          <w:rFonts w:ascii="Arial" w:hAnsi="Arial" w:cs="Arial"/>
          <w:sz w:val="24"/>
          <w:szCs w:val="24"/>
        </w:rPr>
      </w:pPr>
      <w:r w:rsidRPr="00DE585B">
        <w:rPr>
          <w:rFonts w:ascii="Arial" w:hAnsi="Arial" w:cs="Arial"/>
          <w:sz w:val="24"/>
          <w:szCs w:val="24"/>
        </w:rPr>
        <w:t xml:space="preserve">Retained Earnings = 208,431 → </w:t>
      </w: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2</m:t>
            </m:r>
          </m:sub>
        </m:sSub>
        <m:r>
          <m:rPr>
            <m:sty m:val="p"/>
          </m:rPr>
          <w:rPr>
            <w:rFonts w:ascii="Cambria Math" w:hAnsi="Cambria Math" w:cs="Arial"/>
            <w:sz w:val="24"/>
            <w:szCs w:val="24"/>
          </w:rPr>
          <m:t>=0.64</m:t>
        </m:r>
      </m:oMath>
    </w:p>
    <w:p w:rsidR="000C2922" w:rsidRPr="00DE585B" w:rsidRDefault="000C2922" w:rsidP="007367D1">
      <w:pPr>
        <w:pStyle w:val="ListParagraph"/>
        <w:numPr>
          <w:ilvl w:val="0"/>
          <w:numId w:val="15"/>
        </w:numPr>
        <w:spacing w:before="120" w:after="280" w:line="360" w:lineRule="auto"/>
        <w:ind w:left="737" w:right="737"/>
        <w:jc w:val="both"/>
        <w:rPr>
          <w:rFonts w:ascii="Arial" w:hAnsi="Arial" w:cs="Arial"/>
          <w:sz w:val="24"/>
          <w:szCs w:val="24"/>
        </w:rPr>
      </w:pPr>
      <w:r w:rsidRPr="00DE585B">
        <w:rPr>
          <w:rFonts w:ascii="Arial" w:hAnsi="Arial" w:cs="Arial"/>
          <w:sz w:val="24"/>
          <w:szCs w:val="24"/>
        </w:rPr>
        <w:t xml:space="preserve">EBIT (Operating Income) = –15,297 → </w:t>
      </w: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3</m:t>
            </m:r>
          </m:sub>
        </m:sSub>
        <m:r>
          <m:rPr>
            <m:sty m:val="p"/>
          </m:rPr>
          <w:rPr>
            <w:rFonts w:ascii="Cambria Math" w:hAnsi="Cambria Math" w:cs="Arial"/>
            <w:sz w:val="24"/>
            <w:szCs w:val="24"/>
          </w:rPr>
          <m:t>=</m:t>
        </m:r>
        <m:r>
          <m:rPr>
            <m:nor/>
          </m:rPr>
          <w:rPr>
            <w:rFonts w:ascii="Arial" w:hAnsi="Arial" w:cs="Arial"/>
            <w:sz w:val="24"/>
            <w:szCs w:val="24"/>
          </w:rPr>
          <m:t>–</m:t>
        </m:r>
        <m:r>
          <m:rPr>
            <m:sty m:val="p"/>
          </m:rPr>
          <w:rPr>
            <w:rFonts w:ascii="Cambria Math" w:hAnsi="Cambria Math" w:cs="Arial"/>
            <w:sz w:val="24"/>
            <w:szCs w:val="24"/>
          </w:rPr>
          <m:t>0.05</m:t>
        </m:r>
      </m:oMath>
    </w:p>
    <w:p w:rsidR="000C2922" w:rsidRPr="00DE585B" w:rsidRDefault="000C2922" w:rsidP="007367D1">
      <w:pPr>
        <w:pStyle w:val="ListParagraph"/>
        <w:numPr>
          <w:ilvl w:val="0"/>
          <w:numId w:val="15"/>
        </w:numPr>
        <w:spacing w:before="120" w:after="280" w:line="360" w:lineRule="auto"/>
        <w:ind w:left="737" w:right="737"/>
        <w:jc w:val="both"/>
        <w:rPr>
          <w:rFonts w:ascii="Arial" w:hAnsi="Arial" w:cs="Arial"/>
          <w:sz w:val="24"/>
          <w:szCs w:val="24"/>
        </w:rPr>
      </w:pPr>
      <w:r w:rsidRPr="00DE585B">
        <w:rPr>
          <w:rFonts w:ascii="Arial" w:hAnsi="Arial" w:cs="Arial"/>
          <w:sz w:val="24"/>
          <w:szCs w:val="24"/>
        </w:rPr>
        <w:t xml:space="preserve">Market Value of Equity ≈ Total Shareholders’ Equity = 153,105; Total Liabilities = 170,249 → </w:t>
      </w: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4</m:t>
            </m:r>
          </m:sub>
        </m:sSub>
        <m:r>
          <m:rPr>
            <m:sty m:val="p"/>
          </m:rPr>
          <w:rPr>
            <w:rFonts w:ascii="Cambria Math" w:hAnsi="Cambria Math" w:cs="Arial"/>
            <w:sz w:val="24"/>
            <w:szCs w:val="24"/>
          </w:rPr>
          <m:t>=0.90</m:t>
        </m:r>
      </m:oMath>
    </w:p>
    <w:p w:rsidR="000C2922" w:rsidRPr="00DE585B" w:rsidRDefault="000C2922" w:rsidP="007367D1">
      <w:pPr>
        <w:pStyle w:val="ListParagraph"/>
        <w:numPr>
          <w:ilvl w:val="0"/>
          <w:numId w:val="15"/>
        </w:numPr>
        <w:spacing w:before="120" w:after="280" w:line="360" w:lineRule="auto"/>
        <w:ind w:left="737" w:right="737"/>
        <w:jc w:val="both"/>
        <w:rPr>
          <w:rFonts w:ascii="Arial" w:hAnsi="Arial" w:cs="Arial"/>
          <w:sz w:val="24"/>
          <w:szCs w:val="24"/>
        </w:rPr>
      </w:pPr>
      <w:r w:rsidRPr="00DE585B">
        <w:rPr>
          <w:rFonts w:ascii="Arial" w:hAnsi="Arial" w:cs="Arial"/>
          <w:sz w:val="24"/>
          <w:szCs w:val="24"/>
        </w:rPr>
        <w:t xml:space="preserve">Sales = 394,879 → </w:t>
      </w:r>
      <m:oMath>
        <m:sSub>
          <m:sSubPr>
            <m:ctrlPr>
              <w:rPr>
                <w:rFonts w:ascii="Cambria Math" w:hAnsi="Cambria Math" w:cs="Arial"/>
                <w:sz w:val="24"/>
                <w:szCs w:val="24"/>
              </w:rPr>
            </m:ctrlPr>
          </m:sSubPr>
          <m:e>
            <m:r>
              <w:rPr>
                <w:rFonts w:ascii="Cambria Math" w:hAnsi="Cambria Math" w:cs="Arial"/>
                <w:sz w:val="24"/>
                <w:szCs w:val="24"/>
              </w:rPr>
              <m:t>X</m:t>
            </m:r>
          </m:e>
          <m:sub>
            <m:r>
              <m:rPr>
                <m:sty m:val="p"/>
              </m:rPr>
              <w:rPr>
                <w:rFonts w:ascii="Cambria Math" w:hAnsi="Cambria Math" w:cs="Arial"/>
                <w:sz w:val="24"/>
                <w:szCs w:val="24"/>
              </w:rPr>
              <m:t>5</m:t>
            </m:r>
          </m:sub>
        </m:sSub>
        <m:r>
          <m:rPr>
            <m:sty m:val="p"/>
          </m:rPr>
          <w:rPr>
            <w:rFonts w:ascii="Cambria Math" w:hAnsi="Cambria Math" w:cs="Arial"/>
            <w:sz w:val="24"/>
            <w:szCs w:val="24"/>
          </w:rPr>
          <m:t>=1.22</m:t>
        </m:r>
      </m:oMath>
    </w:p>
    <w:p w:rsidR="000C2922" w:rsidRPr="00DE585B" w:rsidRDefault="000C2922" w:rsidP="007367D1">
      <w:pPr>
        <w:spacing w:line="360" w:lineRule="auto"/>
        <w:ind w:left="737" w:right="737"/>
        <w:jc w:val="center"/>
        <w:rPr>
          <w:rFonts w:ascii="Arial" w:hAnsi="Arial" w:cs="Arial"/>
          <w:sz w:val="24"/>
          <w:szCs w:val="24"/>
        </w:rPr>
      </w:pPr>
      <w:r w:rsidRPr="00DE585B">
        <w:rPr>
          <w:rFonts w:ascii="Arial" w:hAnsi="Arial" w:cs="Arial"/>
          <w:noProof/>
          <w:sz w:val="24"/>
          <w:szCs w:val="24"/>
        </w:rPr>
        <w:drawing>
          <wp:inline distT="0" distB="0" distL="0" distR="0" wp14:anchorId="197FBD1E" wp14:editId="5486EB7C">
            <wp:extent cx="5188217" cy="596931"/>
            <wp:effectExtent l="0" t="0" r="0" b="0"/>
            <wp:docPr id="1409612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612120" name=""/>
                    <pic:cNvPicPr/>
                  </pic:nvPicPr>
                  <pic:blipFill>
                    <a:blip r:embed="rId20"/>
                    <a:stretch>
                      <a:fillRect/>
                    </a:stretch>
                  </pic:blipFill>
                  <pic:spPr>
                    <a:xfrm>
                      <a:off x="0" y="0"/>
                      <a:ext cx="5188217" cy="596931"/>
                    </a:xfrm>
                    <a:prstGeom prst="rect">
                      <a:avLst/>
                    </a:prstGeom>
                  </pic:spPr>
                </pic:pic>
              </a:graphicData>
            </a:graphic>
          </wp:inline>
        </w:drawing>
      </w:r>
    </w:p>
    <w:p w:rsidR="000C2922" w:rsidRPr="00DE585B" w:rsidRDefault="000C2922" w:rsidP="007367D1">
      <w:pPr>
        <w:spacing w:line="360" w:lineRule="auto"/>
        <w:ind w:left="737" w:right="737"/>
        <w:rPr>
          <w:rFonts w:ascii="Arial" w:hAnsi="Arial" w:cs="Arial"/>
          <w:sz w:val="24"/>
          <w:szCs w:val="24"/>
        </w:rPr>
      </w:pPr>
      <w:r w:rsidRPr="00DE585B">
        <w:rPr>
          <w:rFonts w:ascii="Arial" w:hAnsi="Arial" w:cs="Arial"/>
          <w:sz w:val="24"/>
          <w:szCs w:val="24"/>
        </w:rPr>
        <w:t>According to Altman’s benchmarks:</w:t>
      </w:r>
    </w:p>
    <w:p w:rsidR="000C2922" w:rsidRPr="00DE585B" w:rsidRDefault="000C2922" w:rsidP="007367D1">
      <w:pPr>
        <w:pStyle w:val="ListParagraph"/>
        <w:numPr>
          <w:ilvl w:val="0"/>
          <w:numId w:val="16"/>
        </w:numPr>
        <w:spacing w:before="120" w:after="280" w:line="360" w:lineRule="auto"/>
        <w:ind w:left="737" w:right="737"/>
        <w:jc w:val="both"/>
        <w:rPr>
          <w:rFonts w:ascii="Arial" w:hAnsi="Arial" w:cs="Arial"/>
          <w:sz w:val="24"/>
          <w:szCs w:val="24"/>
        </w:rPr>
      </w:pPr>
      <w:r w:rsidRPr="00DE585B">
        <w:rPr>
          <w:rFonts w:ascii="Arial" w:hAnsi="Arial" w:cs="Arial"/>
          <w:sz w:val="24"/>
          <w:szCs w:val="24"/>
        </w:rPr>
        <w:t>Z &gt; 2.99: Safe Zone</w:t>
      </w:r>
    </w:p>
    <w:p w:rsidR="000C2922" w:rsidRPr="00DE585B" w:rsidRDefault="000C2922" w:rsidP="007367D1">
      <w:pPr>
        <w:pStyle w:val="ListParagraph"/>
        <w:numPr>
          <w:ilvl w:val="0"/>
          <w:numId w:val="16"/>
        </w:numPr>
        <w:spacing w:before="120" w:after="280" w:line="360" w:lineRule="auto"/>
        <w:ind w:left="737" w:right="737"/>
        <w:jc w:val="both"/>
        <w:rPr>
          <w:rFonts w:ascii="Arial" w:hAnsi="Arial" w:cs="Arial"/>
          <w:sz w:val="24"/>
          <w:szCs w:val="24"/>
        </w:rPr>
      </w:pPr>
      <w:r w:rsidRPr="00DE585B">
        <w:rPr>
          <w:rFonts w:ascii="Arial" w:hAnsi="Arial" w:cs="Arial"/>
          <w:sz w:val="24"/>
          <w:szCs w:val="24"/>
        </w:rPr>
        <w:t>1.81 &lt; Z &lt; 2.99: Grey Zone</w:t>
      </w:r>
    </w:p>
    <w:p w:rsidR="000C2922" w:rsidRPr="00DE585B" w:rsidRDefault="000C2922" w:rsidP="007367D1">
      <w:pPr>
        <w:pStyle w:val="ListParagraph"/>
        <w:numPr>
          <w:ilvl w:val="0"/>
          <w:numId w:val="16"/>
        </w:numPr>
        <w:spacing w:before="120" w:after="280" w:line="360" w:lineRule="auto"/>
        <w:ind w:left="737" w:right="737"/>
        <w:jc w:val="both"/>
        <w:rPr>
          <w:rFonts w:ascii="Arial" w:hAnsi="Arial" w:cs="Arial"/>
          <w:sz w:val="24"/>
          <w:szCs w:val="24"/>
        </w:rPr>
      </w:pPr>
      <w:r w:rsidRPr="00DE585B">
        <w:rPr>
          <w:rFonts w:ascii="Arial" w:hAnsi="Arial" w:cs="Arial"/>
          <w:sz w:val="24"/>
          <w:szCs w:val="24"/>
        </w:rPr>
        <w:lastRenderedPageBreak/>
        <w:t>Z &lt; 1.81: Distress Zone</w:t>
      </w:r>
    </w:p>
    <w:p w:rsidR="004D6020" w:rsidRPr="00DE585B" w:rsidRDefault="000C2922" w:rsidP="007367D1">
      <w:pPr>
        <w:spacing w:line="360" w:lineRule="auto"/>
        <w:ind w:left="737" w:right="737"/>
        <w:jc w:val="both"/>
        <w:rPr>
          <w:rFonts w:ascii="Arial" w:hAnsi="Arial" w:cs="Arial"/>
          <w:sz w:val="24"/>
          <w:szCs w:val="24"/>
        </w:rPr>
      </w:pPr>
      <w:r w:rsidRPr="00DE585B">
        <w:rPr>
          <w:rFonts w:ascii="Arial" w:hAnsi="Arial" w:cs="Arial"/>
          <w:sz w:val="24"/>
          <w:szCs w:val="24"/>
        </w:rPr>
        <w:t>With a calculated Z-score of 2.80, General Electronics is in the grey zone which means that it has a higher risk of financial distress even though it is not technically insolvent. This means that although it is reasonably stable for now, given its assets, its ongoing operating losses and decreasing profitability may lead it to a very serious financial state if it does not quickly remedy its situation. The output is simply a warning signal but nothing else. The Altman Z-score model has its drawbacks too because it only relies on financial accounting information without consideration for important qualitative factors such as management ability, market uncertainty, or strategic flexibility. Therefore, while there are weaknesses in the score it needs to be rendered carefully along with further strategic analysis and qualitative aspects. To avoid the further deterioration of General Electronics and move it into a state of persistent and sustainable recovery, a complete turnaround plan involving improving liquidity, controlling costs, and restructuring capital is warranted. (CFI Team, 2023)</w:t>
      </w:r>
    </w:p>
    <w:p w:rsidR="004D6020" w:rsidRPr="00DE585B" w:rsidRDefault="00AA118F" w:rsidP="00AA118F">
      <w:pPr>
        <w:pStyle w:val="ListParagraph"/>
        <w:numPr>
          <w:ilvl w:val="0"/>
          <w:numId w:val="1"/>
        </w:numPr>
        <w:spacing w:line="360" w:lineRule="auto"/>
        <w:ind w:right="737"/>
        <w:jc w:val="both"/>
        <w:rPr>
          <w:rFonts w:ascii="Arial" w:hAnsi="Arial" w:cs="Arial"/>
          <w:b/>
          <w:sz w:val="24"/>
          <w:szCs w:val="24"/>
        </w:rPr>
      </w:pPr>
      <w:r w:rsidRPr="00DE585B">
        <w:rPr>
          <w:rFonts w:ascii="Arial" w:hAnsi="Arial" w:cs="Arial"/>
          <w:b/>
          <w:bCs/>
          <w:sz w:val="24"/>
          <w:szCs w:val="24"/>
        </w:rPr>
        <w:t>Working Capital Management Analysis</w:t>
      </w:r>
    </w:p>
    <w:p w:rsidR="007367D1" w:rsidRPr="00DE585B" w:rsidRDefault="007367D1" w:rsidP="0010050B">
      <w:pPr>
        <w:pStyle w:val="ListParagraph"/>
        <w:numPr>
          <w:ilvl w:val="0"/>
          <w:numId w:val="17"/>
        </w:numPr>
        <w:spacing w:line="360" w:lineRule="auto"/>
        <w:ind w:left="1097" w:right="737"/>
        <w:jc w:val="both"/>
        <w:rPr>
          <w:rFonts w:ascii="Arial" w:hAnsi="Arial" w:cs="Arial"/>
          <w:b/>
          <w:sz w:val="24"/>
          <w:szCs w:val="24"/>
        </w:rPr>
      </w:pPr>
      <w:r w:rsidRPr="00DE585B">
        <w:rPr>
          <w:rFonts w:ascii="Arial" w:hAnsi="Arial" w:cs="Arial"/>
          <w:b/>
          <w:sz w:val="24"/>
          <w:szCs w:val="24"/>
        </w:rPr>
        <w:t>Cash operating cycle. </w:t>
      </w:r>
    </w:p>
    <w:p w:rsidR="007367D1" w:rsidRPr="00DE585B" w:rsidRDefault="007367D1" w:rsidP="007367D1">
      <w:pPr>
        <w:pStyle w:val="ListParagraph"/>
        <w:spacing w:line="360" w:lineRule="auto"/>
        <w:ind w:left="737" w:right="737"/>
        <w:jc w:val="both"/>
        <w:rPr>
          <w:rFonts w:ascii="Arial" w:hAnsi="Arial" w:cs="Arial"/>
          <w:sz w:val="24"/>
          <w:szCs w:val="24"/>
        </w:rPr>
      </w:pPr>
      <w:r w:rsidRPr="00DE585B">
        <w:rPr>
          <w:rFonts w:ascii="Arial" w:hAnsi="Arial" w:cs="Arial"/>
          <w:sz w:val="24"/>
          <w:szCs w:val="24"/>
        </w:rPr>
        <w:t>The Cash Operating Cycle (COC) or Cash Conversion Cycle (CCC) indicates how long it takes (in days) for the company to convert its investments in inventory and receivables into cash. The shorter the cycle the better, as the company will require less working capital to support its sales. (Hayes, 2024)</w:t>
      </w:r>
    </w:p>
    <w:p w:rsidR="007367D1" w:rsidRPr="00DE585B" w:rsidRDefault="007367D1" w:rsidP="007367D1">
      <w:pPr>
        <w:pStyle w:val="ListParagraph"/>
        <w:spacing w:line="360" w:lineRule="auto"/>
        <w:ind w:left="737" w:right="737"/>
        <w:jc w:val="both"/>
        <w:rPr>
          <w:rFonts w:ascii="Arial" w:hAnsi="Arial" w:cs="Arial"/>
          <w:b/>
          <w:sz w:val="24"/>
          <w:szCs w:val="24"/>
        </w:rPr>
      </w:pPr>
      <w:r w:rsidRPr="00DE585B">
        <w:rPr>
          <w:rFonts w:ascii="Arial" w:hAnsi="Arial" w:cs="Arial"/>
          <w:b/>
          <w:sz w:val="24"/>
          <w:szCs w:val="24"/>
        </w:rPr>
        <w:t>COC= Inventory Days+ Receivables Days – Payable Days</w:t>
      </w:r>
    </w:p>
    <w:tbl>
      <w:tblPr>
        <w:tblStyle w:val="GridTable4-Accent5"/>
        <w:tblW w:w="9375" w:type="dxa"/>
        <w:tblInd w:w="746" w:type="dxa"/>
        <w:tblLook w:val="04A0" w:firstRow="1" w:lastRow="0" w:firstColumn="1" w:lastColumn="0" w:noHBand="0" w:noVBand="1"/>
      </w:tblPr>
      <w:tblGrid>
        <w:gridCol w:w="759"/>
        <w:gridCol w:w="1961"/>
        <w:gridCol w:w="2644"/>
        <w:gridCol w:w="2232"/>
        <w:gridCol w:w="1779"/>
      </w:tblGrid>
      <w:tr w:rsidR="007367D1" w:rsidRPr="00DE585B" w:rsidTr="007367D1">
        <w:trPr>
          <w:cnfStyle w:val="100000000000" w:firstRow="1" w:lastRow="0" w:firstColumn="0" w:lastColumn="0" w:oddVBand="0" w:evenVBand="0" w:oddHBand="0"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0" w:type="auto"/>
            <w:hideMark/>
          </w:tcPr>
          <w:p w:rsidR="007367D1" w:rsidRPr="00C02A8D" w:rsidRDefault="007367D1" w:rsidP="007367D1">
            <w:pPr>
              <w:rPr>
                <w:rFonts w:ascii="Arial" w:eastAsia="Times New Roman" w:hAnsi="Arial" w:cs="Arial"/>
                <w:sz w:val="24"/>
                <w:szCs w:val="24"/>
              </w:rPr>
            </w:pPr>
            <w:r w:rsidRPr="00C02A8D">
              <w:rPr>
                <w:rFonts w:ascii="Arial" w:eastAsia="Times New Roman" w:hAnsi="Arial" w:cs="Arial"/>
                <w:sz w:val="24"/>
                <w:szCs w:val="24"/>
                <w:bdr w:val="none" w:sz="0" w:space="0" w:color="auto" w:frame="1"/>
              </w:rPr>
              <w:t>Year</w:t>
            </w:r>
          </w:p>
        </w:tc>
        <w:tc>
          <w:tcPr>
            <w:tcW w:w="0" w:type="auto"/>
            <w:hideMark/>
          </w:tcPr>
          <w:p w:rsidR="007367D1" w:rsidRPr="00C02A8D" w:rsidRDefault="007367D1" w:rsidP="007367D1">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02A8D">
              <w:rPr>
                <w:rFonts w:ascii="Arial" w:eastAsia="Times New Roman" w:hAnsi="Arial" w:cs="Arial"/>
                <w:sz w:val="24"/>
                <w:szCs w:val="24"/>
                <w:bdr w:val="none" w:sz="0" w:space="0" w:color="auto" w:frame="1"/>
              </w:rPr>
              <w:t>Inventory Days</w:t>
            </w:r>
          </w:p>
        </w:tc>
        <w:tc>
          <w:tcPr>
            <w:tcW w:w="0" w:type="auto"/>
            <w:hideMark/>
          </w:tcPr>
          <w:p w:rsidR="007367D1" w:rsidRPr="00C02A8D" w:rsidRDefault="007367D1" w:rsidP="007367D1">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02A8D">
              <w:rPr>
                <w:rFonts w:ascii="Arial" w:eastAsia="Times New Roman" w:hAnsi="Arial" w:cs="Arial"/>
                <w:b w:val="0"/>
                <w:bCs w:val="0"/>
                <w:sz w:val="24"/>
                <w:szCs w:val="24"/>
                <w:bdr w:val="none" w:sz="0" w:space="0" w:color="auto" w:frame="1"/>
              </w:rPr>
              <w:t>(</w:t>
            </w:r>
            <w:r w:rsidRPr="00C02A8D">
              <w:rPr>
                <w:rFonts w:ascii="Arial" w:eastAsia="Times New Roman" w:hAnsi="Arial" w:cs="Arial"/>
                <w:sz w:val="24"/>
                <w:szCs w:val="24"/>
                <w:bdr w:val="none" w:sz="0" w:space="0" w:color="auto" w:frame="1"/>
              </w:rPr>
              <w:t>+</w:t>
            </w:r>
            <w:r w:rsidRPr="00C02A8D">
              <w:rPr>
                <w:rFonts w:ascii="Arial" w:eastAsia="Times New Roman" w:hAnsi="Arial" w:cs="Arial"/>
                <w:b w:val="0"/>
                <w:bCs w:val="0"/>
                <w:sz w:val="24"/>
                <w:szCs w:val="24"/>
                <w:bdr w:val="none" w:sz="0" w:space="0" w:color="auto" w:frame="1"/>
              </w:rPr>
              <w:t>)</w:t>
            </w:r>
            <w:r w:rsidRPr="00C02A8D">
              <w:rPr>
                <w:rFonts w:ascii="Arial" w:eastAsia="Times New Roman" w:hAnsi="Arial" w:cs="Arial"/>
                <w:sz w:val="24"/>
                <w:szCs w:val="24"/>
                <w:bdr w:val="none" w:sz="0" w:space="0" w:color="auto" w:frame="1"/>
              </w:rPr>
              <w:t xml:space="preserve"> Receivables Days</w:t>
            </w:r>
          </w:p>
        </w:tc>
        <w:tc>
          <w:tcPr>
            <w:tcW w:w="0" w:type="auto"/>
            <w:hideMark/>
          </w:tcPr>
          <w:p w:rsidR="007367D1" w:rsidRPr="00C02A8D" w:rsidRDefault="007367D1" w:rsidP="007367D1">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02A8D">
              <w:rPr>
                <w:rFonts w:ascii="Arial" w:eastAsia="Times New Roman" w:hAnsi="Arial" w:cs="Arial"/>
                <w:b w:val="0"/>
                <w:bCs w:val="0"/>
                <w:sz w:val="24"/>
                <w:szCs w:val="24"/>
                <w:bdr w:val="none" w:sz="0" w:space="0" w:color="auto" w:frame="1"/>
              </w:rPr>
              <w:t>(-)</w:t>
            </w:r>
            <w:r w:rsidRPr="00C02A8D">
              <w:rPr>
                <w:rFonts w:ascii="Arial" w:eastAsia="Times New Roman" w:hAnsi="Arial" w:cs="Arial"/>
                <w:sz w:val="24"/>
                <w:szCs w:val="24"/>
                <w:bdr w:val="none" w:sz="0" w:space="0" w:color="auto" w:frame="1"/>
              </w:rPr>
              <w:t xml:space="preserve"> Payables Days</w:t>
            </w:r>
          </w:p>
        </w:tc>
        <w:tc>
          <w:tcPr>
            <w:tcW w:w="0" w:type="auto"/>
            <w:hideMark/>
          </w:tcPr>
          <w:p w:rsidR="007367D1" w:rsidRPr="00C02A8D" w:rsidRDefault="007367D1" w:rsidP="007367D1">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02A8D">
              <w:rPr>
                <w:rFonts w:ascii="Arial" w:eastAsia="Times New Roman" w:hAnsi="Arial" w:cs="Arial"/>
                <w:sz w:val="24"/>
                <w:szCs w:val="24"/>
                <w:bdr w:val="none" w:sz="0" w:space="0" w:color="auto" w:frame="1"/>
              </w:rPr>
              <w:t>= COC (Days)</w:t>
            </w:r>
          </w:p>
        </w:tc>
      </w:tr>
      <w:tr w:rsidR="007367D1" w:rsidRPr="00DE585B" w:rsidTr="007367D1">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0" w:type="auto"/>
            <w:hideMark/>
          </w:tcPr>
          <w:p w:rsidR="007367D1" w:rsidRPr="00DE585B" w:rsidRDefault="007367D1" w:rsidP="007367D1">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2024</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108.9</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88.8</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128.7</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69.0</w:t>
            </w:r>
          </w:p>
        </w:tc>
      </w:tr>
      <w:tr w:rsidR="007367D1" w:rsidRPr="00DE585B" w:rsidTr="007367D1">
        <w:trPr>
          <w:trHeight w:val="646"/>
        </w:trPr>
        <w:tc>
          <w:tcPr>
            <w:cnfStyle w:val="001000000000" w:firstRow="0" w:lastRow="0" w:firstColumn="1" w:lastColumn="0" w:oddVBand="0" w:evenVBand="0" w:oddHBand="0" w:evenHBand="0" w:firstRowFirstColumn="0" w:firstRowLastColumn="0" w:lastRowFirstColumn="0" w:lastRowLastColumn="0"/>
            <w:tcW w:w="0" w:type="auto"/>
            <w:hideMark/>
          </w:tcPr>
          <w:p w:rsidR="007367D1" w:rsidRPr="00DE585B" w:rsidRDefault="007367D1" w:rsidP="007367D1">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7367D1" w:rsidRPr="00DE585B" w:rsidRDefault="007367D1" w:rsidP="007367D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129.1</w:t>
            </w:r>
          </w:p>
        </w:tc>
        <w:tc>
          <w:tcPr>
            <w:tcW w:w="0" w:type="auto"/>
            <w:hideMark/>
          </w:tcPr>
          <w:p w:rsidR="007367D1" w:rsidRPr="00DE585B" w:rsidRDefault="007367D1" w:rsidP="007367D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94.7</w:t>
            </w:r>
          </w:p>
        </w:tc>
        <w:tc>
          <w:tcPr>
            <w:tcW w:w="0" w:type="auto"/>
            <w:hideMark/>
          </w:tcPr>
          <w:p w:rsidR="007367D1" w:rsidRPr="00DE585B" w:rsidRDefault="007367D1" w:rsidP="007367D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132.3</w:t>
            </w:r>
          </w:p>
        </w:tc>
        <w:tc>
          <w:tcPr>
            <w:tcW w:w="0" w:type="auto"/>
            <w:hideMark/>
          </w:tcPr>
          <w:p w:rsidR="007367D1" w:rsidRPr="00DE585B" w:rsidRDefault="007367D1" w:rsidP="007367D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91.5</w:t>
            </w:r>
          </w:p>
        </w:tc>
      </w:tr>
      <w:tr w:rsidR="007367D1" w:rsidRPr="00DE585B" w:rsidTr="007367D1">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0" w:type="auto"/>
            <w:hideMark/>
          </w:tcPr>
          <w:p w:rsidR="007367D1" w:rsidRPr="00DE585B" w:rsidRDefault="007367D1" w:rsidP="007367D1">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2022</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128.4</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80.1</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126.0</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82.5</w:t>
            </w:r>
          </w:p>
        </w:tc>
      </w:tr>
      <w:tr w:rsidR="007367D1" w:rsidRPr="00DE585B" w:rsidTr="007367D1">
        <w:trPr>
          <w:trHeight w:val="674"/>
        </w:trPr>
        <w:tc>
          <w:tcPr>
            <w:cnfStyle w:val="001000000000" w:firstRow="0" w:lastRow="0" w:firstColumn="1" w:lastColumn="0" w:oddVBand="0" w:evenVBand="0" w:oddHBand="0" w:evenHBand="0" w:firstRowFirstColumn="0" w:firstRowLastColumn="0" w:lastRowFirstColumn="0" w:lastRowLastColumn="0"/>
            <w:tcW w:w="0" w:type="auto"/>
            <w:hideMark/>
          </w:tcPr>
          <w:p w:rsidR="007367D1" w:rsidRPr="00DE585B" w:rsidRDefault="007367D1" w:rsidP="007367D1">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2021</w:t>
            </w:r>
          </w:p>
        </w:tc>
        <w:tc>
          <w:tcPr>
            <w:tcW w:w="0" w:type="auto"/>
            <w:hideMark/>
          </w:tcPr>
          <w:p w:rsidR="007367D1" w:rsidRPr="00DE585B" w:rsidRDefault="007367D1" w:rsidP="007367D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108.5</w:t>
            </w:r>
          </w:p>
        </w:tc>
        <w:tc>
          <w:tcPr>
            <w:tcW w:w="0" w:type="auto"/>
            <w:hideMark/>
          </w:tcPr>
          <w:p w:rsidR="007367D1" w:rsidRPr="00DE585B" w:rsidRDefault="007367D1" w:rsidP="007367D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72.5</w:t>
            </w:r>
          </w:p>
        </w:tc>
        <w:tc>
          <w:tcPr>
            <w:tcW w:w="0" w:type="auto"/>
            <w:hideMark/>
          </w:tcPr>
          <w:p w:rsidR="007367D1" w:rsidRPr="00DE585B" w:rsidRDefault="007367D1" w:rsidP="007367D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103.4</w:t>
            </w:r>
          </w:p>
        </w:tc>
        <w:tc>
          <w:tcPr>
            <w:tcW w:w="0" w:type="auto"/>
            <w:hideMark/>
          </w:tcPr>
          <w:p w:rsidR="007367D1" w:rsidRPr="00DE585B" w:rsidRDefault="007367D1" w:rsidP="007367D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77.6</w:t>
            </w:r>
          </w:p>
        </w:tc>
      </w:tr>
      <w:tr w:rsidR="007367D1" w:rsidRPr="00DE585B" w:rsidTr="007367D1">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0" w:type="auto"/>
            <w:hideMark/>
          </w:tcPr>
          <w:p w:rsidR="007367D1" w:rsidRPr="00DE585B" w:rsidRDefault="007367D1" w:rsidP="007367D1">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100.3</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 xml:space="preserve"> 71.5</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90.0</w:t>
            </w:r>
          </w:p>
        </w:tc>
        <w:tc>
          <w:tcPr>
            <w:tcW w:w="0" w:type="auto"/>
            <w:hideMark/>
          </w:tcPr>
          <w:p w:rsidR="007367D1" w:rsidRPr="00DE585B" w:rsidRDefault="007367D1" w:rsidP="007367D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81.7</w:t>
            </w:r>
          </w:p>
        </w:tc>
      </w:tr>
    </w:tbl>
    <w:p w:rsidR="007367D1" w:rsidRPr="00DE585B" w:rsidRDefault="007367D1" w:rsidP="007367D1">
      <w:pPr>
        <w:pStyle w:val="ListParagraph"/>
        <w:spacing w:line="360" w:lineRule="auto"/>
        <w:ind w:left="737" w:right="737"/>
        <w:jc w:val="center"/>
        <w:rPr>
          <w:rFonts w:ascii="Arial" w:hAnsi="Arial" w:cs="Arial"/>
          <w:b/>
          <w:i/>
          <w:sz w:val="24"/>
          <w:szCs w:val="24"/>
          <w:u w:val="single"/>
        </w:rPr>
      </w:pPr>
      <w:r w:rsidRPr="00DE585B">
        <w:rPr>
          <w:rFonts w:ascii="Arial" w:hAnsi="Arial" w:cs="Arial"/>
          <w:b/>
          <w:i/>
          <w:sz w:val="24"/>
          <w:szCs w:val="24"/>
          <w:u w:val="single"/>
        </w:rPr>
        <w:t>Table 2.1: Cash Operating Cycle</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w:t>
      </w:r>
      <w:proofErr w:type="spellStart"/>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6C32D0" w:rsidRPr="00DE585B" w:rsidRDefault="006C32D0" w:rsidP="007367D1">
      <w:pPr>
        <w:pStyle w:val="ListParagraph"/>
        <w:spacing w:line="360" w:lineRule="auto"/>
        <w:ind w:left="737" w:right="737"/>
        <w:jc w:val="center"/>
        <w:rPr>
          <w:rFonts w:ascii="Arial" w:hAnsi="Arial" w:cs="Arial"/>
          <w:b/>
          <w:i/>
          <w:sz w:val="24"/>
          <w:szCs w:val="24"/>
          <w:u w:val="single"/>
        </w:rPr>
      </w:pPr>
    </w:p>
    <w:p w:rsidR="006C32D0" w:rsidRPr="00DE585B" w:rsidRDefault="006C32D0" w:rsidP="007367D1">
      <w:pPr>
        <w:pStyle w:val="ListParagraph"/>
        <w:spacing w:line="360" w:lineRule="auto"/>
        <w:ind w:left="737" w:right="737"/>
        <w:jc w:val="center"/>
        <w:rPr>
          <w:rFonts w:ascii="Arial" w:hAnsi="Arial" w:cs="Arial"/>
          <w:b/>
          <w:i/>
          <w:sz w:val="24"/>
          <w:szCs w:val="24"/>
          <w:u w:val="single"/>
        </w:rPr>
      </w:pPr>
    </w:p>
    <w:p w:rsidR="007367D1" w:rsidRPr="00DE585B" w:rsidRDefault="006C32D0" w:rsidP="007367D1">
      <w:pPr>
        <w:pStyle w:val="ListParagraph"/>
        <w:spacing w:line="360" w:lineRule="auto"/>
        <w:ind w:left="737" w:right="737"/>
        <w:jc w:val="center"/>
        <w:rPr>
          <w:rFonts w:ascii="Arial" w:hAnsi="Arial" w:cs="Arial"/>
          <w:b/>
          <w:i/>
          <w:sz w:val="24"/>
          <w:szCs w:val="24"/>
          <w:u w:val="single"/>
        </w:rPr>
      </w:pPr>
      <w:r w:rsidRPr="00DE585B">
        <w:rPr>
          <w:rFonts w:ascii="Arial" w:hAnsi="Arial" w:cs="Arial"/>
          <w:b/>
          <w:i/>
          <w:noProof/>
          <w:sz w:val="24"/>
          <w:szCs w:val="24"/>
          <w:u w:val="single"/>
        </w:rPr>
        <w:drawing>
          <wp:inline distT="0" distB="0" distL="0" distR="0">
            <wp:extent cx="4533900" cy="30861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D6020" w:rsidRPr="00DE585B" w:rsidRDefault="006C32D0" w:rsidP="006C32D0">
      <w:pPr>
        <w:spacing w:line="360" w:lineRule="auto"/>
        <w:ind w:left="737" w:right="737"/>
        <w:jc w:val="center"/>
        <w:rPr>
          <w:rFonts w:ascii="Arial" w:hAnsi="Arial" w:cs="Arial"/>
          <w:b/>
          <w:i/>
          <w:sz w:val="24"/>
          <w:szCs w:val="24"/>
          <w:u w:val="single"/>
        </w:rPr>
      </w:pPr>
      <w:r w:rsidRPr="00DE585B">
        <w:rPr>
          <w:rFonts w:ascii="Arial" w:hAnsi="Arial" w:cs="Arial"/>
          <w:b/>
          <w:i/>
          <w:sz w:val="24"/>
          <w:szCs w:val="24"/>
          <w:u w:val="single"/>
        </w:rPr>
        <w:t xml:space="preserve">Fig </w:t>
      </w:r>
      <w:proofErr w:type="gramStart"/>
      <w:r w:rsidRPr="00DE585B">
        <w:rPr>
          <w:rFonts w:ascii="Arial" w:hAnsi="Arial" w:cs="Arial"/>
          <w:b/>
          <w:i/>
          <w:sz w:val="24"/>
          <w:szCs w:val="24"/>
          <w:u w:val="single"/>
        </w:rPr>
        <w:t>2.1 :</w:t>
      </w:r>
      <w:proofErr w:type="gramEnd"/>
      <w:r w:rsidRPr="00DE585B">
        <w:rPr>
          <w:rFonts w:ascii="Arial" w:hAnsi="Arial" w:cs="Arial"/>
          <w:b/>
          <w:i/>
          <w:sz w:val="24"/>
          <w:szCs w:val="24"/>
          <w:u w:val="single"/>
        </w:rPr>
        <w:t xml:space="preserve"> COC Analysis</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w:t>
      </w:r>
      <w:proofErr w:type="spellStart"/>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6C32D0" w:rsidRPr="00DE585B" w:rsidRDefault="006C32D0" w:rsidP="006C32D0">
      <w:pPr>
        <w:spacing w:line="360" w:lineRule="auto"/>
        <w:ind w:left="737" w:right="737"/>
        <w:jc w:val="both"/>
        <w:rPr>
          <w:rFonts w:ascii="Arial" w:hAnsi="Arial" w:cs="Arial"/>
          <w:sz w:val="24"/>
          <w:szCs w:val="24"/>
        </w:rPr>
      </w:pPr>
      <w:r w:rsidRPr="00DE585B">
        <w:rPr>
          <w:rFonts w:ascii="Arial" w:hAnsi="Arial" w:cs="Arial"/>
          <w:sz w:val="24"/>
          <w:szCs w:val="24"/>
        </w:rPr>
        <w:t xml:space="preserve">Trend Analysis (2020 to 2024) </w:t>
      </w:r>
      <w:r w:rsidR="0010050B" w:rsidRPr="00DE585B">
        <w:rPr>
          <w:rFonts w:ascii="Arial" w:hAnsi="Arial" w:cs="Arial"/>
          <w:sz w:val="24"/>
          <w:szCs w:val="24"/>
        </w:rPr>
        <w:t>the</w:t>
      </w:r>
      <w:r w:rsidRPr="00DE585B">
        <w:rPr>
          <w:rFonts w:ascii="Arial" w:hAnsi="Arial" w:cs="Arial"/>
          <w:sz w:val="24"/>
          <w:szCs w:val="24"/>
        </w:rPr>
        <w:t xml:space="preserve"> overall pattern reveals extreme volatility in the cycle resulting from both operational turbulence and aggressive financial management.</w:t>
      </w:r>
    </w:p>
    <w:p w:rsidR="006C32D0" w:rsidRPr="00DE585B" w:rsidRDefault="006C32D0" w:rsidP="006C32D0">
      <w:pPr>
        <w:spacing w:line="360" w:lineRule="auto"/>
        <w:ind w:left="737" w:right="737"/>
        <w:jc w:val="both"/>
        <w:rPr>
          <w:rFonts w:ascii="Arial" w:hAnsi="Arial" w:cs="Arial"/>
          <w:sz w:val="24"/>
          <w:szCs w:val="24"/>
        </w:rPr>
      </w:pPr>
      <w:r w:rsidRPr="00DE585B">
        <w:rPr>
          <w:rFonts w:ascii="Arial" w:hAnsi="Arial" w:cs="Arial"/>
          <w:sz w:val="24"/>
          <w:szCs w:val="24"/>
        </w:rPr>
        <w:t>2020 - 2023 Decline (81.7 days to 91.5 days): The cycle negatively shifted significantly, reaching the peak of the cycle at 91.5 in FY2023 when both a couple of catastrophic operational events took place. Inventory Bloat - Days increased to 129.1 days reflecting the fact that the product stagnation declines even more. Slower Collections - Days of Receivables (94.7 days) increased, indicating the possibility of the company offering more considerable terms of credit to spur sales.</w:t>
      </w:r>
    </w:p>
    <w:p w:rsidR="004D6020" w:rsidRPr="00DE585B" w:rsidRDefault="006C32D0" w:rsidP="006C32D0">
      <w:pPr>
        <w:spacing w:line="360" w:lineRule="auto"/>
        <w:ind w:left="737" w:right="737"/>
        <w:jc w:val="both"/>
        <w:rPr>
          <w:rFonts w:ascii="Arial" w:hAnsi="Arial" w:cs="Arial"/>
          <w:sz w:val="24"/>
          <w:szCs w:val="24"/>
        </w:rPr>
      </w:pPr>
      <w:r w:rsidRPr="00DE585B">
        <w:rPr>
          <w:rFonts w:ascii="Arial" w:hAnsi="Arial" w:cs="Arial"/>
          <w:sz w:val="24"/>
          <w:szCs w:val="24"/>
        </w:rPr>
        <w:t>2024 Moderate Improvement (91.5 days to 69.0 days): The COC drops dramatically to 69.0 in FY2024, the lowest reading over a five-year period. This was the only efficiency metric that showed true improvement but through impossible means. Aggressive Payables - Days of Payables rose dramatically to 128.7 days, meaning the company is aggressively using its suppliers as the source of free financing. Liquidation - Inventory Days decreased (129.1 to 108.9) is due to last year's major asset liquidation and asset write-offs.</w:t>
      </w:r>
    </w:p>
    <w:p w:rsidR="006C32D0" w:rsidRPr="00DE585B" w:rsidRDefault="006C32D0" w:rsidP="006C32D0">
      <w:pPr>
        <w:spacing w:line="360" w:lineRule="auto"/>
        <w:ind w:left="737" w:right="737"/>
        <w:jc w:val="both"/>
        <w:rPr>
          <w:rFonts w:ascii="Arial" w:hAnsi="Arial" w:cs="Arial"/>
          <w:sz w:val="24"/>
          <w:szCs w:val="24"/>
        </w:rPr>
      </w:pPr>
      <w:r w:rsidRPr="00DE585B">
        <w:rPr>
          <w:rFonts w:ascii="Arial" w:hAnsi="Arial" w:cs="Arial"/>
          <w:sz w:val="24"/>
          <w:szCs w:val="24"/>
        </w:rPr>
        <w:lastRenderedPageBreak/>
        <w:t>To summarize, the COC suggests the company is managing cash aggressively to survive, but the basic operational inefficiency (high Inventory Days) and poor collections from customers are being offset by supplier financing.</w:t>
      </w:r>
    </w:p>
    <w:p w:rsidR="006C32D0" w:rsidRPr="00DE585B" w:rsidRDefault="0010050B" w:rsidP="0010050B">
      <w:pPr>
        <w:pStyle w:val="ListParagraph"/>
        <w:numPr>
          <w:ilvl w:val="0"/>
          <w:numId w:val="17"/>
        </w:numPr>
        <w:spacing w:line="360" w:lineRule="auto"/>
        <w:ind w:left="1097" w:right="737"/>
        <w:jc w:val="both"/>
        <w:rPr>
          <w:rFonts w:ascii="Arial" w:hAnsi="Arial" w:cs="Arial"/>
          <w:b/>
          <w:sz w:val="24"/>
          <w:szCs w:val="24"/>
        </w:rPr>
      </w:pPr>
      <w:r w:rsidRPr="00DE585B">
        <w:rPr>
          <w:rFonts w:ascii="Arial" w:hAnsi="Arial" w:cs="Arial"/>
          <w:b/>
          <w:sz w:val="24"/>
          <w:szCs w:val="24"/>
        </w:rPr>
        <w:t>Strategies to Improve Liquidity Through Working Capital Reforms</w:t>
      </w:r>
    </w:p>
    <w:p w:rsidR="0010050B" w:rsidRPr="00DE585B" w:rsidRDefault="0010050B" w:rsidP="0010050B">
      <w:pPr>
        <w:spacing w:line="360" w:lineRule="auto"/>
        <w:ind w:left="737" w:right="737"/>
        <w:jc w:val="both"/>
        <w:rPr>
          <w:rFonts w:ascii="Arial" w:hAnsi="Arial" w:cs="Arial"/>
          <w:sz w:val="24"/>
          <w:szCs w:val="24"/>
        </w:rPr>
      </w:pPr>
      <w:r w:rsidRPr="00DE585B">
        <w:rPr>
          <w:rFonts w:ascii="Arial" w:hAnsi="Arial" w:cs="Arial"/>
          <w:sz w:val="24"/>
          <w:szCs w:val="24"/>
        </w:rPr>
        <w:t xml:space="preserve">To remedy General Electronics' precarious liquidity (Quick Ratio 1.03:1) and capitulate Cash Operating Cycle (69.0 days, reflecting a </w:t>
      </w:r>
      <w:proofErr w:type="gramStart"/>
      <w:r w:rsidRPr="00DE585B">
        <w:rPr>
          <w:rFonts w:ascii="Arial" w:hAnsi="Arial" w:cs="Arial"/>
          <w:sz w:val="24"/>
          <w:szCs w:val="24"/>
        </w:rPr>
        <w:t>very</w:t>
      </w:r>
      <w:proofErr w:type="gramEnd"/>
      <w:r w:rsidRPr="00DE585B">
        <w:rPr>
          <w:rFonts w:ascii="Arial" w:hAnsi="Arial" w:cs="Arial"/>
          <w:sz w:val="24"/>
          <w:szCs w:val="24"/>
        </w:rPr>
        <w:t xml:space="preserve"> stretched payable), the company must require broad working capital reforms. Most importantly, the goal is to release an amount of cash held up in the operating cycle to improve Cash Flow from Operations and the Quick Ratio in favoring cash and receivables over inventory.</w:t>
      </w:r>
    </w:p>
    <w:p w:rsidR="0010050B" w:rsidRPr="00DE585B" w:rsidRDefault="0010050B" w:rsidP="0010050B">
      <w:pPr>
        <w:spacing w:line="360" w:lineRule="auto"/>
        <w:ind w:left="737" w:right="737"/>
        <w:jc w:val="both"/>
        <w:rPr>
          <w:rFonts w:ascii="Arial" w:hAnsi="Arial" w:cs="Arial"/>
          <w:b/>
          <w:sz w:val="24"/>
          <w:szCs w:val="24"/>
        </w:rPr>
      </w:pPr>
    </w:p>
    <w:p w:rsidR="0010050B" w:rsidRPr="00DE585B" w:rsidRDefault="0010050B" w:rsidP="0010050B">
      <w:pPr>
        <w:pStyle w:val="ListParagraph"/>
        <w:numPr>
          <w:ilvl w:val="0"/>
          <w:numId w:val="18"/>
        </w:numPr>
        <w:spacing w:line="360" w:lineRule="auto"/>
        <w:ind w:right="737"/>
        <w:jc w:val="both"/>
        <w:rPr>
          <w:rFonts w:ascii="Arial" w:hAnsi="Arial" w:cs="Arial"/>
          <w:b/>
          <w:sz w:val="24"/>
          <w:szCs w:val="24"/>
        </w:rPr>
      </w:pPr>
      <w:r w:rsidRPr="00DE585B">
        <w:rPr>
          <w:rFonts w:ascii="Arial" w:hAnsi="Arial" w:cs="Arial"/>
          <w:b/>
          <w:sz w:val="24"/>
          <w:szCs w:val="24"/>
        </w:rPr>
        <w:t xml:space="preserve">Improve the Inventory Conversion Cycle </w:t>
      </w:r>
    </w:p>
    <w:p w:rsidR="004D6020" w:rsidRPr="00DE585B" w:rsidRDefault="0010050B" w:rsidP="0010050B">
      <w:pPr>
        <w:pStyle w:val="ListParagraph"/>
        <w:spacing w:line="360" w:lineRule="auto"/>
        <w:ind w:left="1097" w:right="737"/>
        <w:jc w:val="both"/>
        <w:rPr>
          <w:rFonts w:ascii="Arial" w:hAnsi="Arial" w:cs="Arial"/>
          <w:sz w:val="24"/>
          <w:szCs w:val="24"/>
        </w:rPr>
      </w:pPr>
      <w:r w:rsidRPr="00DE585B">
        <w:rPr>
          <w:rFonts w:ascii="Arial" w:hAnsi="Arial" w:cs="Arial"/>
          <w:sz w:val="24"/>
          <w:szCs w:val="24"/>
        </w:rPr>
        <w:t xml:space="preserve">The acute liquidity and profitability predicament is a result of inventory management. The company must reduce the current 108.9 Inventory Days to release cash. </w:t>
      </w:r>
      <w:r w:rsidRPr="00DE585B">
        <w:rPr>
          <w:rFonts w:ascii="Arial" w:hAnsi="Arial" w:cs="Arial"/>
          <w:b/>
          <w:sz w:val="24"/>
          <w:szCs w:val="24"/>
        </w:rPr>
        <w:t>The use of Demand Driven Supply Chains (just in time (JIT) principles)</w:t>
      </w:r>
      <w:r w:rsidRPr="00DE585B">
        <w:rPr>
          <w:rFonts w:ascii="Arial" w:hAnsi="Arial" w:cs="Arial"/>
          <w:sz w:val="24"/>
          <w:szCs w:val="24"/>
        </w:rPr>
        <w:t xml:space="preserve"> shift the focus from a "push" (goods made based on forecast) to a "pull" (goods made based on orders) reduces obsolescence exposure and probability of carrying too much safety stock (Farris &amp; Hutchison, 2002). </w:t>
      </w:r>
      <w:r w:rsidRPr="00DE585B">
        <w:rPr>
          <w:rFonts w:ascii="Arial" w:hAnsi="Arial" w:cs="Arial"/>
          <w:b/>
          <w:sz w:val="24"/>
          <w:szCs w:val="24"/>
        </w:rPr>
        <w:t xml:space="preserve">Clearly detailing the Inventory Policy </w:t>
      </w:r>
      <w:r w:rsidRPr="00DE585B">
        <w:rPr>
          <w:rFonts w:ascii="Arial" w:hAnsi="Arial" w:cs="Arial"/>
          <w:sz w:val="24"/>
          <w:szCs w:val="24"/>
        </w:rPr>
        <w:t xml:space="preserve">formally write-off obsolete stock and enforce tighter internal purchasing controls of new items. Only allocate capital expenditures in a lower volume of select, higher chance of a profitable sale, those fast product providing reasonable movement and immediate cash, liquidation of the other product, on the shelf or not, never buy more than needed, accomplices in recovery of cash even at a loss. </w:t>
      </w:r>
      <w:r w:rsidRPr="00DE585B">
        <w:rPr>
          <w:rFonts w:ascii="Arial" w:hAnsi="Arial" w:cs="Arial"/>
          <w:b/>
          <w:sz w:val="24"/>
          <w:szCs w:val="24"/>
        </w:rPr>
        <w:t>Consolidate and Better Forecast</w:t>
      </w:r>
      <w:r w:rsidRPr="00DE585B">
        <w:rPr>
          <w:rFonts w:ascii="Arial" w:hAnsi="Arial" w:cs="Arial"/>
          <w:sz w:val="24"/>
          <w:szCs w:val="24"/>
        </w:rPr>
        <w:t xml:space="preserve"> invest in value packing analytical tools to purchase and production aligned with market demand signal (at the moment) reducing stock-outs and overstocking and improving Cost of Goods Sold and therefore, Inventory Days.</w:t>
      </w:r>
    </w:p>
    <w:p w:rsidR="0010050B" w:rsidRPr="00DE585B" w:rsidRDefault="0010050B" w:rsidP="0010050B">
      <w:pPr>
        <w:pStyle w:val="ListParagraph"/>
        <w:spacing w:line="360" w:lineRule="auto"/>
        <w:ind w:left="1097" w:right="737"/>
        <w:jc w:val="both"/>
        <w:rPr>
          <w:rFonts w:ascii="Arial" w:hAnsi="Arial" w:cs="Arial"/>
          <w:sz w:val="24"/>
          <w:szCs w:val="24"/>
        </w:rPr>
      </w:pPr>
    </w:p>
    <w:p w:rsidR="0010050B" w:rsidRPr="00DE585B" w:rsidRDefault="0010050B" w:rsidP="0010050B">
      <w:pPr>
        <w:pStyle w:val="ListParagraph"/>
        <w:numPr>
          <w:ilvl w:val="0"/>
          <w:numId w:val="18"/>
        </w:numPr>
        <w:spacing w:line="360" w:lineRule="auto"/>
        <w:ind w:right="737"/>
        <w:jc w:val="both"/>
        <w:rPr>
          <w:rFonts w:ascii="Arial" w:hAnsi="Arial" w:cs="Arial"/>
          <w:b/>
          <w:sz w:val="24"/>
          <w:szCs w:val="24"/>
        </w:rPr>
      </w:pPr>
      <w:r w:rsidRPr="00DE585B">
        <w:rPr>
          <w:rFonts w:ascii="Arial" w:hAnsi="Arial" w:cs="Arial"/>
          <w:b/>
          <w:sz w:val="24"/>
          <w:szCs w:val="24"/>
        </w:rPr>
        <w:t>Accelerate the Receivables Conversion Cycle</w:t>
      </w:r>
    </w:p>
    <w:p w:rsidR="0010050B" w:rsidRPr="00DE585B" w:rsidRDefault="0010050B" w:rsidP="0010050B">
      <w:pPr>
        <w:pStyle w:val="ListParagraph"/>
        <w:spacing w:line="360" w:lineRule="auto"/>
        <w:ind w:left="1097" w:right="737"/>
        <w:jc w:val="both"/>
        <w:rPr>
          <w:rFonts w:ascii="Arial" w:hAnsi="Arial" w:cs="Arial"/>
          <w:sz w:val="24"/>
          <w:szCs w:val="24"/>
        </w:rPr>
      </w:pPr>
      <w:r w:rsidRPr="00DE585B">
        <w:rPr>
          <w:rFonts w:ascii="Arial" w:hAnsi="Arial" w:cs="Arial"/>
          <w:sz w:val="24"/>
          <w:szCs w:val="24"/>
        </w:rPr>
        <w:t xml:space="preserve">The 88.8 receivables days is, unfortunately, too slow and locks up valuable capital. This period must be shortened to reduce cash outflow. </w:t>
      </w:r>
      <w:r w:rsidRPr="00DE585B">
        <w:rPr>
          <w:rFonts w:ascii="Arial" w:hAnsi="Arial" w:cs="Arial"/>
          <w:b/>
          <w:sz w:val="24"/>
          <w:szCs w:val="24"/>
        </w:rPr>
        <w:t>Tighten Credit Terms and Offer Incentives</w:t>
      </w:r>
      <w:r w:rsidRPr="00DE585B">
        <w:rPr>
          <w:rFonts w:ascii="Arial" w:hAnsi="Arial" w:cs="Arial"/>
          <w:sz w:val="24"/>
          <w:szCs w:val="24"/>
        </w:rPr>
        <w:t xml:space="preserve"> was to shorten the customer standard payment period, and add dynamic discounting (e.g., 2% / 10, net 30) that provides incentive to customers to </w:t>
      </w:r>
      <w:r w:rsidRPr="00DE585B">
        <w:rPr>
          <w:rFonts w:ascii="Arial" w:hAnsi="Arial" w:cs="Arial"/>
          <w:sz w:val="24"/>
          <w:szCs w:val="24"/>
        </w:rPr>
        <w:lastRenderedPageBreak/>
        <w:t xml:space="preserve">pay early to drastically reduce the days until cash flow into account </w:t>
      </w:r>
      <w:r w:rsidR="005E7DEB" w:rsidRPr="00DE585B">
        <w:rPr>
          <w:rFonts w:ascii="Arial" w:hAnsi="Arial" w:cs="Arial"/>
          <w:sz w:val="24"/>
          <w:szCs w:val="24"/>
        </w:rPr>
        <w:t>(Scirp.org, 2020)</w:t>
      </w:r>
      <w:r w:rsidRPr="00DE585B">
        <w:rPr>
          <w:rFonts w:ascii="Arial" w:hAnsi="Arial" w:cs="Arial"/>
          <w:sz w:val="24"/>
          <w:szCs w:val="24"/>
        </w:rPr>
        <w:t xml:space="preserve">. Also, Improve Collection Process was to establish a better collection process by instituting automatic invoicing and follow-up procedures. The use of the 88.8 days figure to analyze for specific slow-paying customer segments, and to engage these customers to a higher </w:t>
      </w:r>
      <w:proofErr w:type="spellStart"/>
      <w:r w:rsidRPr="00DE585B">
        <w:rPr>
          <w:rFonts w:ascii="Arial" w:hAnsi="Arial" w:cs="Arial"/>
          <w:sz w:val="24"/>
          <w:szCs w:val="24"/>
        </w:rPr>
        <w:t>rigour</w:t>
      </w:r>
      <w:proofErr w:type="spellEnd"/>
      <w:r w:rsidRPr="00DE585B">
        <w:rPr>
          <w:rFonts w:ascii="Arial" w:hAnsi="Arial" w:cs="Arial"/>
          <w:sz w:val="24"/>
          <w:szCs w:val="24"/>
        </w:rPr>
        <w:t xml:space="preserve"> in payment procedures, perhaps through factoring or asset based lending for immediate cash flow if a great deal of collection time has lapsed. Lastly</w:t>
      </w:r>
      <w:r w:rsidRPr="00DE585B">
        <w:rPr>
          <w:rFonts w:ascii="Arial" w:hAnsi="Arial" w:cs="Arial"/>
          <w:b/>
          <w:sz w:val="24"/>
          <w:szCs w:val="24"/>
        </w:rPr>
        <w:t>, Invoice Accuracy</w:t>
      </w:r>
      <w:r w:rsidRPr="00DE585B">
        <w:rPr>
          <w:rFonts w:ascii="Arial" w:hAnsi="Arial" w:cs="Arial"/>
          <w:sz w:val="24"/>
          <w:szCs w:val="24"/>
        </w:rPr>
        <w:t xml:space="preserve"> to ensure that invoice delivery to customers is quick, and is void of error to eliminate delays caused error disputes customers with payment.</w:t>
      </w:r>
    </w:p>
    <w:p w:rsidR="00F25D9C" w:rsidRPr="00DE585B" w:rsidRDefault="00F25D9C" w:rsidP="0010050B">
      <w:pPr>
        <w:pStyle w:val="ListParagraph"/>
        <w:spacing w:line="360" w:lineRule="auto"/>
        <w:ind w:left="1097" w:right="737"/>
        <w:jc w:val="both"/>
        <w:rPr>
          <w:rFonts w:ascii="Arial" w:hAnsi="Arial" w:cs="Arial"/>
          <w:sz w:val="24"/>
          <w:szCs w:val="24"/>
        </w:rPr>
      </w:pPr>
    </w:p>
    <w:p w:rsidR="00F25D9C" w:rsidRPr="00DE585B" w:rsidRDefault="00F25D9C" w:rsidP="00F25D9C">
      <w:pPr>
        <w:pStyle w:val="ListParagraph"/>
        <w:numPr>
          <w:ilvl w:val="0"/>
          <w:numId w:val="18"/>
        </w:numPr>
        <w:spacing w:line="360" w:lineRule="auto"/>
        <w:ind w:right="737"/>
        <w:jc w:val="both"/>
        <w:rPr>
          <w:rFonts w:ascii="Arial" w:hAnsi="Arial" w:cs="Arial"/>
          <w:b/>
          <w:sz w:val="24"/>
          <w:szCs w:val="24"/>
        </w:rPr>
      </w:pPr>
      <w:r w:rsidRPr="00DE585B">
        <w:rPr>
          <w:rFonts w:ascii="Arial" w:hAnsi="Arial" w:cs="Arial"/>
          <w:b/>
          <w:sz w:val="24"/>
          <w:szCs w:val="24"/>
        </w:rPr>
        <w:t>Reform the Payables Management Cycle</w:t>
      </w:r>
    </w:p>
    <w:p w:rsidR="00F25D9C" w:rsidRPr="00DE585B" w:rsidRDefault="00F25D9C" w:rsidP="0010050B">
      <w:pPr>
        <w:pStyle w:val="ListParagraph"/>
        <w:spacing w:line="360" w:lineRule="auto"/>
        <w:ind w:left="1097" w:right="737"/>
        <w:jc w:val="both"/>
        <w:rPr>
          <w:rFonts w:ascii="Arial" w:hAnsi="Arial" w:cs="Arial"/>
          <w:sz w:val="24"/>
          <w:szCs w:val="24"/>
        </w:rPr>
      </w:pPr>
      <w:r w:rsidRPr="00DE585B">
        <w:rPr>
          <w:rFonts w:ascii="Arial" w:hAnsi="Arial" w:cs="Arial"/>
          <w:sz w:val="24"/>
          <w:szCs w:val="24"/>
        </w:rPr>
        <w:t xml:space="preserve">While the current Payables Days of 128.7 certainly aids liquidity, it is very high risk. Reform must balance cash preservation with desire to maintain relationships. </w:t>
      </w:r>
      <w:r w:rsidRPr="00DE585B">
        <w:rPr>
          <w:rFonts w:ascii="Arial" w:hAnsi="Arial" w:cs="Arial"/>
          <w:b/>
          <w:sz w:val="24"/>
          <w:szCs w:val="24"/>
        </w:rPr>
        <w:t>Strategic Payment Scheduling</w:t>
      </w:r>
      <w:r w:rsidRPr="00DE585B">
        <w:rPr>
          <w:rFonts w:ascii="Arial" w:hAnsi="Arial" w:cs="Arial"/>
          <w:sz w:val="24"/>
          <w:szCs w:val="24"/>
        </w:rPr>
        <w:t xml:space="preserve"> to Use technology to moving away from tight stretching (strains relationships) to very thoughtful payment timing. Pay all suppliers on the last day of their terms of credit or provide additional payment timing to penetrate free credit without incurring penalties or loss of goodwill; much closer to the </w:t>
      </w:r>
      <w:r w:rsidRPr="00DE585B">
        <w:rPr>
          <w:rFonts w:ascii="Arial" w:hAnsi="Arial" w:cs="Arial"/>
          <w:b/>
          <w:sz w:val="24"/>
          <w:szCs w:val="24"/>
        </w:rPr>
        <w:t>Supplier Relationship Management (SRM)</w:t>
      </w:r>
      <w:r w:rsidRPr="00DE585B">
        <w:rPr>
          <w:rFonts w:ascii="Arial" w:hAnsi="Arial" w:cs="Arial"/>
          <w:sz w:val="24"/>
          <w:szCs w:val="24"/>
        </w:rPr>
        <w:t xml:space="preserve"> strategy from above. For major strategic suppliers negotiate concessions (improved pricing) not just to </w:t>
      </w:r>
      <w:proofErr w:type="spellStart"/>
      <w:r w:rsidRPr="00DE585B">
        <w:rPr>
          <w:rFonts w:ascii="Arial" w:hAnsi="Arial" w:cs="Arial"/>
          <w:sz w:val="24"/>
          <w:szCs w:val="24"/>
        </w:rPr>
        <w:t>to</w:t>
      </w:r>
      <w:proofErr w:type="spellEnd"/>
      <w:r w:rsidRPr="00DE585B">
        <w:rPr>
          <w:rFonts w:ascii="Arial" w:hAnsi="Arial" w:cs="Arial"/>
          <w:sz w:val="24"/>
          <w:szCs w:val="24"/>
        </w:rPr>
        <w:t xml:space="preserve"> stretch, but to guarantee better pricing perform in exchange for volume or time. Having strong supplier relationships is imperative for operational stability particularly with the company's weak profitability.  (Lambert &amp; Cooper, 2000) </w:t>
      </w:r>
      <w:r w:rsidRPr="00DE585B">
        <w:rPr>
          <w:rFonts w:ascii="Arial" w:hAnsi="Arial" w:cs="Arial"/>
          <w:b/>
          <w:sz w:val="24"/>
          <w:szCs w:val="24"/>
        </w:rPr>
        <w:t>Standardizing the Procurement to Pay Process</w:t>
      </w:r>
      <w:r w:rsidRPr="00DE585B">
        <w:rPr>
          <w:rFonts w:ascii="Arial" w:hAnsi="Arial" w:cs="Arial"/>
          <w:sz w:val="24"/>
          <w:szCs w:val="24"/>
        </w:rPr>
        <w:t xml:space="preserve"> will operationalize automation of the approvals process and payments to avoid lost economic benefit for missed discounts and/or early payments too soon.</w:t>
      </w:r>
    </w:p>
    <w:p w:rsidR="00167EF9" w:rsidRPr="00DE585B" w:rsidRDefault="00167EF9" w:rsidP="0010050B">
      <w:pPr>
        <w:pStyle w:val="ListParagraph"/>
        <w:spacing w:line="360" w:lineRule="auto"/>
        <w:ind w:left="1097" w:right="737"/>
        <w:jc w:val="both"/>
        <w:rPr>
          <w:rFonts w:ascii="Arial" w:hAnsi="Arial" w:cs="Arial"/>
          <w:sz w:val="24"/>
          <w:szCs w:val="24"/>
        </w:rPr>
      </w:pPr>
    </w:p>
    <w:p w:rsidR="00167EF9" w:rsidRPr="00DE585B" w:rsidRDefault="00167EF9" w:rsidP="00167EF9">
      <w:pPr>
        <w:pStyle w:val="ListParagraph"/>
        <w:spacing w:line="360" w:lineRule="auto"/>
        <w:ind w:left="1097" w:right="737"/>
        <w:jc w:val="both"/>
        <w:rPr>
          <w:rFonts w:ascii="Arial" w:hAnsi="Arial" w:cs="Arial"/>
          <w:sz w:val="24"/>
          <w:szCs w:val="24"/>
        </w:rPr>
      </w:pPr>
      <w:r w:rsidRPr="00DE585B">
        <w:rPr>
          <w:rFonts w:ascii="Arial" w:hAnsi="Arial" w:cs="Arial"/>
          <w:sz w:val="24"/>
          <w:szCs w:val="24"/>
        </w:rPr>
        <w:t>Temporary Financing (Current Liabilities)</w:t>
      </w:r>
    </w:p>
    <w:p w:rsidR="00167EF9" w:rsidRPr="00DE585B" w:rsidRDefault="00167EF9" w:rsidP="00167EF9">
      <w:pPr>
        <w:pStyle w:val="ListParagraph"/>
        <w:spacing w:line="360" w:lineRule="auto"/>
        <w:ind w:left="1097" w:right="737"/>
        <w:jc w:val="both"/>
        <w:rPr>
          <w:rFonts w:ascii="Arial" w:hAnsi="Arial" w:cs="Arial"/>
          <w:sz w:val="24"/>
          <w:szCs w:val="24"/>
        </w:rPr>
      </w:pPr>
      <w:r w:rsidRPr="00DE585B">
        <w:rPr>
          <w:rFonts w:ascii="Arial" w:hAnsi="Arial" w:cs="Arial"/>
          <w:sz w:val="24"/>
          <w:szCs w:val="24"/>
        </w:rPr>
        <w:t>Temporary financing is defined as debt with a term to maturity of less than one year. It is most commonly used to finance current assets (e.g., inventory and receivables) and to meet temporary working capital needs.</w:t>
      </w:r>
    </w:p>
    <w:p w:rsidR="00167EF9" w:rsidRPr="00DE585B" w:rsidRDefault="00167EF9" w:rsidP="00167EF9">
      <w:pPr>
        <w:pStyle w:val="ListParagraph"/>
        <w:spacing w:line="360" w:lineRule="auto"/>
        <w:ind w:left="1097" w:right="737"/>
        <w:jc w:val="both"/>
        <w:rPr>
          <w:rFonts w:ascii="Arial" w:hAnsi="Arial" w:cs="Arial"/>
          <w:sz w:val="24"/>
          <w:szCs w:val="24"/>
        </w:rPr>
      </w:pPr>
    </w:p>
    <w:p w:rsidR="00167EF9" w:rsidRPr="00DE585B" w:rsidRDefault="00167EF9" w:rsidP="00167EF9">
      <w:pPr>
        <w:pStyle w:val="ListParagraph"/>
        <w:numPr>
          <w:ilvl w:val="0"/>
          <w:numId w:val="17"/>
        </w:numPr>
        <w:spacing w:line="360" w:lineRule="auto"/>
        <w:ind w:left="1097" w:right="737"/>
        <w:jc w:val="both"/>
        <w:rPr>
          <w:rFonts w:ascii="Arial" w:hAnsi="Arial" w:cs="Arial"/>
          <w:b/>
          <w:sz w:val="24"/>
          <w:szCs w:val="24"/>
        </w:rPr>
      </w:pPr>
      <w:r w:rsidRPr="00DE585B">
        <w:rPr>
          <w:rFonts w:ascii="Arial" w:hAnsi="Arial" w:cs="Arial"/>
          <w:b/>
          <w:sz w:val="24"/>
          <w:szCs w:val="24"/>
        </w:rPr>
        <w:t>Short-term vs long-term financing options</w:t>
      </w:r>
    </w:p>
    <w:p w:rsidR="00CE2763" w:rsidRPr="00DE585B" w:rsidRDefault="00CE2763" w:rsidP="00CE2763">
      <w:pPr>
        <w:pStyle w:val="ListParagraph"/>
        <w:spacing w:line="360" w:lineRule="auto"/>
        <w:ind w:left="1097" w:right="737"/>
        <w:jc w:val="both"/>
        <w:rPr>
          <w:rFonts w:ascii="Arial" w:hAnsi="Arial" w:cs="Arial"/>
          <w:b/>
          <w:sz w:val="24"/>
          <w:szCs w:val="24"/>
        </w:rPr>
      </w:pPr>
      <w:r w:rsidRPr="00DE585B">
        <w:rPr>
          <w:rFonts w:ascii="Arial" w:hAnsi="Arial" w:cs="Arial"/>
          <w:b/>
          <w:sz w:val="24"/>
          <w:szCs w:val="24"/>
        </w:rPr>
        <w:t xml:space="preserve">Short-Term Financing (Current Liabilities) </w:t>
      </w:r>
    </w:p>
    <w:p w:rsidR="00CE2763" w:rsidRPr="00DE585B" w:rsidRDefault="00CE2763" w:rsidP="00CE2763">
      <w:pPr>
        <w:pStyle w:val="ListParagraph"/>
        <w:spacing w:line="360" w:lineRule="auto"/>
        <w:ind w:left="1097" w:right="737"/>
        <w:jc w:val="both"/>
        <w:rPr>
          <w:rFonts w:ascii="Arial" w:hAnsi="Arial" w:cs="Arial"/>
          <w:sz w:val="24"/>
          <w:szCs w:val="24"/>
        </w:rPr>
      </w:pPr>
      <w:r w:rsidRPr="00DE585B">
        <w:rPr>
          <w:rFonts w:ascii="Arial" w:hAnsi="Arial" w:cs="Arial"/>
          <w:sz w:val="24"/>
          <w:szCs w:val="24"/>
        </w:rPr>
        <w:lastRenderedPageBreak/>
        <w:t>Short-Term financing is defined as debt with a term to maturity of less than one year. It is most commonly used to finance current assets (e.g., inventory and receivables) and to meet temporary working capital needs. (Rickman, 2023)</w:t>
      </w:r>
    </w:p>
    <w:p w:rsidR="00167EF9" w:rsidRPr="00DE585B" w:rsidRDefault="00167EF9" w:rsidP="00167EF9">
      <w:pPr>
        <w:pStyle w:val="ListParagraph"/>
        <w:spacing w:line="360" w:lineRule="auto"/>
        <w:ind w:left="1097" w:right="737"/>
        <w:jc w:val="both"/>
        <w:rPr>
          <w:rFonts w:ascii="Arial" w:hAnsi="Arial" w:cs="Arial"/>
          <w:b/>
          <w:sz w:val="24"/>
          <w:szCs w:val="24"/>
        </w:rPr>
      </w:pPr>
      <w:r w:rsidRPr="00DE585B">
        <w:rPr>
          <w:rFonts w:ascii="Arial" w:hAnsi="Arial" w:cs="Arial"/>
          <w:b/>
          <w:sz w:val="24"/>
          <w:szCs w:val="24"/>
        </w:rPr>
        <w:t>Key Features:</w:t>
      </w:r>
    </w:p>
    <w:p w:rsidR="00CE2763" w:rsidRPr="00DE585B" w:rsidRDefault="00CE2763" w:rsidP="00CE2763">
      <w:pPr>
        <w:pStyle w:val="ListParagraph"/>
        <w:spacing w:line="360" w:lineRule="auto"/>
        <w:ind w:left="1097" w:right="737"/>
        <w:jc w:val="both"/>
        <w:rPr>
          <w:rFonts w:ascii="Arial" w:hAnsi="Arial" w:cs="Arial"/>
          <w:sz w:val="24"/>
          <w:szCs w:val="24"/>
        </w:rPr>
      </w:pPr>
      <w:r w:rsidRPr="00DE585B">
        <w:rPr>
          <w:rFonts w:ascii="Arial" w:hAnsi="Arial" w:cs="Arial"/>
          <w:b/>
          <w:sz w:val="24"/>
          <w:szCs w:val="24"/>
        </w:rPr>
        <w:t>Period:</w:t>
      </w:r>
      <w:r w:rsidRPr="00DE585B">
        <w:rPr>
          <w:rFonts w:ascii="Arial" w:hAnsi="Arial" w:cs="Arial"/>
          <w:sz w:val="24"/>
          <w:szCs w:val="24"/>
        </w:rPr>
        <w:t xml:space="preserve"> Up to one year.</w:t>
      </w:r>
    </w:p>
    <w:p w:rsidR="00167EF9" w:rsidRPr="00DE585B" w:rsidRDefault="00167EF9" w:rsidP="00CE2763">
      <w:pPr>
        <w:pStyle w:val="ListParagraph"/>
        <w:spacing w:line="360" w:lineRule="auto"/>
        <w:ind w:left="1097" w:right="737"/>
        <w:jc w:val="both"/>
        <w:rPr>
          <w:rFonts w:ascii="Arial" w:hAnsi="Arial" w:cs="Arial"/>
          <w:sz w:val="24"/>
          <w:szCs w:val="24"/>
        </w:rPr>
      </w:pPr>
      <w:r w:rsidRPr="00DE585B">
        <w:rPr>
          <w:rFonts w:ascii="Arial" w:hAnsi="Arial" w:cs="Arial"/>
          <w:b/>
          <w:sz w:val="24"/>
          <w:szCs w:val="24"/>
        </w:rPr>
        <w:t>Costs:</w:t>
      </w:r>
      <w:r w:rsidRPr="00DE585B">
        <w:rPr>
          <w:rFonts w:ascii="Arial" w:hAnsi="Arial" w:cs="Arial"/>
          <w:sz w:val="24"/>
          <w:szCs w:val="24"/>
        </w:rPr>
        <w:t xml:space="preserve"> Interest rates are typically lower than long-term debt, though they also may be less stable (higher variable rates).</w:t>
      </w:r>
    </w:p>
    <w:p w:rsidR="00CE2763" w:rsidRPr="00DE585B" w:rsidRDefault="00167EF9" w:rsidP="00CE2763">
      <w:pPr>
        <w:pStyle w:val="ListParagraph"/>
        <w:spacing w:line="360" w:lineRule="auto"/>
        <w:ind w:left="1097" w:right="737"/>
        <w:jc w:val="both"/>
        <w:rPr>
          <w:rFonts w:ascii="Arial" w:hAnsi="Arial" w:cs="Arial"/>
          <w:sz w:val="24"/>
          <w:szCs w:val="24"/>
        </w:rPr>
      </w:pPr>
      <w:r w:rsidRPr="00DE585B">
        <w:rPr>
          <w:rFonts w:ascii="Arial" w:hAnsi="Arial" w:cs="Arial"/>
          <w:b/>
          <w:sz w:val="24"/>
          <w:szCs w:val="24"/>
        </w:rPr>
        <w:t>Risk:</w:t>
      </w:r>
      <w:r w:rsidRPr="00DE585B">
        <w:rPr>
          <w:rFonts w:ascii="Arial" w:hAnsi="Arial" w:cs="Arial"/>
          <w:sz w:val="24"/>
          <w:szCs w:val="24"/>
        </w:rPr>
        <w:t xml:space="preserve"> Liquidity risk for the borrower is often great</w:t>
      </w:r>
      <w:r w:rsidR="00CE2763" w:rsidRPr="00DE585B">
        <w:rPr>
          <w:rFonts w:ascii="Arial" w:hAnsi="Arial" w:cs="Arial"/>
          <w:sz w:val="24"/>
          <w:szCs w:val="24"/>
        </w:rPr>
        <w:t>er due to constant refinancing.</w:t>
      </w:r>
    </w:p>
    <w:p w:rsidR="00167EF9" w:rsidRPr="00DE585B" w:rsidRDefault="00167EF9" w:rsidP="00CE2763">
      <w:pPr>
        <w:pStyle w:val="ListParagraph"/>
        <w:spacing w:line="360" w:lineRule="auto"/>
        <w:ind w:left="1097" w:right="737"/>
        <w:jc w:val="both"/>
        <w:rPr>
          <w:rFonts w:ascii="Arial" w:hAnsi="Arial" w:cs="Arial"/>
          <w:sz w:val="24"/>
          <w:szCs w:val="24"/>
        </w:rPr>
      </w:pPr>
      <w:r w:rsidRPr="00DE585B">
        <w:rPr>
          <w:rFonts w:ascii="Arial" w:hAnsi="Arial" w:cs="Arial"/>
          <w:b/>
          <w:sz w:val="24"/>
          <w:szCs w:val="24"/>
        </w:rPr>
        <w:t>Flexible:</w:t>
      </w:r>
      <w:r w:rsidRPr="00DE585B">
        <w:rPr>
          <w:rFonts w:ascii="Arial" w:hAnsi="Arial" w:cs="Arial"/>
          <w:sz w:val="24"/>
          <w:szCs w:val="24"/>
        </w:rPr>
        <w:t xml:space="preserve"> Often more flexible and quicker than long term financing.</w:t>
      </w:r>
    </w:p>
    <w:tbl>
      <w:tblPr>
        <w:tblStyle w:val="GridTable6Colorful-Accent6"/>
        <w:tblW w:w="9488" w:type="dxa"/>
        <w:tblInd w:w="632" w:type="dxa"/>
        <w:tblLook w:val="04A0" w:firstRow="1" w:lastRow="0" w:firstColumn="1" w:lastColumn="0" w:noHBand="0" w:noVBand="1"/>
      </w:tblPr>
      <w:tblGrid>
        <w:gridCol w:w="2161"/>
        <w:gridCol w:w="3403"/>
        <w:gridCol w:w="3924"/>
      </w:tblGrid>
      <w:tr w:rsidR="00CE2763" w:rsidRPr="00DE585B" w:rsidTr="00CE2763">
        <w:trPr>
          <w:cnfStyle w:val="100000000000" w:firstRow="1" w:lastRow="0" w:firstColumn="0" w:lastColumn="0" w:oddVBand="0" w:evenVBand="0" w:oddHBand="0"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0" w:type="auto"/>
            <w:hideMark/>
          </w:tcPr>
          <w:p w:rsidR="00CE2763" w:rsidRPr="00CE2763" w:rsidRDefault="00CE2763" w:rsidP="00CE2763">
            <w:pPr>
              <w:jc w:val="center"/>
              <w:rPr>
                <w:rFonts w:ascii="Arial" w:hAnsi="Arial" w:cs="Arial"/>
                <w:color w:val="auto"/>
                <w:sz w:val="24"/>
                <w:szCs w:val="24"/>
              </w:rPr>
            </w:pPr>
            <w:r w:rsidRPr="00DE585B">
              <w:rPr>
                <w:rFonts w:ascii="Arial" w:hAnsi="Arial" w:cs="Arial"/>
                <w:color w:val="auto"/>
                <w:sz w:val="24"/>
                <w:szCs w:val="24"/>
              </w:rPr>
              <w:t>Option</w:t>
            </w:r>
          </w:p>
        </w:tc>
        <w:tc>
          <w:tcPr>
            <w:tcW w:w="0" w:type="auto"/>
            <w:hideMark/>
          </w:tcPr>
          <w:p w:rsidR="00CE2763" w:rsidRPr="00CE2763" w:rsidRDefault="00CE2763" w:rsidP="00CE2763">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Use Case</w:t>
            </w:r>
          </w:p>
        </w:tc>
        <w:tc>
          <w:tcPr>
            <w:tcW w:w="0" w:type="auto"/>
            <w:hideMark/>
          </w:tcPr>
          <w:p w:rsidR="00CE2763" w:rsidRPr="00CE2763" w:rsidRDefault="00CE2763" w:rsidP="00CE2763">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Relevance to General Electronics</w:t>
            </w:r>
          </w:p>
        </w:tc>
      </w:tr>
      <w:tr w:rsidR="00CE2763" w:rsidRPr="00DE585B" w:rsidTr="00CE2763">
        <w:trPr>
          <w:cnfStyle w:val="000000100000" w:firstRow="0" w:lastRow="0" w:firstColumn="0" w:lastColumn="0" w:oddVBand="0" w:evenVBand="0" w:oddHBand="1"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0" w:type="auto"/>
            <w:hideMark/>
          </w:tcPr>
          <w:p w:rsidR="00CE2763" w:rsidRPr="00CE2763" w:rsidRDefault="00CE2763" w:rsidP="00CE2763">
            <w:pPr>
              <w:rPr>
                <w:rFonts w:ascii="Arial" w:hAnsi="Arial" w:cs="Arial"/>
                <w:color w:val="auto"/>
                <w:sz w:val="24"/>
                <w:szCs w:val="24"/>
              </w:rPr>
            </w:pPr>
            <w:r w:rsidRPr="00CE2763">
              <w:rPr>
                <w:rFonts w:ascii="Arial" w:hAnsi="Arial" w:cs="Arial"/>
                <w:color w:val="auto"/>
                <w:sz w:val="24"/>
                <w:szCs w:val="24"/>
              </w:rPr>
              <w:t>Trade Credit (Accounts Payable)</w:t>
            </w:r>
          </w:p>
        </w:tc>
        <w:tc>
          <w:tcPr>
            <w:tcW w:w="0" w:type="auto"/>
            <w:hideMark/>
          </w:tcPr>
          <w:p w:rsidR="00CE2763" w:rsidRPr="00CE2763" w:rsidRDefault="00CE2763" w:rsidP="00CE2763">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Financing day-to-day expenditures and inventory purchases.</w:t>
            </w:r>
          </w:p>
        </w:tc>
        <w:tc>
          <w:tcPr>
            <w:tcW w:w="0" w:type="auto"/>
            <w:hideMark/>
          </w:tcPr>
          <w:p w:rsidR="00CE2763" w:rsidRPr="00CE2763" w:rsidRDefault="00CE2763" w:rsidP="00CE2763">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 xml:space="preserve">Maximized now (128.7 </w:t>
            </w:r>
            <w:proofErr w:type="spellStart"/>
            <w:r w:rsidRPr="00DE585B">
              <w:rPr>
                <w:rFonts w:ascii="Arial" w:hAnsi="Arial" w:cs="Arial"/>
                <w:color w:val="auto"/>
                <w:sz w:val="24"/>
                <w:szCs w:val="24"/>
              </w:rPr>
              <w:t>Paidables</w:t>
            </w:r>
            <w:proofErr w:type="spellEnd"/>
            <w:r w:rsidRPr="00DE585B">
              <w:rPr>
                <w:rFonts w:ascii="Arial" w:hAnsi="Arial" w:cs="Arial"/>
                <w:color w:val="auto"/>
                <w:sz w:val="24"/>
                <w:szCs w:val="24"/>
              </w:rPr>
              <w:t xml:space="preserve"> Days). Further stretching is risky to your supply chain.</w:t>
            </w:r>
          </w:p>
        </w:tc>
      </w:tr>
      <w:tr w:rsidR="00CE2763" w:rsidRPr="00DE585B" w:rsidTr="00CE2763">
        <w:trPr>
          <w:trHeight w:val="677"/>
        </w:trPr>
        <w:tc>
          <w:tcPr>
            <w:cnfStyle w:val="001000000000" w:firstRow="0" w:lastRow="0" w:firstColumn="1" w:lastColumn="0" w:oddVBand="0" w:evenVBand="0" w:oddHBand="0" w:evenHBand="0" w:firstRowFirstColumn="0" w:firstRowLastColumn="0" w:lastRowFirstColumn="0" w:lastRowLastColumn="0"/>
            <w:tcW w:w="0" w:type="auto"/>
            <w:hideMark/>
          </w:tcPr>
          <w:p w:rsidR="00CE2763" w:rsidRPr="00CE2763" w:rsidRDefault="00CE2763" w:rsidP="00CE2763">
            <w:pPr>
              <w:rPr>
                <w:rFonts w:ascii="Arial" w:hAnsi="Arial" w:cs="Arial"/>
                <w:color w:val="auto"/>
                <w:sz w:val="24"/>
                <w:szCs w:val="24"/>
              </w:rPr>
            </w:pPr>
            <w:r w:rsidRPr="00CE2763">
              <w:rPr>
                <w:rFonts w:ascii="Arial" w:hAnsi="Arial" w:cs="Arial"/>
                <w:color w:val="auto"/>
                <w:sz w:val="24"/>
                <w:szCs w:val="24"/>
              </w:rPr>
              <w:t>Bank Lines of Credit</w:t>
            </w:r>
          </w:p>
        </w:tc>
        <w:tc>
          <w:tcPr>
            <w:tcW w:w="0" w:type="auto"/>
            <w:hideMark/>
          </w:tcPr>
          <w:p w:rsidR="00CE2763" w:rsidRPr="00CE2763" w:rsidRDefault="00CE2763" w:rsidP="00CE2763">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Cover seasonal spikes and provide a quick avenue to working capital.</w:t>
            </w:r>
          </w:p>
        </w:tc>
        <w:tc>
          <w:tcPr>
            <w:tcW w:w="0" w:type="auto"/>
            <w:hideMark/>
          </w:tcPr>
          <w:p w:rsidR="00CE2763" w:rsidRPr="00CE2763" w:rsidRDefault="00CE2763" w:rsidP="00CE2763">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Essential. Provides an important safety net for the tight Quick Ratio, covering any shortfall.</w:t>
            </w:r>
          </w:p>
        </w:tc>
      </w:tr>
      <w:tr w:rsidR="00CE2763" w:rsidRPr="00DE585B" w:rsidTr="00CE2763">
        <w:trPr>
          <w:cnfStyle w:val="000000100000" w:firstRow="0" w:lastRow="0" w:firstColumn="0" w:lastColumn="0" w:oddVBand="0" w:evenVBand="0" w:oddHBand="1"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0" w:type="auto"/>
            <w:hideMark/>
          </w:tcPr>
          <w:p w:rsidR="00CE2763" w:rsidRPr="00CE2763" w:rsidRDefault="00CE2763" w:rsidP="00CE2763">
            <w:pPr>
              <w:rPr>
                <w:rFonts w:ascii="Arial" w:hAnsi="Arial" w:cs="Arial"/>
                <w:color w:val="auto"/>
                <w:sz w:val="24"/>
                <w:szCs w:val="24"/>
              </w:rPr>
            </w:pPr>
            <w:r w:rsidRPr="00CE2763">
              <w:rPr>
                <w:rFonts w:ascii="Arial" w:hAnsi="Arial" w:cs="Arial"/>
                <w:color w:val="auto"/>
                <w:sz w:val="24"/>
                <w:szCs w:val="24"/>
              </w:rPr>
              <w:t>Commercial Paper</w:t>
            </w:r>
          </w:p>
        </w:tc>
        <w:tc>
          <w:tcPr>
            <w:tcW w:w="0" w:type="auto"/>
            <w:hideMark/>
          </w:tcPr>
          <w:p w:rsidR="00CE2763" w:rsidRPr="00CE2763" w:rsidRDefault="00CE2763" w:rsidP="00CE2763">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 xml:space="preserve">Large, unsecured loans mainly for large, creditworthy companies. </w:t>
            </w:r>
          </w:p>
        </w:tc>
        <w:tc>
          <w:tcPr>
            <w:tcW w:w="0" w:type="auto"/>
            <w:hideMark/>
          </w:tcPr>
          <w:p w:rsidR="00CE2763" w:rsidRPr="00CE2763" w:rsidRDefault="00CE2763" w:rsidP="00CE2763">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DE585B">
              <w:rPr>
                <w:rFonts w:ascii="Arial" w:hAnsi="Arial" w:cs="Arial"/>
                <w:sz w:val="24"/>
                <w:szCs w:val="24"/>
              </w:rPr>
              <w:br/>
            </w:r>
            <w:r w:rsidRPr="00DE585B">
              <w:rPr>
                <w:rFonts w:ascii="Arial" w:hAnsi="Arial" w:cs="Arial"/>
                <w:color w:val="auto"/>
                <w:sz w:val="24"/>
                <w:szCs w:val="24"/>
              </w:rPr>
              <w:t>Difficult to obtain now due to negative profitability (NPM/ROE) and rating.</w:t>
            </w:r>
          </w:p>
        </w:tc>
      </w:tr>
      <w:tr w:rsidR="00CE2763" w:rsidRPr="00DE585B" w:rsidTr="00CE2763">
        <w:trPr>
          <w:trHeight w:val="302"/>
        </w:trPr>
        <w:tc>
          <w:tcPr>
            <w:cnfStyle w:val="001000000000" w:firstRow="0" w:lastRow="0" w:firstColumn="1" w:lastColumn="0" w:oddVBand="0" w:evenVBand="0" w:oddHBand="0" w:evenHBand="0" w:firstRowFirstColumn="0" w:firstRowLastColumn="0" w:lastRowFirstColumn="0" w:lastRowLastColumn="0"/>
            <w:tcW w:w="0" w:type="auto"/>
            <w:hideMark/>
          </w:tcPr>
          <w:p w:rsidR="00CE2763" w:rsidRPr="00CE2763" w:rsidRDefault="00CE2763" w:rsidP="00CE2763">
            <w:pPr>
              <w:rPr>
                <w:rFonts w:ascii="Arial" w:hAnsi="Arial" w:cs="Arial"/>
                <w:color w:val="auto"/>
                <w:sz w:val="24"/>
                <w:szCs w:val="24"/>
              </w:rPr>
            </w:pPr>
            <w:r w:rsidRPr="00CE2763">
              <w:rPr>
                <w:rFonts w:ascii="Arial" w:hAnsi="Arial" w:cs="Arial"/>
                <w:color w:val="auto"/>
                <w:sz w:val="24"/>
                <w:szCs w:val="24"/>
              </w:rPr>
              <w:t>Factoring / Asset-Backed Loans</w:t>
            </w:r>
          </w:p>
        </w:tc>
        <w:tc>
          <w:tcPr>
            <w:tcW w:w="0" w:type="auto"/>
            <w:hideMark/>
          </w:tcPr>
          <w:p w:rsidR="00CE2763" w:rsidRPr="00CE2763" w:rsidRDefault="00CE2763" w:rsidP="00CE2763">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Sell Accounts Receivable for immediate access to short-terms capital, on discount.</w:t>
            </w:r>
          </w:p>
        </w:tc>
        <w:tc>
          <w:tcPr>
            <w:tcW w:w="0" w:type="auto"/>
            <w:hideMark/>
          </w:tcPr>
          <w:p w:rsidR="00CE2763" w:rsidRPr="00CE2763" w:rsidRDefault="00CE2763" w:rsidP="00CE2763">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Highly relevant. Directly converts the slow 88.8 Receivables Days to immediate cash generating liquidity.</w:t>
            </w:r>
          </w:p>
        </w:tc>
      </w:tr>
    </w:tbl>
    <w:p w:rsidR="00CE2763" w:rsidRPr="00DE585B" w:rsidRDefault="00CE2763" w:rsidP="00CE2763">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Table 2.2 Short Term Options (Self – Sourced)</w:t>
      </w:r>
    </w:p>
    <w:p w:rsidR="00CE2763" w:rsidRPr="00DE585B" w:rsidRDefault="00CE2763" w:rsidP="00CE2763">
      <w:pPr>
        <w:pStyle w:val="ListParagraph"/>
        <w:spacing w:line="360" w:lineRule="auto"/>
        <w:ind w:left="1097" w:right="737"/>
        <w:jc w:val="center"/>
        <w:rPr>
          <w:rFonts w:ascii="Arial" w:hAnsi="Arial" w:cs="Arial"/>
          <w:b/>
          <w:i/>
          <w:sz w:val="24"/>
          <w:szCs w:val="24"/>
          <w:u w:val="single"/>
        </w:rPr>
      </w:pPr>
    </w:p>
    <w:p w:rsidR="00CE2763" w:rsidRPr="00DE585B" w:rsidRDefault="00CE2763" w:rsidP="00CE2763">
      <w:pPr>
        <w:spacing w:line="360" w:lineRule="auto"/>
        <w:ind w:left="737" w:right="737"/>
        <w:rPr>
          <w:rFonts w:ascii="Arial" w:hAnsi="Arial" w:cs="Arial"/>
          <w:b/>
          <w:sz w:val="24"/>
          <w:szCs w:val="24"/>
        </w:rPr>
      </w:pPr>
      <w:r w:rsidRPr="00DE585B">
        <w:rPr>
          <w:rFonts w:ascii="Arial" w:hAnsi="Arial" w:cs="Arial"/>
          <w:b/>
          <w:sz w:val="24"/>
          <w:szCs w:val="24"/>
        </w:rPr>
        <w:t>Long-Term Financing (Non-Current Liabilities &amp; Equity)</w:t>
      </w:r>
    </w:p>
    <w:p w:rsidR="00CE2763" w:rsidRPr="00DE585B" w:rsidRDefault="00CE2763" w:rsidP="00CE2763">
      <w:pPr>
        <w:spacing w:line="360" w:lineRule="auto"/>
        <w:ind w:left="737" w:right="737"/>
        <w:rPr>
          <w:rFonts w:ascii="Arial" w:hAnsi="Arial" w:cs="Arial"/>
          <w:sz w:val="24"/>
          <w:szCs w:val="24"/>
        </w:rPr>
      </w:pPr>
      <w:r w:rsidRPr="00DE585B">
        <w:rPr>
          <w:rFonts w:ascii="Arial" w:hAnsi="Arial" w:cs="Arial"/>
          <w:sz w:val="24"/>
          <w:szCs w:val="24"/>
        </w:rPr>
        <w:t>Long-term financing consists of capital that has a maturity of more than one year. It is generally used to fund non-current assets (for example, PPE, or R&amp;D) and to provide a stable capital base. (Rickman, 2023)</w:t>
      </w:r>
    </w:p>
    <w:p w:rsidR="00CE2763" w:rsidRPr="00DE585B" w:rsidRDefault="00CE2763" w:rsidP="00CE2763">
      <w:pPr>
        <w:spacing w:line="360" w:lineRule="auto"/>
        <w:ind w:left="737" w:right="737"/>
        <w:rPr>
          <w:rFonts w:ascii="Arial" w:hAnsi="Arial" w:cs="Arial"/>
          <w:b/>
          <w:sz w:val="24"/>
          <w:szCs w:val="24"/>
        </w:rPr>
      </w:pPr>
      <w:r w:rsidRPr="00DE585B">
        <w:rPr>
          <w:rFonts w:ascii="Arial" w:hAnsi="Arial" w:cs="Arial"/>
          <w:b/>
          <w:sz w:val="24"/>
          <w:szCs w:val="24"/>
        </w:rPr>
        <w:t xml:space="preserve">Key Attributes: </w:t>
      </w:r>
    </w:p>
    <w:p w:rsidR="00CE2763" w:rsidRPr="00DE585B" w:rsidRDefault="00CE2763" w:rsidP="00CE2763">
      <w:pPr>
        <w:spacing w:line="360" w:lineRule="auto"/>
        <w:ind w:left="737" w:right="737"/>
        <w:rPr>
          <w:rFonts w:ascii="Arial" w:hAnsi="Arial" w:cs="Arial"/>
          <w:sz w:val="24"/>
          <w:szCs w:val="24"/>
        </w:rPr>
      </w:pPr>
      <w:r w:rsidRPr="00DE585B">
        <w:rPr>
          <w:rFonts w:ascii="Arial" w:hAnsi="Arial" w:cs="Arial"/>
          <w:b/>
          <w:sz w:val="24"/>
          <w:szCs w:val="24"/>
        </w:rPr>
        <w:t>Time</w:t>
      </w:r>
      <w:r w:rsidRPr="00DE585B">
        <w:rPr>
          <w:rFonts w:ascii="Arial" w:hAnsi="Arial" w:cs="Arial"/>
          <w:sz w:val="24"/>
          <w:szCs w:val="24"/>
        </w:rPr>
        <w:t xml:space="preserve">: Generally time frames for long-term liabilities is 1 to 30 years. </w:t>
      </w:r>
    </w:p>
    <w:p w:rsidR="00CE2763" w:rsidRPr="00DE585B" w:rsidRDefault="00CE2763" w:rsidP="00CE2763">
      <w:pPr>
        <w:spacing w:line="360" w:lineRule="auto"/>
        <w:ind w:left="737" w:right="737"/>
        <w:rPr>
          <w:rFonts w:ascii="Arial" w:hAnsi="Arial" w:cs="Arial"/>
          <w:sz w:val="24"/>
          <w:szCs w:val="24"/>
        </w:rPr>
      </w:pPr>
      <w:r w:rsidRPr="00DE585B">
        <w:rPr>
          <w:rFonts w:ascii="Arial" w:hAnsi="Arial" w:cs="Arial"/>
          <w:b/>
          <w:sz w:val="24"/>
          <w:szCs w:val="24"/>
        </w:rPr>
        <w:t>Cost</w:t>
      </w:r>
      <w:r w:rsidRPr="00DE585B">
        <w:rPr>
          <w:rFonts w:ascii="Arial" w:hAnsi="Arial" w:cs="Arial"/>
          <w:sz w:val="24"/>
          <w:szCs w:val="24"/>
        </w:rPr>
        <w:t xml:space="preserve">: Generally has a higher overall cost than short-term debt, but the rate is often fixed (providing certainty). </w:t>
      </w:r>
    </w:p>
    <w:p w:rsidR="00CE2763" w:rsidRPr="00DE585B" w:rsidRDefault="00CE2763" w:rsidP="00CE2763">
      <w:pPr>
        <w:spacing w:line="360" w:lineRule="auto"/>
        <w:ind w:left="737" w:right="737"/>
        <w:rPr>
          <w:rFonts w:ascii="Arial" w:hAnsi="Arial" w:cs="Arial"/>
          <w:sz w:val="24"/>
          <w:szCs w:val="24"/>
        </w:rPr>
      </w:pPr>
      <w:r w:rsidRPr="00DE585B">
        <w:rPr>
          <w:rFonts w:ascii="Arial" w:hAnsi="Arial" w:cs="Arial"/>
          <w:b/>
          <w:sz w:val="24"/>
          <w:szCs w:val="24"/>
        </w:rPr>
        <w:lastRenderedPageBreak/>
        <w:t>Risk:</w:t>
      </w:r>
      <w:r w:rsidRPr="00DE585B">
        <w:rPr>
          <w:rFonts w:ascii="Arial" w:hAnsi="Arial" w:cs="Arial"/>
          <w:sz w:val="24"/>
          <w:szCs w:val="24"/>
        </w:rPr>
        <w:t xml:space="preserve"> Has a lower liquidity risk, since the debt does not mature for years. </w:t>
      </w:r>
    </w:p>
    <w:p w:rsidR="00CE2763" w:rsidRPr="00DE585B" w:rsidRDefault="00CE2763" w:rsidP="00DE585B">
      <w:pPr>
        <w:spacing w:line="360" w:lineRule="auto"/>
        <w:ind w:left="737" w:right="737"/>
        <w:rPr>
          <w:rFonts w:ascii="Arial" w:hAnsi="Arial" w:cs="Arial"/>
          <w:sz w:val="24"/>
          <w:szCs w:val="24"/>
        </w:rPr>
      </w:pPr>
      <w:r w:rsidRPr="00DE585B">
        <w:rPr>
          <w:rFonts w:ascii="Arial" w:hAnsi="Arial" w:cs="Arial"/>
          <w:b/>
          <w:sz w:val="24"/>
          <w:szCs w:val="24"/>
        </w:rPr>
        <w:t>Flexibility</w:t>
      </w:r>
      <w:r w:rsidRPr="00DE585B">
        <w:rPr>
          <w:rFonts w:ascii="Arial" w:hAnsi="Arial" w:cs="Arial"/>
          <w:sz w:val="24"/>
          <w:szCs w:val="24"/>
        </w:rPr>
        <w:t>: Is less flexible, often requiring collateral and high setup costs.</w:t>
      </w:r>
    </w:p>
    <w:tbl>
      <w:tblPr>
        <w:tblStyle w:val="GridTable4-Accent2"/>
        <w:tblW w:w="8944" w:type="dxa"/>
        <w:tblInd w:w="902" w:type="dxa"/>
        <w:tblLook w:val="04A0" w:firstRow="1" w:lastRow="0" w:firstColumn="1" w:lastColumn="0" w:noHBand="0" w:noVBand="1"/>
      </w:tblPr>
      <w:tblGrid>
        <w:gridCol w:w="1535"/>
        <w:gridCol w:w="2649"/>
        <w:gridCol w:w="4760"/>
      </w:tblGrid>
      <w:tr w:rsidR="00DE585B" w:rsidRPr="00DE585B" w:rsidTr="00DE585B">
        <w:trPr>
          <w:cnfStyle w:val="100000000000" w:firstRow="1" w:lastRow="0" w:firstColumn="0" w:lastColumn="0" w:oddVBand="0" w:evenVBand="0" w:oddHBand="0"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0" w:type="auto"/>
            <w:hideMark/>
          </w:tcPr>
          <w:p w:rsidR="00DE585B" w:rsidRPr="00DE585B" w:rsidRDefault="00DE585B" w:rsidP="00DE585B">
            <w:pPr>
              <w:jc w:val="center"/>
              <w:rPr>
                <w:rFonts w:ascii="Arial" w:hAnsi="Arial" w:cs="Arial"/>
                <w:color w:val="auto"/>
                <w:sz w:val="24"/>
                <w:szCs w:val="24"/>
              </w:rPr>
            </w:pPr>
            <w:r w:rsidRPr="00DE585B">
              <w:rPr>
                <w:rFonts w:ascii="Arial" w:hAnsi="Arial" w:cs="Arial"/>
                <w:color w:val="auto"/>
                <w:sz w:val="24"/>
                <w:szCs w:val="24"/>
              </w:rPr>
              <w:t>Option</w:t>
            </w:r>
          </w:p>
        </w:tc>
        <w:tc>
          <w:tcPr>
            <w:tcW w:w="0" w:type="auto"/>
            <w:hideMark/>
          </w:tcPr>
          <w:p w:rsidR="00DE585B" w:rsidRPr="00DE585B" w:rsidRDefault="00DE585B" w:rsidP="00DE585B">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Use Case</w:t>
            </w:r>
          </w:p>
        </w:tc>
        <w:tc>
          <w:tcPr>
            <w:tcW w:w="0" w:type="auto"/>
            <w:hideMark/>
          </w:tcPr>
          <w:p w:rsidR="00DE585B" w:rsidRPr="00DE585B" w:rsidRDefault="00DE585B" w:rsidP="00DE585B">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DE585B">
              <w:rPr>
                <w:rFonts w:ascii="Arial" w:hAnsi="Arial" w:cs="Arial"/>
                <w:color w:val="auto"/>
                <w:sz w:val="24"/>
                <w:szCs w:val="24"/>
              </w:rPr>
              <w:t>Relevance to General Electronics</w:t>
            </w:r>
          </w:p>
        </w:tc>
      </w:tr>
      <w:tr w:rsidR="00DE585B" w:rsidRPr="00DE585B" w:rsidTr="00DE585B">
        <w:trPr>
          <w:cnfStyle w:val="000000100000" w:firstRow="0" w:lastRow="0" w:firstColumn="0" w:lastColumn="0" w:oddVBand="0" w:evenVBand="0" w:oddHBand="1" w:evenHBand="0" w:firstRowFirstColumn="0" w:firstRowLastColumn="0" w:lastRowFirstColumn="0" w:lastRowLastColumn="0"/>
          <w:trHeight w:val="975"/>
        </w:trPr>
        <w:tc>
          <w:tcPr>
            <w:cnfStyle w:val="001000000000" w:firstRow="0" w:lastRow="0" w:firstColumn="1" w:lastColumn="0" w:oddVBand="0" w:evenVBand="0" w:oddHBand="0" w:evenHBand="0" w:firstRowFirstColumn="0" w:firstRowLastColumn="0" w:lastRowFirstColumn="0" w:lastRowLastColumn="0"/>
            <w:tcW w:w="0" w:type="auto"/>
            <w:hideMark/>
          </w:tcPr>
          <w:p w:rsidR="00DE585B" w:rsidRPr="00DE585B" w:rsidRDefault="00DE585B" w:rsidP="00395624">
            <w:pPr>
              <w:spacing w:line="360" w:lineRule="auto"/>
              <w:rPr>
                <w:rFonts w:ascii="Arial" w:hAnsi="Arial" w:cs="Arial"/>
                <w:sz w:val="24"/>
                <w:szCs w:val="24"/>
              </w:rPr>
            </w:pPr>
            <w:r w:rsidRPr="00DE585B">
              <w:rPr>
                <w:rFonts w:ascii="Arial" w:hAnsi="Arial" w:cs="Arial"/>
                <w:sz w:val="24"/>
                <w:szCs w:val="24"/>
              </w:rPr>
              <w:t>Term Loans</w:t>
            </w:r>
          </w:p>
        </w:tc>
        <w:tc>
          <w:tcPr>
            <w:tcW w:w="0" w:type="auto"/>
            <w:hideMark/>
          </w:tcPr>
          <w:p w:rsidR="00DE585B" w:rsidRPr="00DE585B" w:rsidRDefault="00DE585B" w:rsidP="003956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Funding large capital expenditures (PPE, Intangible assets).</w:t>
            </w:r>
          </w:p>
        </w:tc>
        <w:tc>
          <w:tcPr>
            <w:tcW w:w="0" w:type="auto"/>
            <w:hideMark/>
          </w:tcPr>
          <w:p w:rsidR="00DE585B" w:rsidRPr="00DE585B" w:rsidRDefault="00DE585B" w:rsidP="003956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The debt may be necessary for operational restructuring, but it is difficult to obtain at high Debt-to-Equity (1.11:1).</w:t>
            </w:r>
          </w:p>
        </w:tc>
      </w:tr>
      <w:tr w:rsidR="00DE585B" w:rsidRPr="00DE585B" w:rsidTr="00DE585B">
        <w:trPr>
          <w:trHeight w:val="975"/>
        </w:trPr>
        <w:tc>
          <w:tcPr>
            <w:cnfStyle w:val="001000000000" w:firstRow="0" w:lastRow="0" w:firstColumn="1" w:lastColumn="0" w:oddVBand="0" w:evenVBand="0" w:oddHBand="0" w:evenHBand="0" w:firstRowFirstColumn="0" w:firstRowLastColumn="0" w:lastRowFirstColumn="0" w:lastRowLastColumn="0"/>
            <w:tcW w:w="0" w:type="auto"/>
            <w:hideMark/>
          </w:tcPr>
          <w:p w:rsidR="00DE585B" w:rsidRPr="00DE585B" w:rsidRDefault="00DE585B" w:rsidP="00395624">
            <w:pPr>
              <w:spacing w:line="360" w:lineRule="auto"/>
              <w:rPr>
                <w:rFonts w:ascii="Arial" w:hAnsi="Arial" w:cs="Arial"/>
                <w:sz w:val="24"/>
                <w:szCs w:val="24"/>
              </w:rPr>
            </w:pPr>
            <w:r w:rsidRPr="00DE585B">
              <w:rPr>
                <w:rFonts w:ascii="Arial" w:hAnsi="Arial" w:cs="Arial"/>
                <w:sz w:val="24"/>
                <w:szCs w:val="24"/>
              </w:rPr>
              <w:t>Corporate Bonds</w:t>
            </w:r>
          </w:p>
        </w:tc>
        <w:tc>
          <w:tcPr>
            <w:tcW w:w="0" w:type="auto"/>
            <w:hideMark/>
          </w:tcPr>
          <w:p w:rsidR="00DE585B" w:rsidRPr="00DE585B" w:rsidRDefault="00DE585B" w:rsidP="0039562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Extensively borrowing from the public markets.</w:t>
            </w:r>
          </w:p>
        </w:tc>
        <w:tc>
          <w:tcPr>
            <w:tcW w:w="0" w:type="auto"/>
            <w:hideMark/>
          </w:tcPr>
          <w:p w:rsidR="00DE585B" w:rsidRPr="00DE585B" w:rsidRDefault="00DE585B" w:rsidP="0039562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Not likely. A negative ROE/EPS and consequent serious solvency/credit risk makes bonds not feasible or cost prohibitive.</w:t>
            </w:r>
          </w:p>
        </w:tc>
      </w:tr>
      <w:tr w:rsidR="00DE585B" w:rsidRPr="00DE585B" w:rsidTr="00DE585B">
        <w:trPr>
          <w:cnfStyle w:val="000000100000" w:firstRow="0" w:lastRow="0" w:firstColumn="0" w:lastColumn="0" w:oddVBand="0" w:evenVBand="0" w:oddHBand="1" w:evenHBand="0" w:firstRowFirstColumn="0" w:firstRowLastColumn="0" w:lastRowFirstColumn="0" w:lastRowLastColumn="0"/>
          <w:trHeight w:val="975"/>
        </w:trPr>
        <w:tc>
          <w:tcPr>
            <w:cnfStyle w:val="001000000000" w:firstRow="0" w:lastRow="0" w:firstColumn="1" w:lastColumn="0" w:oddVBand="0" w:evenVBand="0" w:oddHBand="0" w:evenHBand="0" w:firstRowFirstColumn="0" w:firstRowLastColumn="0" w:lastRowFirstColumn="0" w:lastRowLastColumn="0"/>
            <w:tcW w:w="0" w:type="auto"/>
            <w:hideMark/>
          </w:tcPr>
          <w:p w:rsidR="00DE585B" w:rsidRPr="00DE585B" w:rsidRDefault="00DE585B" w:rsidP="00395624">
            <w:pPr>
              <w:spacing w:line="360" w:lineRule="auto"/>
              <w:rPr>
                <w:rFonts w:ascii="Arial" w:hAnsi="Arial" w:cs="Arial"/>
                <w:sz w:val="24"/>
                <w:szCs w:val="24"/>
              </w:rPr>
            </w:pPr>
            <w:r w:rsidRPr="00DE585B">
              <w:rPr>
                <w:rFonts w:ascii="Arial" w:hAnsi="Arial" w:cs="Arial"/>
                <w:sz w:val="24"/>
                <w:szCs w:val="24"/>
              </w:rPr>
              <w:t>Equity Financing</w:t>
            </w:r>
          </w:p>
        </w:tc>
        <w:tc>
          <w:tcPr>
            <w:tcW w:w="0" w:type="auto"/>
            <w:hideMark/>
          </w:tcPr>
          <w:p w:rsidR="00DE585B" w:rsidRPr="00DE585B" w:rsidRDefault="00DE585B" w:rsidP="003956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Issuing new common or preferred stock (Dilution).</w:t>
            </w:r>
          </w:p>
        </w:tc>
        <w:tc>
          <w:tcPr>
            <w:tcW w:w="0" w:type="auto"/>
            <w:hideMark/>
          </w:tcPr>
          <w:p w:rsidR="00DE585B" w:rsidRPr="00DE585B" w:rsidRDefault="00DE585B" w:rsidP="003956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E585B">
              <w:rPr>
                <w:rFonts w:ascii="Arial" w:hAnsi="Arial" w:cs="Arial"/>
                <w:sz w:val="24"/>
                <w:szCs w:val="24"/>
              </w:rPr>
              <w:t>Theoretically the best option. This option also produces cash (no repayment required), rectifying the eroded Equity base and reduces the D/E ratio.</w:t>
            </w:r>
          </w:p>
        </w:tc>
      </w:tr>
      <w:tr w:rsidR="00DE585B" w:rsidRPr="00DE585B" w:rsidTr="00DE585B">
        <w:trPr>
          <w:trHeight w:val="636"/>
        </w:trPr>
        <w:tc>
          <w:tcPr>
            <w:cnfStyle w:val="001000000000" w:firstRow="0" w:lastRow="0" w:firstColumn="1" w:lastColumn="0" w:oddVBand="0" w:evenVBand="0" w:oddHBand="0" w:evenHBand="0" w:firstRowFirstColumn="0" w:firstRowLastColumn="0" w:lastRowFirstColumn="0" w:lastRowLastColumn="0"/>
            <w:tcW w:w="0" w:type="auto"/>
            <w:hideMark/>
          </w:tcPr>
          <w:p w:rsidR="00DE585B" w:rsidRPr="00DE585B" w:rsidRDefault="00DE585B" w:rsidP="00395624">
            <w:pPr>
              <w:spacing w:line="360" w:lineRule="auto"/>
              <w:rPr>
                <w:rFonts w:ascii="Arial" w:hAnsi="Arial" w:cs="Arial"/>
                <w:sz w:val="24"/>
                <w:szCs w:val="24"/>
              </w:rPr>
            </w:pPr>
            <w:r w:rsidRPr="00DE585B">
              <w:rPr>
                <w:rFonts w:ascii="Arial" w:hAnsi="Arial" w:cs="Arial"/>
                <w:sz w:val="24"/>
                <w:szCs w:val="24"/>
              </w:rPr>
              <w:t>Leasing</w:t>
            </w:r>
          </w:p>
        </w:tc>
        <w:tc>
          <w:tcPr>
            <w:tcW w:w="0" w:type="auto"/>
            <w:hideMark/>
          </w:tcPr>
          <w:p w:rsidR="00DE585B" w:rsidRPr="00DE585B" w:rsidRDefault="00DE585B" w:rsidP="0039562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Issuing new common or preferred stock (Dilution).</w:t>
            </w:r>
          </w:p>
        </w:tc>
        <w:tc>
          <w:tcPr>
            <w:tcW w:w="0" w:type="auto"/>
            <w:hideMark/>
          </w:tcPr>
          <w:p w:rsidR="00DE585B" w:rsidRPr="00DE585B" w:rsidRDefault="00DE585B" w:rsidP="0039562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E585B">
              <w:rPr>
                <w:rFonts w:ascii="Arial" w:hAnsi="Arial" w:cs="Arial"/>
                <w:sz w:val="24"/>
                <w:szCs w:val="24"/>
              </w:rPr>
              <w:t>A good option for acquiring updated equipment without an immediate capital burden; preserving cash.</w:t>
            </w:r>
          </w:p>
        </w:tc>
      </w:tr>
    </w:tbl>
    <w:p w:rsidR="00DE585B" w:rsidRDefault="00DE585B" w:rsidP="00DE585B">
      <w:pPr>
        <w:pStyle w:val="ListParagraph"/>
        <w:spacing w:line="360" w:lineRule="auto"/>
        <w:ind w:left="1097" w:right="737"/>
        <w:jc w:val="center"/>
        <w:rPr>
          <w:rFonts w:ascii="Arial" w:hAnsi="Arial" w:cs="Arial"/>
          <w:b/>
          <w:i/>
          <w:sz w:val="24"/>
          <w:szCs w:val="24"/>
          <w:u w:val="single"/>
        </w:rPr>
      </w:pPr>
      <w:r w:rsidRPr="00DE585B">
        <w:rPr>
          <w:rFonts w:ascii="Arial" w:hAnsi="Arial" w:cs="Arial"/>
          <w:b/>
          <w:i/>
          <w:sz w:val="24"/>
          <w:szCs w:val="24"/>
          <w:u w:val="single"/>
        </w:rPr>
        <w:t>Table 2.3 Long Term Options (Self – Sourced)</w:t>
      </w:r>
    </w:p>
    <w:p w:rsidR="00DE585B" w:rsidRPr="00DE585B" w:rsidRDefault="00DE585B" w:rsidP="00FD31F7">
      <w:pPr>
        <w:pStyle w:val="ListParagraph"/>
        <w:spacing w:line="360" w:lineRule="auto"/>
        <w:ind w:left="1097" w:right="737"/>
        <w:jc w:val="both"/>
        <w:rPr>
          <w:rFonts w:ascii="Arial" w:hAnsi="Arial" w:cs="Arial"/>
          <w:b/>
          <w:i/>
          <w:sz w:val="24"/>
          <w:szCs w:val="24"/>
          <w:u w:val="single"/>
        </w:rPr>
      </w:pPr>
    </w:p>
    <w:p w:rsidR="00DE585B" w:rsidRDefault="00DE585B" w:rsidP="00FD31F7">
      <w:pPr>
        <w:pStyle w:val="ListParagraph"/>
        <w:numPr>
          <w:ilvl w:val="0"/>
          <w:numId w:val="1"/>
        </w:numPr>
        <w:spacing w:line="360" w:lineRule="auto"/>
        <w:ind w:right="737"/>
        <w:jc w:val="both"/>
        <w:rPr>
          <w:rFonts w:ascii="Arial" w:hAnsi="Arial" w:cs="Arial"/>
          <w:b/>
          <w:bCs/>
          <w:sz w:val="24"/>
          <w:szCs w:val="24"/>
        </w:rPr>
      </w:pPr>
      <w:r w:rsidRPr="00DE585B">
        <w:rPr>
          <w:rFonts w:ascii="Arial" w:hAnsi="Arial" w:cs="Arial"/>
          <w:b/>
          <w:bCs/>
          <w:sz w:val="24"/>
          <w:szCs w:val="24"/>
        </w:rPr>
        <w:t>Strategic Financial Restructuring Plan</w:t>
      </w:r>
    </w:p>
    <w:p w:rsidR="00DE585B" w:rsidRPr="00B20337" w:rsidRDefault="00DE585B" w:rsidP="00FD31F7">
      <w:pPr>
        <w:pStyle w:val="ListParagraph"/>
        <w:spacing w:line="360" w:lineRule="auto"/>
        <w:ind w:left="737" w:right="737"/>
        <w:jc w:val="both"/>
        <w:rPr>
          <w:rFonts w:ascii="Arial" w:hAnsi="Arial" w:cs="Arial"/>
          <w:b/>
          <w:bCs/>
          <w:i/>
          <w:sz w:val="24"/>
          <w:szCs w:val="24"/>
        </w:rPr>
      </w:pPr>
      <w:r w:rsidRPr="00B20337">
        <w:rPr>
          <w:rFonts w:ascii="Arial" w:hAnsi="Arial" w:cs="Arial"/>
          <w:b/>
          <w:bCs/>
          <w:i/>
          <w:sz w:val="24"/>
          <w:szCs w:val="24"/>
        </w:rPr>
        <w:t>Financial Restructuring Options for General Electronics</w:t>
      </w:r>
    </w:p>
    <w:p w:rsidR="00DE585B" w:rsidRDefault="00DE585B" w:rsidP="00FD31F7">
      <w:pPr>
        <w:pStyle w:val="ListParagraph"/>
        <w:spacing w:line="360" w:lineRule="auto"/>
        <w:ind w:left="737" w:right="737"/>
        <w:jc w:val="both"/>
        <w:rPr>
          <w:rFonts w:ascii="Arial" w:hAnsi="Arial" w:cs="Arial"/>
          <w:sz w:val="24"/>
          <w:szCs w:val="24"/>
        </w:rPr>
      </w:pPr>
      <w:r w:rsidRPr="00DE585B">
        <w:rPr>
          <w:rFonts w:ascii="Arial" w:hAnsi="Arial" w:cs="Arial"/>
          <w:sz w:val="24"/>
          <w:szCs w:val="24"/>
        </w:rPr>
        <w:t>In light of General Electronics' systemic crisis, which consists of substantial losses, severe equity impairment (ROE =14.47%), and high financial risk (D/E =1.11</w:t>
      </w:r>
      <w:proofErr w:type="gramStart"/>
      <w:r w:rsidRPr="00DE585B">
        <w:rPr>
          <w:rFonts w:ascii="Arial" w:hAnsi="Arial" w:cs="Arial"/>
          <w:sz w:val="24"/>
          <w:szCs w:val="24"/>
        </w:rPr>
        <w:t>;1</w:t>
      </w:r>
      <w:proofErr w:type="gramEnd"/>
      <w:r w:rsidRPr="00DE585B">
        <w:rPr>
          <w:rFonts w:ascii="Arial" w:hAnsi="Arial" w:cs="Arial"/>
          <w:sz w:val="24"/>
          <w:szCs w:val="24"/>
        </w:rPr>
        <w:t>), a full financial restructuring is required. Therefore, the following options are aimed at addressing the balance sheet and attracting needed capital.</w:t>
      </w:r>
    </w:p>
    <w:p w:rsidR="00DE585B" w:rsidRDefault="00DE585B" w:rsidP="00FD31F7">
      <w:pPr>
        <w:pStyle w:val="ListParagraph"/>
        <w:spacing w:line="360" w:lineRule="auto"/>
        <w:ind w:left="737" w:right="737"/>
        <w:jc w:val="both"/>
        <w:rPr>
          <w:rFonts w:ascii="Arial" w:hAnsi="Arial" w:cs="Arial"/>
          <w:sz w:val="24"/>
          <w:szCs w:val="24"/>
        </w:rPr>
      </w:pPr>
    </w:p>
    <w:p w:rsidR="00DE585B" w:rsidRDefault="00DE585B" w:rsidP="00FD31F7">
      <w:pPr>
        <w:pStyle w:val="ListParagraph"/>
        <w:spacing w:line="360" w:lineRule="auto"/>
        <w:ind w:left="737" w:right="737"/>
        <w:jc w:val="both"/>
        <w:rPr>
          <w:rFonts w:ascii="Arial" w:hAnsi="Arial" w:cs="Arial"/>
          <w:sz w:val="24"/>
          <w:szCs w:val="24"/>
        </w:rPr>
      </w:pPr>
      <w:r w:rsidRPr="00DE585B">
        <w:rPr>
          <w:rFonts w:ascii="Arial" w:hAnsi="Arial" w:cs="Arial"/>
          <w:b/>
          <w:sz w:val="24"/>
          <w:szCs w:val="24"/>
        </w:rPr>
        <w:t>Equity Injection (The Capital Cure)</w:t>
      </w:r>
      <w:r>
        <w:rPr>
          <w:rFonts w:ascii="Arial" w:hAnsi="Arial" w:cs="Arial"/>
          <w:sz w:val="24"/>
          <w:szCs w:val="24"/>
        </w:rPr>
        <w:t xml:space="preserve">. </w:t>
      </w:r>
      <w:r w:rsidRPr="00DE585B">
        <w:rPr>
          <w:rFonts w:ascii="Arial" w:hAnsi="Arial" w:cs="Arial"/>
          <w:sz w:val="24"/>
          <w:szCs w:val="24"/>
        </w:rPr>
        <w:t>This is the most important and immediate step to affect solvency. New capital is non-debt financing essentially improves the balance sheet by increasing the denominator of the Debt-to-Equity (D/E) ratio and creates cash to pay off debt that is expensive to carry. (</w:t>
      </w:r>
      <w:proofErr w:type="spellStart"/>
      <w:r w:rsidRPr="00DE585B">
        <w:rPr>
          <w:rFonts w:ascii="Arial" w:hAnsi="Arial" w:cs="Arial"/>
          <w:sz w:val="24"/>
          <w:szCs w:val="24"/>
        </w:rPr>
        <w:t>Brealey</w:t>
      </w:r>
      <w:proofErr w:type="spellEnd"/>
      <w:r w:rsidRPr="00DE585B">
        <w:rPr>
          <w:rFonts w:ascii="Arial" w:hAnsi="Arial" w:cs="Arial"/>
          <w:sz w:val="24"/>
          <w:szCs w:val="24"/>
        </w:rPr>
        <w:t>, R. A., M</w:t>
      </w:r>
      <w:r w:rsidR="00FD31F7">
        <w:rPr>
          <w:rFonts w:ascii="Arial" w:hAnsi="Arial" w:cs="Arial"/>
          <w:sz w:val="24"/>
          <w:szCs w:val="24"/>
        </w:rPr>
        <w:t xml:space="preserve">yers, S. C., &amp; Allen, F. </w:t>
      </w:r>
      <w:r w:rsidRPr="00DE585B">
        <w:rPr>
          <w:rFonts w:ascii="Arial" w:hAnsi="Arial" w:cs="Arial"/>
          <w:sz w:val="24"/>
          <w:szCs w:val="24"/>
        </w:rPr>
        <w:t>2020)</w:t>
      </w:r>
      <w:r>
        <w:rPr>
          <w:rFonts w:ascii="Arial" w:hAnsi="Arial" w:cs="Arial"/>
          <w:sz w:val="24"/>
          <w:szCs w:val="24"/>
        </w:rPr>
        <w:t>.</w:t>
      </w:r>
    </w:p>
    <w:p w:rsidR="00FD31F7" w:rsidRPr="00DE585B" w:rsidRDefault="00FD31F7" w:rsidP="00FD31F7">
      <w:pPr>
        <w:pStyle w:val="ListParagraph"/>
        <w:spacing w:line="360" w:lineRule="auto"/>
        <w:ind w:left="737" w:right="737"/>
        <w:jc w:val="both"/>
        <w:rPr>
          <w:rFonts w:ascii="Arial" w:hAnsi="Arial" w:cs="Arial"/>
          <w:sz w:val="24"/>
          <w:szCs w:val="24"/>
        </w:rPr>
      </w:pPr>
    </w:p>
    <w:p w:rsidR="00FD31F7" w:rsidRDefault="00DE585B" w:rsidP="00FD31F7">
      <w:pPr>
        <w:pStyle w:val="ListParagraph"/>
        <w:spacing w:line="360" w:lineRule="auto"/>
        <w:ind w:left="737" w:right="737"/>
        <w:jc w:val="both"/>
        <w:rPr>
          <w:rFonts w:ascii="Arial" w:hAnsi="Arial" w:cs="Arial"/>
          <w:sz w:val="24"/>
          <w:szCs w:val="24"/>
        </w:rPr>
      </w:pPr>
      <w:r w:rsidRPr="00FD31F7">
        <w:rPr>
          <w:rFonts w:ascii="Arial" w:hAnsi="Arial" w:cs="Arial"/>
          <w:b/>
          <w:sz w:val="24"/>
          <w:szCs w:val="24"/>
        </w:rPr>
        <w:lastRenderedPageBreak/>
        <w:t>Debt Restructuring (The Liability Adjustment)</w:t>
      </w:r>
      <w:r w:rsidR="00FD31F7">
        <w:rPr>
          <w:rFonts w:ascii="Arial" w:hAnsi="Arial" w:cs="Arial"/>
          <w:sz w:val="24"/>
          <w:szCs w:val="24"/>
        </w:rPr>
        <w:t>,</w:t>
      </w:r>
      <w:r w:rsidRPr="00DE585B">
        <w:rPr>
          <w:rFonts w:ascii="Arial" w:hAnsi="Arial" w:cs="Arial"/>
          <w:sz w:val="24"/>
          <w:szCs w:val="24"/>
        </w:rPr>
        <w:t xml:space="preserve"> The need to adjust debt is an important part of dealing with the hefty liability burden the company must carry as they also work on their interest expense causing the ongoing Net Loss. (Herman, A. 2018)</w:t>
      </w:r>
      <w:r w:rsidR="00FD31F7">
        <w:rPr>
          <w:rFonts w:ascii="Arial" w:hAnsi="Arial" w:cs="Arial"/>
          <w:sz w:val="24"/>
          <w:szCs w:val="24"/>
        </w:rPr>
        <w:t>,</w:t>
      </w:r>
      <w:r w:rsidRPr="00DE585B">
        <w:rPr>
          <w:rFonts w:ascii="Arial" w:hAnsi="Arial" w:cs="Arial"/>
          <w:sz w:val="24"/>
          <w:szCs w:val="24"/>
        </w:rPr>
        <w:t xml:space="preserve"> </w:t>
      </w:r>
    </w:p>
    <w:p w:rsidR="00FD31F7" w:rsidRDefault="00FD31F7" w:rsidP="00FD31F7">
      <w:pPr>
        <w:pStyle w:val="ListParagraph"/>
        <w:spacing w:line="360" w:lineRule="auto"/>
        <w:ind w:left="737" w:right="737"/>
        <w:jc w:val="both"/>
        <w:rPr>
          <w:rFonts w:ascii="Arial" w:hAnsi="Arial" w:cs="Arial"/>
          <w:b/>
          <w:sz w:val="24"/>
          <w:szCs w:val="24"/>
        </w:rPr>
      </w:pPr>
    </w:p>
    <w:p w:rsidR="00DE585B" w:rsidRDefault="00DE585B" w:rsidP="00FD31F7">
      <w:pPr>
        <w:pStyle w:val="ListParagraph"/>
        <w:spacing w:line="360" w:lineRule="auto"/>
        <w:ind w:left="737" w:right="737"/>
        <w:jc w:val="both"/>
        <w:rPr>
          <w:rFonts w:ascii="Arial" w:hAnsi="Arial" w:cs="Arial"/>
          <w:sz w:val="24"/>
          <w:szCs w:val="24"/>
        </w:rPr>
      </w:pPr>
      <w:r w:rsidRPr="00FD31F7">
        <w:rPr>
          <w:rFonts w:ascii="Arial" w:hAnsi="Arial" w:cs="Arial"/>
          <w:b/>
          <w:sz w:val="24"/>
          <w:szCs w:val="24"/>
        </w:rPr>
        <w:t>Portfolio Adjustments (The Asset Sale)</w:t>
      </w:r>
      <w:r w:rsidR="00FD31F7">
        <w:rPr>
          <w:rFonts w:ascii="Arial" w:hAnsi="Arial" w:cs="Arial"/>
          <w:sz w:val="24"/>
          <w:szCs w:val="24"/>
        </w:rPr>
        <w:t>,</w:t>
      </w:r>
      <w:r>
        <w:rPr>
          <w:rFonts w:ascii="Arial" w:hAnsi="Arial" w:cs="Arial"/>
          <w:sz w:val="24"/>
          <w:szCs w:val="24"/>
        </w:rPr>
        <w:t xml:space="preserve"> </w:t>
      </w:r>
      <w:r w:rsidRPr="00DE585B">
        <w:rPr>
          <w:rFonts w:ascii="Arial" w:hAnsi="Arial" w:cs="Arial"/>
          <w:sz w:val="24"/>
          <w:szCs w:val="24"/>
        </w:rPr>
        <w:t xml:space="preserve">Divesting and adjusting the portfolio is no doubt most important as it eliminates non-core, draining cash assets and produces cash immediately to directly deal with liquidity and solvency. (Kaplan, S. N., &amp; </w:t>
      </w:r>
      <w:proofErr w:type="spellStart"/>
      <w:r w:rsidRPr="00DE585B">
        <w:rPr>
          <w:rFonts w:ascii="Arial" w:hAnsi="Arial" w:cs="Arial"/>
          <w:sz w:val="24"/>
          <w:szCs w:val="24"/>
        </w:rPr>
        <w:t>Weisbach</w:t>
      </w:r>
      <w:proofErr w:type="spellEnd"/>
      <w:r w:rsidRPr="00DE585B">
        <w:rPr>
          <w:rFonts w:ascii="Arial" w:hAnsi="Arial" w:cs="Arial"/>
          <w:sz w:val="24"/>
          <w:szCs w:val="24"/>
        </w:rPr>
        <w:t>, M. S. 1992)</w:t>
      </w:r>
    </w:p>
    <w:p w:rsidR="00FD31F7" w:rsidRDefault="00FD31F7" w:rsidP="00FD31F7">
      <w:pPr>
        <w:pStyle w:val="ListParagraph"/>
        <w:spacing w:line="360" w:lineRule="auto"/>
        <w:ind w:left="737" w:right="737"/>
        <w:jc w:val="both"/>
        <w:rPr>
          <w:rFonts w:ascii="Arial" w:hAnsi="Arial" w:cs="Arial"/>
          <w:b/>
          <w:sz w:val="24"/>
          <w:szCs w:val="24"/>
        </w:rPr>
      </w:pPr>
    </w:p>
    <w:p w:rsidR="00FD31F7" w:rsidRPr="00FD31F7" w:rsidRDefault="00FD31F7" w:rsidP="00FD31F7">
      <w:pPr>
        <w:pStyle w:val="ListParagraph"/>
        <w:spacing w:line="360" w:lineRule="auto"/>
        <w:ind w:left="737" w:right="737"/>
        <w:jc w:val="both"/>
        <w:rPr>
          <w:rFonts w:ascii="Arial" w:hAnsi="Arial" w:cs="Arial"/>
          <w:b/>
          <w:sz w:val="24"/>
          <w:szCs w:val="24"/>
        </w:rPr>
      </w:pPr>
      <w:r w:rsidRPr="00FD31F7">
        <w:rPr>
          <w:rFonts w:ascii="Arial" w:hAnsi="Arial" w:cs="Arial"/>
          <w:b/>
          <w:sz w:val="24"/>
          <w:szCs w:val="24"/>
        </w:rPr>
        <w:t xml:space="preserve">Debt-for-Equity Swap </w:t>
      </w:r>
    </w:p>
    <w:p w:rsidR="00FD31F7" w:rsidRDefault="00FD31F7" w:rsidP="00FD31F7">
      <w:pPr>
        <w:pStyle w:val="ListParagraph"/>
        <w:spacing w:line="360" w:lineRule="auto"/>
        <w:ind w:left="737" w:right="737"/>
        <w:jc w:val="both"/>
        <w:rPr>
          <w:rFonts w:ascii="Arial" w:hAnsi="Arial" w:cs="Arial"/>
          <w:sz w:val="24"/>
          <w:szCs w:val="24"/>
        </w:rPr>
      </w:pPr>
      <w:r w:rsidRPr="00FD31F7">
        <w:rPr>
          <w:rFonts w:ascii="Arial" w:hAnsi="Arial" w:cs="Arial"/>
          <w:sz w:val="24"/>
          <w:szCs w:val="24"/>
        </w:rPr>
        <w:t xml:space="preserve">This process entails gaining agreement from creditors (whether that be banks or bondholders) to exchange debt claims that are aged for the company’s newly issued common stock. The overarching purpose of this process is to eliminate high-cost, fixed-obligation debt from the balance sheet and convert that debt into an equity component. This process reduces cash flow burden by not having a cash component while GS Electronics converts debt to equities and improves the company’s debt-to-equity ratio. </w:t>
      </w:r>
    </w:p>
    <w:p w:rsidR="00FD31F7" w:rsidRDefault="00FD31F7" w:rsidP="00FD31F7">
      <w:pPr>
        <w:pStyle w:val="ListParagraph"/>
        <w:spacing w:line="360" w:lineRule="auto"/>
        <w:ind w:left="737" w:right="737"/>
        <w:jc w:val="both"/>
        <w:rPr>
          <w:rFonts w:ascii="Arial" w:hAnsi="Arial" w:cs="Arial"/>
          <w:sz w:val="24"/>
          <w:szCs w:val="24"/>
        </w:rPr>
      </w:pPr>
    </w:p>
    <w:p w:rsidR="00FD31F7" w:rsidRPr="00FD31F7" w:rsidRDefault="00FD31F7" w:rsidP="00FD31F7">
      <w:pPr>
        <w:pStyle w:val="ListParagraph"/>
        <w:spacing w:line="360" w:lineRule="auto"/>
        <w:ind w:left="737" w:right="737"/>
        <w:jc w:val="both"/>
        <w:rPr>
          <w:rFonts w:ascii="Arial" w:hAnsi="Arial" w:cs="Arial"/>
          <w:sz w:val="24"/>
          <w:szCs w:val="24"/>
        </w:rPr>
      </w:pPr>
      <w:r w:rsidRPr="00FD31F7">
        <w:rPr>
          <w:rFonts w:ascii="Arial" w:hAnsi="Arial" w:cs="Arial"/>
          <w:b/>
          <w:sz w:val="24"/>
          <w:szCs w:val="24"/>
        </w:rPr>
        <w:t>Covenant Renegotiation</w:t>
      </w:r>
      <w:r w:rsidRPr="00FD31F7">
        <w:rPr>
          <w:rFonts w:ascii="Arial" w:hAnsi="Arial" w:cs="Arial"/>
          <w:sz w:val="24"/>
          <w:szCs w:val="24"/>
        </w:rPr>
        <w:t xml:space="preserve"> </w:t>
      </w:r>
    </w:p>
    <w:p w:rsidR="00FD31F7" w:rsidRDefault="00FD31F7" w:rsidP="00FD31F7">
      <w:pPr>
        <w:pStyle w:val="ListParagraph"/>
        <w:spacing w:line="360" w:lineRule="auto"/>
        <w:ind w:left="737" w:right="737"/>
        <w:jc w:val="both"/>
        <w:rPr>
          <w:rFonts w:ascii="Arial" w:hAnsi="Arial" w:cs="Arial"/>
          <w:sz w:val="24"/>
          <w:szCs w:val="24"/>
        </w:rPr>
      </w:pPr>
      <w:r w:rsidRPr="00FD31F7">
        <w:rPr>
          <w:rFonts w:ascii="Arial" w:hAnsi="Arial" w:cs="Arial"/>
          <w:sz w:val="24"/>
          <w:szCs w:val="24"/>
        </w:rPr>
        <w:t>GS Electronics needs to actively engage lenders to renegotiate certain financial covenants. Rather than be victimized by a certain percent of the lenders, the purpose of issuances is all about negotiating terms of covenants and provisions of ratios (profitability, liquidity, etc.) that are currently weak or negative (e.g., Quick Ratio 1.03:1, negative ROCE). Thus, relaxing covenants (e.g., interest coverage) provide immediate job realigning room and prevents a technical default threat currently posed as some lenders may cause full-payment of loans to be due immediately.</w:t>
      </w:r>
      <w:r>
        <w:rPr>
          <w:rFonts w:ascii="Arial" w:hAnsi="Arial" w:cs="Arial"/>
          <w:sz w:val="24"/>
          <w:szCs w:val="24"/>
        </w:rPr>
        <w:t xml:space="preserve"> </w:t>
      </w:r>
      <w:r w:rsidRPr="00DE585B">
        <w:rPr>
          <w:rFonts w:ascii="Arial" w:hAnsi="Arial" w:cs="Arial"/>
          <w:sz w:val="24"/>
          <w:szCs w:val="24"/>
        </w:rPr>
        <w:t>(Herman, A. 2018)</w:t>
      </w:r>
    </w:p>
    <w:p w:rsidR="00FD31F7" w:rsidRDefault="00FD31F7" w:rsidP="00FD31F7">
      <w:pPr>
        <w:pStyle w:val="ListParagraph"/>
        <w:spacing w:line="360" w:lineRule="auto"/>
        <w:ind w:left="737" w:right="737"/>
        <w:jc w:val="both"/>
        <w:rPr>
          <w:rFonts w:ascii="Arial" w:hAnsi="Arial" w:cs="Arial"/>
          <w:b/>
          <w:sz w:val="24"/>
          <w:szCs w:val="24"/>
        </w:rPr>
      </w:pPr>
    </w:p>
    <w:p w:rsidR="00FD31F7" w:rsidRPr="00FD31F7" w:rsidRDefault="00FD31F7" w:rsidP="00FD31F7">
      <w:pPr>
        <w:pStyle w:val="ListParagraph"/>
        <w:spacing w:line="360" w:lineRule="auto"/>
        <w:ind w:left="737" w:right="737"/>
        <w:jc w:val="both"/>
        <w:rPr>
          <w:rFonts w:ascii="Arial" w:hAnsi="Arial" w:cs="Arial"/>
          <w:b/>
          <w:sz w:val="24"/>
          <w:szCs w:val="24"/>
        </w:rPr>
      </w:pPr>
      <w:r w:rsidRPr="00FD31F7">
        <w:rPr>
          <w:rFonts w:ascii="Arial" w:hAnsi="Arial" w:cs="Arial"/>
          <w:b/>
          <w:sz w:val="24"/>
          <w:szCs w:val="24"/>
        </w:rPr>
        <w:t>Divestiture</w:t>
      </w:r>
    </w:p>
    <w:p w:rsidR="00FD31F7" w:rsidRDefault="00FD31F7" w:rsidP="00FD31F7">
      <w:pPr>
        <w:pStyle w:val="ListParagraph"/>
        <w:spacing w:line="360" w:lineRule="auto"/>
        <w:ind w:left="737" w:right="737"/>
        <w:jc w:val="both"/>
        <w:rPr>
          <w:rFonts w:ascii="Arial" w:hAnsi="Arial" w:cs="Arial"/>
          <w:sz w:val="24"/>
          <w:szCs w:val="24"/>
        </w:rPr>
      </w:pPr>
      <w:r w:rsidRPr="00FD31F7">
        <w:rPr>
          <w:rFonts w:ascii="Arial" w:hAnsi="Arial" w:cs="Arial"/>
          <w:sz w:val="24"/>
          <w:szCs w:val="24"/>
        </w:rPr>
        <w:t xml:space="preserve">This entails the sale of all unrelated or struggling portions of a business (e.g., an unrelated geographic region/market or a stagnant legacy product sector). A divestiture gives a substantial immediate cash providing to meet debt obligations and cover working capital gaps. Most importantly, such a move frees up management to focus on the remaining parts of the business minimally to the core, high-value business lines, directly </w:t>
      </w:r>
      <w:r w:rsidRPr="00FD31F7">
        <w:rPr>
          <w:rFonts w:ascii="Arial" w:hAnsi="Arial" w:cs="Arial"/>
          <w:sz w:val="24"/>
          <w:szCs w:val="24"/>
        </w:rPr>
        <w:lastRenderedPageBreak/>
        <w:t>addressing the issue of negative Ret</w:t>
      </w:r>
      <w:r>
        <w:rPr>
          <w:rFonts w:ascii="Arial" w:hAnsi="Arial" w:cs="Arial"/>
          <w:sz w:val="24"/>
          <w:szCs w:val="24"/>
        </w:rPr>
        <w:t>urn on Capital Employed (ROCE).</w:t>
      </w:r>
      <w:r w:rsidRPr="00FD31F7">
        <w:rPr>
          <w:rFonts w:ascii="Arial" w:hAnsi="Arial" w:cs="Arial"/>
          <w:sz w:val="24"/>
          <w:szCs w:val="24"/>
        </w:rPr>
        <w:t xml:space="preserve"> </w:t>
      </w:r>
      <w:r w:rsidRPr="00DE585B">
        <w:rPr>
          <w:rFonts w:ascii="Arial" w:hAnsi="Arial" w:cs="Arial"/>
          <w:sz w:val="24"/>
          <w:szCs w:val="24"/>
        </w:rPr>
        <w:t xml:space="preserve">(Kaplan, S. N., &amp; </w:t>
      </w:r>
      <w:proofErr w:type="spellStart"/>
      <w:r w:rsidRPr="00DE585B">
        <w:rPr>
          <w:rFonts w:ascii="Arial" w:hAnsi="Arial" w:cs="Arial"/>
          <w:sz w:val="24"/>
          <w:szCs w:val="24"/>
        </w:rPr>
        <w:t>Weisbach</w:t>
      </w:r>
      <w:proofErr w:type="spellEnd"/>
      <w:r w:rsidRPr="00DE585B">
        <w:rPr>
          <w:rFonts w:ascii="Arial" w:hAnsi="Arial" w:cs="Arial"/>
          <w:sz w:val="24"/>
          <w:szCs w:val="24"/>
        </w:rPr>
        <w:t>, M. S. 1992)</w:t>
      </w:r>
    </w:p>
    <w:p w:rsidR="00FD31F7" w:rsidRDefault="00FD31F7" w:rsidP="00FD31F7">
      <w:pPr>
        <w:pStyle w:val="ListParagraph"/>
        <w:spacing w:line="360" w:lineRule="auto"/>
        <w:ind w:left="737" w:right="737"/>
        <w:jc w:val="both"/>
        <w:rPr>
          <w:rFonts w:ascii="Arial" w:hAnsi="Arial" w:cs="Arial"/>
          <w:sz w:val="24"/>
          <w:szCs w:val="24"/>
        </w:rPr>
      </w:pPr>
    </w:p>
    <w:p w:rsidR="00FD31F7" w:rsidRPr="00FD31F7" w:rsidRDefault="00FD31F7" w:rsidP="00FD31F7">
      <w:pPr>
        <w:pStyle w:val="ListParagraph"/>
        <w:spacing w:line="360" w:lineRule="auto"/>
        <w:ind w:left="737" w:right="737"/>
        <w:jc w:val="both"/>
        <w:rPr>
          <w:rFonts w:ascii="Arial" w:hAnsi="Arial" w:cs="Arial"/>
          <w:sz w:val="24"/>
          <w:szCs w:val="24"/>
        </w:rPr>
      </w:pPr>
      <w:r w:rsidRPr="00FD31F7">
        <w:rPr>
          <w:rFonts w:ascii="Arial" w:hAnsi="Arial" w:cs="Arial"/>
          <w:b/>
          <w:sz w:val="24"/>
          <w:szCs w:val="24"/>
        </w:rPr>
        <w:t>Merger (as an Acquired Firm)</w:t>
      </w:r>
    </w:p>
    <w:p w:rsidR="00FD31F7" w:rsidRDefault="00FD31F7" w:rsidP="00FD31F7">
      <w:pPr>
        <w:pStyle w:val="ListParagraph"/>
        <w:spacing w:line="360" w:lineRule="auto"/>
        <w:ind w:left="737" w:right="737"/>
        <w:jc w:val="both"/>
        <w:rPr>
          <w:rFonts w:ascii="Arial" w:hAnsi="Arial" w:cs="Arial"/>
          <w:sz w:val="24"/>
          <w:szCs w:val="24"/>
        </w:rPr>
      </w:pPr>
      <w:r w:rsidRPr="00FD31F7">
        <w:rPr>
          <w:rFonts w:ascii="Arial" w:hAnsi="Arial" w:cs="Arial"/>
          <w:sz w:val="24"/>
          <w:szCs w:val="24"/>
        </w:rPr>
        <w:t xml:space="preserve">Given the extent of the crisis, an alternative cautionary exit strategy might include an outright acquisition by a fiscally strong competitor or a professional private equity firm. This situation maximizes the remaining shareholder value by transferring all the operational responsibility and capital need to an organization that is more capable of executing the necessary turnaround. </w:t>
      </w:r>
      <w:r w:rsidRPr="00DE585B">
        <w:rPr>
          <w:rFonts w:ascii="Arial" w:hAnsi="Arial" w:cs="Arial"/>
          <w:sz w:val="24"/>
          <w:szCs w:val="24"/>
        </w:rPr>
        <w:t xml:space="preserve">(Kaplan, S. N., &amp; </w:t>
      </w:r>
      <w:proofErr w:type="spellStart"/>
      <w:r w:rsidRPr="00DE585B">
        <w:rPr>
          <w:rFonts w:ascii="Arial" w:hAnsi="Arial" w:cs="Arial"/>
          <w:sz w:val="24"/>
          <w:szCs w:val="24"/>
        </w:rPr>
        <w:t>Weisbach</w:t>
      </w:r>
      <w:proofErr w:type="spellEnd"/>
      <w:r w:rsidRPr="00DE585B">
        <w:rPr>
          <w:rFonts w:ascii="Arial" w:hAnsi="Arial" w:cs="Arial"/>
          <w:sz w:val="24"/>
          <w:szCs w:val="24"/>
        </w:rPr>
        <w:t>, M. S. 1992)</w:t>
      </w:r>
    </w:p>
    <w:p w:rsidR="00FD31F7" w:rsidRPr="00B20337" w:rsidRDefault="00FD31F7" w:rsidP="00FD31F7">
      <w:pPr>
        <w:pStyle w:val="ListParagraph"/>
        <w:spacing w:line="360" w:lineRule="auto"/>
        <w:ind w:left="737" w:right="737"/>
        <w:jc w:val="both"/>
        <w:rPr>
          <w:rFonts w:ascii="Arial" w:hAnsi="Arial" w:cs="Arial"/>
          <w:b/>
          <w:i/>
          <w:sz w:val="24"/>
          <w:szCs w:val="24"/>
        </w:rPr>
      </w:pPr>
    </w:p>
    <w:p w:rsidR="00FD31F7" w:rsidRPr="00B20337" w:rsidRDefault="00FD31F7" w:rsidP="00FD31F7">
      <w:pPr>
        <w:pStyle w:val="ListParagraph"/>
        <w:spacing w:line="360" w:lineRule="auto"/>
        <w:ind w:left="737" w:right="737"/>
        <w:jc w:val="both"/>
        <w:rPr>
          <w:rFonts w:ascii="Arial" w:hAnsi="Arial" w:cs="Arial"/>
          <w:b/>
          <w:bCs/>
          <w:i/>
          <w:sz w:val="24"/>
          <w:szCs w:val="24"/>
        </w:rPr>
      </w:pPr>
      <w:r w:rsidRPr="00B20337">
        <w:rPr>
          <w:rFonts w:ascii="Arial" w:hAnsi="Arial" w:cs="Arial"/>
          <w:b/>
          <w:bCs/>
          <w:i/>
          <w:sz w:val="24"/>
          <w:szCs w:val="24"/>
        </w:rPr>
        <w:t>Impact Evaluation of Financial Restructuring Options</w:t>
      </w:r>
    </w:p>
    <w:p w:rsidR="00FD31F7" w:rsidRPr="00B90F4C" w:rsidRDefault="00FD31F7" w:rsidP="00FD31F7">
      <w:pPr>
        <w:pStyle w:val="ListParagraph"/>
        <w:spacing w:line="360" w:lineRule="auto"/>
        <w:ind w:left="737" w:right="737"/>
        <w:jc w:val="both"/>
        <w:rPr>
          <w:rFonts w:ascii="Arial" w:hAnsi="Arial" w:cs="Arial"/>
          <w:b/>
          <w:sz w:val="24"/>
          <w:szCs w:val="24"/>
          <w:u w:val="single"/>
        </w:rPr>
      </w:pPr>
      <w:r w:rsidRPr="00B90F4C">
        <w:rPr>
          <w:rFonts w:ascii="Arial" w:hAnsi="Arial" w:cs="Arial"/>
          <w:b/>
          <w:sz w:val="24"/>
          <w:szCs w:val="24"/>
          <w:u w:val="single"/>
        </w:rPr>
        <w:t>Effect on Shareholder Value</w:t>
      </w:r>
    </w:p>
    <w:p w:rsidR="00B90F4C" w:rsidRDefault="00FD31F7" w:rsidP="00FD31F7">
      <w:pPr>
        <w:pStyle w:val="ListParagraph"/>
        <w:spacing w:line="360" w:lineRule="auto"/>
        <w:ind w:left="737" w:right="737"/>
        <w:jc w:val="both"/>
        <w:rPr>
          <w:rFonts w:ascii="Arial" w:hAnsi="Arial" w:cs="Arial"/>
          <w:sz w:val="24"/>
          <w:szCs w:val="24"/>
        </w:rPr>
      </w:pPr>
      <w:r w:rsidRPr="00FD31F7">
        <w:rPr>
          <w:rFonts w:ascii="Arial" w:hAnsi="Arial" w:cs="Arial"/>
          <w:sz w:val="24"/>
          <w:szCs w:val="24"/>
        </w:rPr>
        <w:t>Shareholder value, as measured by EPS and ROE will incur immediate, painful dilution that will r</w:t>
      </w:r>
      <w:r w:rsidR="00B90F4C">
        <w:rPr>
          <w:rFonts w:ascii="Arial" w:hAnsi="Arial" w:cs="Arial"/>
          <w:sz w:val="24"/>
          <w:szCs w:val="24"/>
        </w:rPr>
        <w:t>equire long-term stabilization.</w:t>
      </w:r>
    </w:p>
    <w:p w:rsidR="00FD31F7" w:rsidRPr="00FD31F7" w:rsidRDefault="00FD31F7" w:rsidP="00FD31F7">
      <w:pPr>
        <w:pStyle w:val="ListParagraph"/>
        <w:spacing w:line="360" w:lineRule="auto"/>
        <w:ind w:left="737" w:right="737"/>
        <w:jc w:val="both"/>
        <w:rPr>
          <w:rFonts w:ascii="Arial" w:hAnsi="Arial" w:cs="Arial"/>
          <w:sz w:val="24"/>
          <w:szCs w:val="24"/>
        </w:rPr>
      </w:pPr>
      <w:r w:rsidRPr="00B90F4C">
        <w:rPr>
          <w:rFonts w:ascii="Arial" w:hAnsi="Arial" w:cs="Arial"/>
          <w:b/>
          <w:sz w:val="24"/>
          <w:szCs w:val="24"/>
        </w:rPr>
        <w:t>Equity Injection (Dilution)</w:t>
      </w:r>
      <w:r w:rsidRPr="00FD31F7">
        <w:rPr>
          <w:rFonts w:ascii="Arial" w:hAnsi="Arial" w:cs="Arial"/>
          <w:sz w:val="24"/>
          <w:szCs w:val="24"/>
        </w:rPr>
        <w:t xml:space="preserve"> - Issuing new shares (either through a Rights Issue or Private Placement) causes the immediate percentage ownership and Earnings </w:t>
      </w:r>
      <w:proofErr w:type="gramStart"/>
      <w:r w:rsidRPr="00FD31F7">
        <w:rPr>
          <w:rFonts w:ascii="Arial" w:hAnsi="Arial" w:cs="Arial"/>
          <w:sz w:val="24"/>
          <w:szCs w:val="24"/>
        </w:rPr>
        <w:t>Per</w:t>
      </w:r>
      <w:proofErr w:type="gramEnd"/>
      <w:r w:rsidRPr="00FD31F7">
        <w:rPr>
          <w:rFonts w:ascii="Arial" w:hAnsi="Arial" w:cs="Arial"/>
          <w:sz w:val="24"/>
          <w:szCs w:val="24"/>
        </w:rPr>
        <w:t xml:space="preserve"> Share (EPS) to the existing shareholders to be diluted. It is an unavoidable, near-term negative side effect. However, in the long-term, the action is value-enhancing as it creates the capital needed to stop the negative Return on Equity (ROE) (-14.47%) and potentially saves the company from insolvency. </w:t>
      </w:r>
      <w:r w:rsidR="00B90F4C">
        <w:rPr>
          <w:rFonts w:ascii="Arial" w:hAnsi="Arial" w:cs="Arial"/>
          <w:sz w:val="24"/>
          <w:szCs w:val="24"/>
        </w:rPr>
        <w:t>(</w:t>
      </w:r>
      <w:r w:rsidR="00B90F4C" w:rsidRPr="00B90F4C">
        <w:rPr>
          <w:rFonts w:ascii="Arial" w:hAnsi="Arial" w:cs="Arial"/>
          <w:sz w:val="24"/>
          <w:szCs w:val="24"/>
        </w:rPr>
        <w:t>Jensen, M. C. 1986)</w:t>
      </w:r>
    </w:p>
    <w:p w:rsidR="00FD31F7" w:rsidRPr="00FD31F7" w:rsidRDefault="00FD31F7" w:rsidP="00FD31F7">
      <w:pPr>
        <w:pStyle w:val="ListParagraph"/>
        <w:spacing w:line="360" w:lineRule="auto"/>
        <w:ind w:left="737" w:right="737"/>
        <w:jc w:val="both"/>
        <w:rPr>
          <w:rFonts w:ascii="Arial" w:hAnsi="Arial" w:cs="Arial"/>
          <w:sz w:val="24"/>
          <w:szCs w:val="24"/>
        </w:rPr>
      </w:pPr>
      <w:r w:rsidRPr="00B90F4C">
        <w:rPr>
          <w:rFonts w:ascii="Arial" w:hAnsi="Arial" w:cs="Arial"/>
          <w:b/>
          <w:sz w:val="24"/>
          <w:szCs w:val="24"/>
        </w:rPr>
        <w:t>Debt-for-Equity Swap (Severe Dilution)</w:t>
      </w:r>
      <w:r w:rsidRPr="00FD31F7">
        <w:rPr>
          <w:rFonts w:ascii="Arial" w:hAnsi="Arial" w:cs="Arial"/>
          <w:sz w:val="24"/>
          <w:szCs w:val="24"/>
        </w:rPr>
        <w:t xml:space="preserve"> - The debt-for-equity swap is the most damaging for existing shareholders as it relinquishes an ownership position to creditors. Although it “cures” the debt problem, the dilution is most times significant and permanently reduces EPS. </w:t>
      </w:r>
      <w:r w:rsidR="00B90F4C">
        <w:rPr>
          <w:rFonts w:ascii="Arial" w:hAnsi="Arial" w:cs="Arial"/>
          <w:sz w:val="24"/>
          <w:szCs w:val="24"/>
        </w:rPr>
        <w:t>(</w:t>
      </w:r>
      <w:r w:rsidR="00B90F4C" w:rsidRPr="00B90F4C">
        <w:rPr>
          <w:rFonts w:ascii="Arial" w:hAnsi="Arial" w:cs="Arial"/>
          <w:sz w:val="24"/>
          <w:szCs w:val="24"/>
        </w:rPr>
        <w:t>Jensen, M. C. 1986)</w:t>
      </w:r>
    </w:p>
    <w:p w:rsidR="00FD31F7" w:rsidRDefault="00FD31F7" w:rsidP="00FD31F7">
      <w:pPr>
        <w:pStyle w:val="ListParagraph"/>
        <w:spacing w:line="360" w:lineRule="auto"/>
        <w:ind w:left="737" w:right="737"/>
        <w:jc w:val="both"/>
        <w:rPr>
          <w:rFonts w:ascii="Arial" w:hAnsi="Arial" w:cs="Arial"/>
          <w:sz w:val="24"/>
          <w:szCs w:val="24"/>
        </w:rPr>
      </w:pPr>
      <w:r w:rsidRPr="00B90F4C">
        <w:rPr>
          <w:rFonts w:ascii="Arial" w:hAnsi="Arial" w:cs="Arial"/>
          <w:b/>
          <w:sz w:val="24"/>
          <w:szCs w:val="24"/>
        </w:rPr>
        <w:t>Divestiture (Value Consideration)</w:t>
      </w:r>
      <w:r w:rsidRPr="00FD31F7">
        <w:rPr>
          <w:rFonts w:ascii="Arial" w:hAnsi="Arial" w:cs="Arial"/>
          <w:sz w:val="24"/>
          <w:szCs w:val="24"/>
        </w:rPr>
        <w:t xml:space="preserve"> - Selling off underperforming business units is typically positive for long-term value. At the sell-off of the business segment that was draining cash (negative ROCE), market value can focus on the balance sheet performance of the remaining business unit which is typically more focused and potentially more profitable.</w:t>
      </w:r>
      <w:r w:rsidR="00B90F4C">
        <w:rPr>
          <w:rFonts w:ascii="Arial" w:hAnsi="Arial" w:cs="Arial"/>
          <w:sz w:val="24"/>
          <w:szCs w:val="24"/>
        </w:rPr>
        <w:t xml:space="preserve"> (</w:t>
      </w:r>
      <w:r w:rsidR="00B90F4C" w:rsidRPr="00B90F4C">
        <w:rPr>
          <w:rFonts w:ascii="Arial" w:hAnsi="Arial" w:cs="Arial"/>
          <w:sz w:val="24"/>
          <w:szCs w:val="24"/>
        </w:rPr>
        <w:t>Jensen, M. C. 1986)</w:t>
      </w:r>
    </w:p>
    <w:p w:rsidR="00B90F4C" w:rsidRPr="00B90F4C" w:rsidRDefault="00B90F4C" w:rsidP="00FD31F7">
      <w:pPr>
        <w:pStyle w:val="ListParagraph"/>
        <w:spacing w:line="360" w:lineRule="auto"/>
        <w:ind w:left="737" w:right="737"/>
        <w:jc w:val="both"/>
        <w:rPr>
          <w:rFonts w:ascii="Arial" w:hAnsi="Arial" w:cs="Arial"/>
          <w:b/>
          <w:sz w:val="24"/>
          <w:szCs w:val="24"/>
        </w:rPr>
      </w:pPr>
    </w:p>
    <w:p w:rsidR="00B90F4C" w:rsidRPr="00B90F4C" w:rsidRDefault="00B90F4C" w:rsidP="00FD31F7">
      <w:pPr>
        <w:pStyle w:val="ListParagraph"/>
        <w:spacing w:line="360" w:lineRule="auto"/>
        <w:ind w:left="737" w:right="737"/>
        <w:jc w:val="both"/>
        <w:rPr>
          <w:rFonts w:ascii="Arial" w:hAnsi="Arial" w:cs="Arial"/>
          <w:b/>
          <w:sz w:val="24"/>
          <w:szCs w:val="24"/>
          <w:u w:val="single"/>
        </w:rPr>
      </w:pPr>
      <w:r w:rsidRPr="00B90F4C">
        <w:rPr>
          <w:rFonts w:ascii="Arial" w:hAnsi="Arial" w:cs="Arial"/>
          <w:b/>
          <w:sz w:val="24"/>
          <w:szCs w:val="24"/>
          <w:u w:val="single"/>
        </w:rPr>
        <w:t>Impact on Debt Structure</w:t>
      </w:r>
    </w:p>
    <w:p w:rsidR="00B90F4C" w:rsidRDefault="00B90F4C" w:rsidP="00FD31F7">
      <w:pPr>
        <w:pStyle w:val="ListParagraph"/>
        <w:spacing w:line="360" w:lineRule="auto"/>
        <w:ind w:left="737" w:right="737"/>
        <w:jc w:val="both"/>
        <w:rPr>
          <w:rFonts w:ascii="Arial" w:hAnsi="Arial" w:cs="Arial"/>
          <w:sz w:val="24"/>
          <w:szCs w:val="24"/>
        </w:rPr>
      </w:pPr>
      <w:r w:rsidRPr="00B90F4C">
        <w:rPr>
          <w:rFonts w:ascii="Arial" w:hAnsi="Arial" w:cs="Arial"/>
          <w:sz w:val="24"/>
          <w:szCs w:val="24"/>
        </w:rPr>
        <w:t>The debt structure needs to be overhauled to reduce dependence on external funding to relieve the financial risk of a current Debt-to-Equity (D/E) = 1.11:1.</w:t>
      </w:r>
    </w:p>
    <w:p w:rsidR="00B90F4C" w:rsidRDefault="00B90F4C" w:rsidP="00FD31F7">
      <w:pPr>
        <w:pStyle w:val="ListParagraph"/>
        <w:spacing w:line="360" w:lineRule="auto"/>
        <w:ind w:left="737" w:right="737"/>
        <w:jc w:val="both"/>
        <w:rPr>
          <w:rFonts w:ascii="Arial" w:hAnsi="Arial" w:cs="Arial"/>
          <w:sz w:val="24"/>
          <w:szCs w:val="24"/>
        </w:rPr>
      </w:pPr>
      <w:r w:rsidRPr="00B90F4C">
        <w:rPr>
          <w:rFonts w:ascii="Arial" w:hAnsi="Arial" w:cs="Arial"/>
          <w:b/>
          <w:sz w:val="24"/>
          <w:szCs w:val="24"/>
        </w:rPr>
        <w:lastRenderedPageBreak/>
        <w:t>Equity Injection (Repairs Solvency Issues):</w:t>
      </w:r>
      <w:r w:rsidRPr="00B90F4C">
        <w:rPr>
          <w:rFonts w:ascii="Arial" w:hAnsi="Arial" w:cs="Arial"/>
          <w:sz w:val="24"/>
          <w:szCs w:val="24"/>
        </w:rPr>
        <w:t xml:space="preserve"> Injecting equity improves the debt structure by increasing the equity denominator to reduce the D/E ratio. This conveys financial viability to creditors and reduces the indicative cost of debt in the future. </w:t>
      </w:r>
      <w:r>
        <w:rPr>
          <w:rFonts w:ascii="Arial" w:hAnsi="Arial" w:cs="Arial"/>
          <w:sz w:val="24"/>
          <w:szCs w:val="24"/>
        </w:rPr>
        <w:t>(</w:t>
      </w:r>
      <w:r w:rsidRPr="00B90F4C">
        <w:rPr>
          <w:rFonts w:ascii="Arial" w:hAnsi="Arial" w:cs="Arial"/>
          <w:sz w:val="24"/>
          <w:szCs w:val="24"/>
        </w:rPr>
        <w:t>Myers, S. C. 1977)</w:t>
      </w:r>
    </w:p>
    <w:p w:rsidR="00B90F4C" w:rsidRDefault="00B90F4C" w:rsidP="00FD31F7">
      <w:pPr>
        <w:pStyle w:val="ListParagraph"/>
        <w:spacing w:line="360" w:lineRule="auto"/>
        <w:ind w:left="737" w:right="737"/>
        <w:jc w:val="both"/>
        <w:rPr>
          <w:rFonts w:ascii="Arial" w:hAnsi="Arial" w:cs="Arial"/>
          <w:sz w:val="24"/>
          <w:szCs w:val="24"/>
        </w:rPr>
      </w:pPr>
      <w:r w:rsidRPr="00B90F4C">
        <w:rPr>
          <w:rFonts w:ascii="Arial" w:hAnsi="Arial" w:cs="Arial"/>
          <w:b/>
          <w:sz w:val="24"/>
          <w:szCs w:val="24"/>
        </w:rPr>
        <w:t>Debt-for-Equity Swap (Bellwether De-Leveraging):</w:t>
      </w:r>
      <w:r w:rsidRPr="00B90F4C">
        <w:rPr>
          <w:rFonts w:ascii="Arial" w:hAnsi="Arial" w:cs="Arial"/>
          <w:sz w:val="24"/>
          <w:szCs w:val="24"/>
        </w:rPr>
        <w:t xml:space="preserve"> This is the best mechanism for debt restructuring. It reduces the principal in debt burdens on the balance sheet and improves solvency ratios, while importantly reducing the company's total annual interest costs which is currently a detriment to profit margins. </w:t>
      </w:r>
      <w:r>
        <w:rPr>
          <w:rFonts w:ascii="Arial" w:hAnsi="Arial" w:cs="Arial"/>
          <w:sz w:val="24"/>
          <w:szCs w:val="24"/>
        </w:rPr>
        <w:t>(</w:t>
      </w:r>
      <w:r w:rsidRPr="00B90F4C">
        <w:rPr>
          <w:rFonts w:ascii="Arial" w:hAnsi="Arial" w:cs="Arial"/>
          <w:sz w:val="24"/>
          <w:szCs w:val="24"/>
        </w:rPr>
        <w:t>Myers, S. C. 1977)</w:t>
      </w:r>
    </w:p>
    <w:p w:rsidR="00B90F4C" w:rsidRDefault="00B90F4C" w:rsidP="00FD31F7">
      <w:pPr>
        <w:pStyle w:val="ListParagraph"/>
        <w:spacing w:line="360" w:lineRule="auto"/>
        <w:ind w:left="737" w:right="737"/>
        <w:jc w:val="both"/>
        <w:rPr>
          <w:rFonts w:ascii="Arial" w:hAnsi="Arial" w:cs="Arial"/>
          <w:sz w:val="24"/>
          <w:szCs w:val="24"/>
        </w:rPr>
      </w:pPr>
      <w:r w:rsidRPr="00B90F4C">
        <w:rPr>
          <w:rFonts w:ascii="Arial" w:hAnsi="Arial" w:cs="Arial"/>
          <w:b/>
          <w:sz w:val="24"/>
          <w:szCs w:val="24"/>
        </w:rPr>
        <w:t>Divestiture (Repaying Debt):</w:t>
      </w:r>
      <w:r w:rsidRPr="00B90F4C">
        <w:rPr>
          <w:rFonts w:ascii="Arial" w:hAnsi="Arial" w:cs="Arial"/>
          <w:sz w:val="24"/>
          <w:szCs w:val="24"/>
        </w:rPr>
        <w:t xml:space="preserve"> Cash proceeds from asset sales must be earmarked for paying down mandatory outstanding debt. This has the effect of reducing the total outstanding principal and the cost of capital leaving additional capacity to borrow if needed.</w:t>
      </w:r>
      <w:r>
        <w:rPr>
          <w:rFonts w:ascii="Arial" w:hAnsi="Arial" w:cs="Arial"/>
          <w:sz w:val="24"/>
          <w:szCs w:val="24"/>
        </w:rPr>
        <w:t xml:space="preserve"> (</w:t>
      </w:r>
      <w:r w:rsidRPr="00B90F4C">
        <w:rPr>
          <w:rFonts w:ascii="Arial" w:hAnsi="Arial" w:cs="Arial"/>
          <w:sz w:val="24"/>
          <w:szCs w:val="24"/>
        </w:rPr>
        <w:t>Myers, S. C. 1977)</w:t>
      </w:r>
    </w:p>
    <w:p w:rsidR="00B90F4C" w:rsidRPr="00B20337" w:rsidRDefault="00B90F4C" w:rsidP="00FD31F7">
      <w:pPr>
        <w:pStyle w:val="ListParagraph"/>
        <w:spacing w:line="360" w:lineRule="auto"/>
        <w:ind w:left="737" w:right="737"/>
        <w:jc w:val="both"/>
        <w:rPr>
          <w:rFonts w:ascii="Arial" w:hAnsi="Arial" w:cs="Arial"/>
          <w:b/>
          <w:sz w:val="24"/>
          <w:szCs w:val="24"/>
          <w:u w:val="single"/>
        </w:rPr>
      </w:pPr>
    </w:p>
    <w:p w:rsidR="00B90F4C" w:rsidRPr="00B20337" w:rsidRDefault="00B90F4C" w:rsidP="00B90F4C">
      <w:pPr>
        <w:pStyle w:val="ListParagraph"/>
        <w:spacing w:line="360" w:lineRule="auto"/>
        <w:ind w:left="737" w:right="737"/>
        <w:jc w:val="both"/>
        <w:rPr>
          <w:rFonts w:ascii="Arial" w:hAnsi="Arial" w:cs="Arial"/>
          <w:b/>
          <w:sz w:val="24"/>
          <w:szCs w:val="24"/>
          <w:u w:val="single"/>
        </w:rPr>
      </w:pPr>
      <w:r w:rsidRPr="00B20337">
        <w:rPr>
          <w:rFonts w:ascii="Arial" w:hAnsi="Arial" w:cs="Arial"/>
          <w:b/>
          <w:sz w:val="24"/>
          <w:szCs w:val="24"/>
          <w:u w:val="single"/>
        </w:rPr>
        <w:t xml:space="preserve">Impact on Operational Flexibility </w:t>
      </w:r>
    </w:p>
    <w:p w:rsidR="00B90F4C" w:rsidRDefault="00B90F4C" w:rsidP="00B90F4C">
      <w:pPr>
        <w:pStyle w:val="ListParagraph"/>
        <w:spacing w:line="360" w:lineRule="auto"/>
        <w:ind w:left="737" w:right="737"/>
        <w:jc w:val="both"/>
        <w:rPr>
          <w:rFonts w:ascii="Arial" w:hAnsi="Arial" w:cs="Arial"/>
          <w:sz w:val="24"/>
          <w:szCs w:val="24"/>
        </w:rPr>
      </w:pPr>
      <w:r w:rsidRPr="00B90F4C">
        <w:rPr>
          <w:rFonts w:ascii="Arial" w:hAnsi="Arial" w:cs="Arial"/>
          <w:sz w:val="24"/>
          <w:szCs w:val="24"/>
        </w:rPr>
        <w:t xml:space="preserve">Operational flexibility, the ability to react in a timely way to market shifts as well as invest in research and development, has been severely damaged by the financial situation of the firm. </w:t>
      </w:r>
    </w:p>
    <w:p w:rsidR="00B90F4C" w:rsidRDefault="00B90F4C" w:rsidP="00B90F4C">
      <w:pPr>
        <w:pStyle w:val="ListParagraph"/>
        <w:spacing w:line="360" w:lineRule="auto"/>
        <w:ind w:left="737" w:right="737"/>
        <w:jc w:val="both"/>
        <w:rPr>
          <w:rFonts w:ascii="Arial" w:hAnsi="Arial" w:cs="Arial"/>
          <w:sz w:val="24"/>
          <w:szCs w:val="24"/>
        </w:rPr>
      </w:pPr>
      <w:r w:rsidRPr="00B20337">
        <w:rPr>
          <w:rFonts w:ascii="Arial" w:hAnsi="Arial" w:cs="Arial"/>
          <w:b/>
          <w:sz w:val="24"/>
          <w:szCs w:val="24"/>
        </w:rPr>
        <w:t>Divestiture (of non-core, problem interests):</w:t>
      </w:r>
      <w:r w:rsidRPr="00B90F4C">
        <w:rPr>
          <w:rFonts w:ascii="Arial" w:hAnsi="Arial" w:cs="Arial"/>
          <w:sz w:val="24"/>
          <w:szCs w:val="24"/>
        </w:rPr>
        <w:t xml:space="preserve"> Divesting non-core interests that are struggling will substantially increase operational flexibility. Management time and energy will shift from remediating different isolated failures to addressing the core, most valuable interests. This has a significant impact on resource allocation (for instance, more resources may be devoted to research and development and less to covering losses). </w:t>
      </w:r>
      <w:r w:rsidRPr="00B90F4C">
        <w:rPr>
          <w:rFonts w:ascii="Arial" w:hAnsi="Arial" w:cs="Arial"/>
          <w:b/>
          <w:sz w:val="24"/>
          <w:szCs w:val="24"/>
        </w:rPr>
        <w:t>Equity infusion (working capital relief):</w:t>
      </w:r>
      <w:r w:rsidRPr="00B90F4C">
        <w:rPr>
          <w:rFonts w:ascii="Arial" w:hAnsi="Arial" w:cs="Arial"/>
          <w:sz w:val="24"/>
          <w:szCs w:val="24"/>
        </w:rPr>
        <w:t xml:space="preserve"> The new equity infusion provides essential flexibility of working capital. The company will not only have the ability to invest in modern inventory control systems but also stop the dangerous practice (in the context of supply chains) of lengthening Payables Days (128.7). Lengthening Payables Days puts a strain on supplier relationships and creates disruption in the supply chain. </w:t>
      </w:r>
    </w:p>
    <w:p w:rsidR="00B90F4C" w:rsidRDefault="00B90F4C" w:rsidP="00B90F4C">
      <w:pPr>
        <w:pStyle w:val="ListParagraph"/>
        <w:spacing w:line="360" w:lineRule="auto"/>
        <w:ind w:left="737" w:right="737"/>
        <w:jc w:val="both"/>
        <w:rPr>
          <w:rFonts w:ascii="Arial" w:hAnsi="Arial" w:cs="Arial"/>
          <w:sz w:val="24"/>
          <w:szCs w:val="24"/>
        </w:rPr>
      </w:pPr>
      <w:r w:rsidRPr="00B90F4C">
        <w:rPr>
          <w:rFonts w:ascii="Arial" w:hAnsi="Arial" w:cs="Arial"/>
          <w:b/>
          <w:sz w:val="24"/>
          <w:szCs w:val="24"/>
        </w:rPr>
        <w:t>Debt Restructured (covenant freedom):</w:t>
      </w:r>
      <w:r w:rsidRPr="00B90F4C">
        <w:rPr>
          <w:rFonts w:ascii="Arial" w:hAnsi="Arial" w:cs="Arial"/>
          <w:sz w:val="24"/>
          <w:szCs w:val="24"/>
        </w:rPr>
        <w:t xml:space="preserve"> Covenant renegotiation must be successful to achieve operational freedom. If management were to relax the financial ratios, management could retain flexibility on spending, investment, and strategic movement and would not face immediate technical default on covenants.</w:t>
      </w:r>
    </w:p>
    <w:p w:rsidR="00395624" w:rsidRDefault="00395624" w:rsidP="00B90F4C">
      <w:pPr>
        <w:pStyle w:val="ListParagraph"/>
        <w:spacing w:line="360" w:lineRule="auto"/>
        <w:ind w:left="737" w:right="737"/>
        <w:jc w:val="both"/>
        <w:rPr>
          <w:rFonts w:ascii="Arial" w:hAnsi="Arial" w:cs="Arial"/>
          <w:sz w:val="24"/>
          <w:szCs w:val="24"/>
        </w:rPr>
      </w:pPr>
    </w:p>
    <w:p w:rsidR="00B20337" w:rsidRPr="00B90F4C" w:rsidRDefault="00B20337" w:rsidP="00B90F4C">
      <w:pPr>
        <w:pStyle w:val="ListParagraph"/>
        <w:spacing w:line="360" w:lineRule="auto"/>
        <w:ind w:left="737" w:right="737"/>
        <w:jc w:val="both"/>
        <w:rPr>
          <w:rFonts w:ascii="Arial" w:hAnsi="Arial" w:cs="Arial"/>
          <w:sz w:val="24"/>
          <w:szCs w:val="24"/>
        </w:rPr>
      </w:pPr>
    </w:p>
    <w:p w:rsidR="00B90F4C" w:rsidRDefault="00B20337" w:rsidP="00B90F4C">
      <w:pPr>
        <w:pStyle w:val="ListParagraph"/>
        <w:spacing w:line="360" w:lineRule="auto"/>
        <w:ind w:left="737" w:right="737"/>
        <w:jc w:val="both"/>
        <w:rPr>
          <w:rFonts w:ascii="Arial" w:hAnsi="Arial" w:cs="Arial"/>
          <w:b/>
          <w:i/>
          <w:sz w:val="24"/>
          <w:szCs w:val="24"/>
        </w:rPr>
      </w:pPr>
      <w:r w:rsidRPr="00B20337">
        <w:rPr>
          <w:rFonts w:ascii="Arial" w:hAnsi="Arial" w:cs="Arial"/>
          <w:b/>
          <w:i/>
          <w:sz w:val="24"/>
          <w:szCs w:val="24"/>
        </w:rPr>
        <w:lastRenderedPageBreak/>
        <w:t>International and Ethical Considerations for Restructuring</w:t>
      </w:r>
    </w:p>
    <w:p w:rsidR="00B20337" w:rsidRPr="00B20337" w:rsidRDefault="00B20337" w:rsidP="00B90F4C">
      <w:pPr>
        <w:pStyle w:val="ListParagraph"/>
        <w:spacing w:line="360" w:lineRule="auto"/>
        <w:ind w:left="737" w:right="737"/>
        <w:jc w:val="both"/>
        <w:rPr>
          <w:rFonts w:ascii="Arial" w:hAnsi="Arial" w:cs="Arial"/>
          <w:b/>
          <w:i/>
          <w:sz w:val="24"/>
          <w:szCs w:val="24"/>
        </w:rPr>
      </w:pPr>
    </w:p>
    <w:p w:rsidR="00B20337" w:rsidRPr="00B20337" w:rsidRDefault="00B20337" w:rsidP="00B20337">
      <w:pPr>
        <w:pStyle w:val="ListParagraph"/>
        <w:spacing w:line="360" w:lineRule="auto"/>
        <w:ind w:left="737" w:right="737"/>
        <w:jc w:val="both"/>
        <w:rPr>
          <w:rFonts w:ascii="Arial" w:hAnsi="Arial" w:cs="Arial"/>
          <w:b/>
          <w:sz w:val="24"/>
          <w:szCs w:val="24"/>
        </w:rPr>
      </w:pPr>
      <w:r w:rsidRPr="00B20337">
        <w:rPr>
          <w:rFonts w:ascii="Arial" w:hAnsi="Arial" w:cs="Arial"/>
          <w:b/>
          <w:sz w:val="24"/>
          <w:szCs w:val="24"/>
        </w:rPr>
        <w:t xml:space="preserve">Currency Risk (FX Exposure) </w:t>
      </w:r>
    </w:p>
    <w:p w:rsidR="00B20337" w:rsidRPr="00B20337" w:rsidRDefault="00B20337" w:rsidP="00B20337">
      <w:pPr>
        <w:pStyle w:val="ListParagraph"/>
        <w:spacing w:line="360" w:lineRule="auto"/>
        <w:ind w:left="737" w:right="737"/>
        <w:jc w:val="both"/>
        <w:rPr>
          <w:rFonts w:ascii="Arial" w:hAnsi="Arial" w:cs="Arial"/>
          <w:sz w:val="24"/>
          <w:szCs w:val="24"/>
        </w:rPr>
      </w:pPr>
      <w:r w:rsidRPr="00B20337">
        <w:rPr>
          <w:rFonts w:ascii="Arial" w:hAnsi="Arial" w:cs="Arial"/>
          <w:sz w:val="24"/>
          <w:szCs w:val="24"/>
        </w:rPr>
        <w:t>Restructuring typically involves significant cross-border transactions, including selling foreign subsidiaries or repatriating cash from international divisions after liquidation or sale. Each transaction creates currency risk. Specifically, if the foreign subsidiary's local currency depreciates against the company's reporting currency (sterling), the cash proceeds after conversion will be reduced, potentially impacting debt pay-down targets. To mitigate this, management must rely on hedging mechanisms, such as forward contracts, to lock in favorable exchange rates for divestiture plans and major cash transfers internationally. (</w:t>
      </w:r>
      <w:proofErr w:type="spellStart"/>
      <w:r w:rsidRPr="00B20337">
        <w:rPr>
          <w:rFonts w:ascii="Arial" w:hAnsi="Arial" w:cs="Arial"/>
          <w:sz w:val="24"/>
          <w:szCs w:val="24"/>
        </w:rPr>
        <w:t>Rochmayasari</w:t>
      </w:r>
      <w:proofErr w:type="spellEnd"/>
      <w:r w:rsidRPr="00B20337">
        <w:rPr>
          <w:rFonts w:ascii="Arial" w:hAnsi="Arial" w:cs="Arial"/>
          <w:sz w:val="24"/>
          <w:szCs w:val="24"/>
        </w:rPr>
        <w:t>, 2022)</w:t>
      </w:r>
    </w:p>
    <w:p w:rsidR="00B20337" w:rsidRPr="00B20337" w:rsidRDefault="00B20337" w:rsidP="00B20337">
      <w:pPr>
        <w:pStyle w:val="ListParagraph"/>
        <w:spacing w:line="360" w:lineRule="auto"/>
        <w:ind w:left="737" w:right="737"/>
        <w:jc w:val="both"/>
        <w:rPr>
          <w:rFonts w:ascii="Arial" w:hAnsi="Arial" w:cs="Arial"/>
          <w:sz w:val="24"/>
          <w:szCs w:val="24"/>
        </w:rPr>
      </w:pPr>
    </w:p>
    <w:p w:rsidR="00B20337" w:rsidRPr="00B20337" w:rsidRDefault="00B20337" w:rsidP="00B20337">
      <w:pPr>
        <w:pStyle w:val="ListParagraph"/>
        <w:spacing w:line="360" w:lineRule="auto"/>
        <w:ind w:left="737" w:right="737"/>
        <w:jc w:val="both"/>
        <w:rPr>
          <w:rFonts w:ascii="Arial" w:hAnsi="Arial" w:cs="Arial"/>
          <w:b/>
          <w:sz w:val="24"/>
          <w:szCs w:val="24"/>
        </w:rPr>
      </w:pPr>
      <w:r w:rsidRPr="00B20337">
        <w:rPr>
          <w:rFonts w:ascii="Arial" w:hAnsi="Arial" w:cs="Arial"/>
          <w:b/>
          <w:sz w:val="24"/>
          <w:szCs w:val="24"/>
        </w:rPr>
        <w:t xml:space="preserve">Taxation </w:t>
      </w:r>
    </w:p>
    <w:p w:rsidR="00B20337" w:rsidRDefault="00B20337" w:rsidP="00B20337">
      <w:pPr>
        <w:pStyle w:val="ListParagraph"/>
        <w:spacing w:line="360" w:lineRule="auto"/>
        <w:ind w:left="737" w:right="737"/>
        <w:jc w:val="both"/>
        <w:rPr>
          <w:rFonts w:ascii="Arial" w:hAnsi="Arial" w:cs="Arial"/>
          <w:sz w:val="24"/>
          <w:szCs w:val="24"/>
        </w:rPr>
      </w:pPr>
      <w:r w:rsidRPr="00B20337">
        <w:rPr>
          <w:rFonts w:ascii="Arial" w:hAnsi="Arial" w:cs="Arial"/>
          <w:sz w:val="24"/>
          <w:szCs w:val="24"/>
        </w:rPr>
        <w:t>Aside from price, the decision to liquidate an asset must be based on after-tax proceeds. International tax law is complicated, and any divestment must be structured the correct way to minimize capital gains tax exposure in the foreign jurisdiction and a repatriation tax upon the cash transfer back to the company in the UK. Even further, the equity investment must also provide assurance to international investors that the company is tax compliant and structured optimally, especially regarding intercompany transfer pricing, which taxpayers and global tax authorities scrutinize more heavily than other taxes.</w:t>
      </w:r>
      <w:r>
        <w:rPr>
          <w:rFonts w:ascii="Arial" w:hAnsi="Arial" w:cs="Arial"/>
          <w:sz w:val="24"/>
          <w:szCs w:val="24"/>
        </w:rPr>
        <w:t xml:space="preserve"> </w:t>
      </w:r>
      <w:r w:rsidRPr="00B20337">
        <w:rPr>
          <w:rFonts w:ascii="Arial" w:hAnsi="Arial" w:cs="Arial"/>
          <w:sz w:val="24"/>
          <w:szCs w:val="24"/>
        </w:rPr>
        <w:t>(</w:t>
      </w:r>
      <w:proofErr w:type="spellStart"/>
      <w:r w:rsidRPr="00B20337">
        <w:rPr>
          <w:rFonts w:ascii="Arial" w:hAnsi="Arial" w:cs="Arial"/>
          <w:sz w:val="24"/>
          <w:szCs w:val="24"/>
        </w:rPr>
        <w:t>Rochmayasari</w:t>
      </w:r>
      <w:proofErr w:type="spellEnd"/>
      <w:r w:rsidRPr="00B20337">
        <w:rPr>
          <w:rFonts w:ascii="Arial" w:hAnsi="Arial" w:cs="Arial"/>
          <w:sz w:val="24"/>
          <w:szCs w:val="24"/>
        </w:rPr>
        <w:t>, 2022)</w:t>
      </w:r>
    </w:p>
    <w:p w:rsidR="00B20337" w:rsidRDefault="00B20337" w:rsidP="00B20337">
      <w:pPr>
        <w:pStyle w:val="ListParagraph"/>
        <w:spacing w:line="360" w:lineRule="auto"/>
        <w:ind w:left="737" w:right="737"/>
        <w:jc w:val="both"/>
        <w:rPr>
          <w:rFonts w:ascii="Arial" w:hAnsi="Arial" w:cs="Arial"/>
          <w:sz w:val="24"/>
          <w:szCs w:val="24"/>
        </w:rPr>
      </w:pPr>
    </w:p>
    <w:p w:rsidR="00B20337" w:rsidRPr="00B20337" w:rsidRDefault="00B20337" w:rsidP="00B20337">
      <w:pPr>
        <w:pStyle w:val="ListParagraph"/>
        <w:spacing w:line="360" w:lineRule="auto"/>
        <w:ind w:left="737" w:right="737"/>
        <w:jc w:val="both"/>
        <w:rPr>
          <w:rFonts w:ascii="Arial" w:hAnsi="Arial" w:cs="Arial"/>
          <w:b/>
          <w:sz w:val="24"/>
          <w:szCs w:val="24"/>
        </w:rPr>
      </w:pPr>
      <w:r w:rsidRPr="00B20337">
        <w:rPr>
          <w:rFonts w:ascii="Arial" w:hAnsi="Arial" w:cs="Arial"/>
          <w:b/>
          <w:sz w:val="24"/>
          <w:szCs w:val="24"/>
        </w:rPr>
        <w:t>Inflation</w:t>
      </w:r>
    </w:p>
    <w:p w:rsidR="00B20337" w:rsidRDefault="00B20337" w:rsidP="00B20337">
      <w:pPr>
        <w:pStyle w:val="ListParagraph"/>
        <w:spacing w:line="360" w:lineRule="auto"/>
        <w:ind w:left="737" w:right="737"/>
        <w:jc w:val="both"/>
        <w:rPr>
          <w:rFonts w:ascii="Arial" w:hAnsi="Arial" w:cs="Arial"/>
          <w:sz w:val="24"/>
          <w:szCs w:val="24"/>
        </w:rPr>
      </w:pPr>
      <w:r w:rsidRPr="00B20337">
        <w:rPr>
          <w:rFonts w:ascii="Arial" w:hAnsi="Arial" w:cs="Arial"/>
          <w:sz w:val="24"/>
          <w:szCs w:val="24"/>
        </w:rPr>
        <w:t>While currency risk concerns volatility in exchange rates, inflation takes a toll on the real (inflation-adjusted) value of the Company's debt and assets over time. High inflation of operating markets can materially increase the cost of goods sold (COS)—only aggravating the Company's poor Net Profit Margin—and make local capital expenditure financed much more expensive. Restructured debt, particularly when it entails a delay in payment, will also need to take into account future inflation being stubborn, as it could drive up future interest rates, which will further increase financing costs post-restructuring overall.</w:t>
      </w:r>
      <w:r>
        <w:rPr>
          <w:rFonts w:ascii="Arial" w:hAnsi="Arial" w:cs="Arial"/>
          <w:sz w:val="24"/>
          <w:szCs w:val="24"/>
        </w:rPr>
        <w:t xml:space="preserve"> </w:t>
      </w:r>
      <w:r w:rsidRPr="00B20337">
        <w:rPr>
          <w:rFonts w:ascii="Arial" w:hAnsi="Arial" w:cs="Arial"/>
          <w:sz w:val="24"/>
          <w:szCs w:val="24"/>
        </w:rPr>
        <w:t>(</w:t>
      </w:r>
      <w:proofErr w:type="spellStart"/>
      <w:r w:rsidRPr="00B20337">
        <w:rPr>
          <w:rFonts w:ascii="Arial" w:hAnsi="Arial" w:cs="Arial"/>
          <w:sz w:val="24"/>
          <w:szCs w:val="24"/>
        </w:rPr>
        <w:t>Rochmayasari</w:t>
      </w:r>
      <w:proofErr w:type="spellEnd"/>
      <w:r w:rsidRPr="00B20337">
        <w:rPr>
          <w:rFonts w:ascii="Arial" w:hAnsi="Arial" w:cs="Arial"/>
          <w:sz w:val="24"/>
          <w:szCs w:val="24"/>
        </w:rPr>
        <w:t>, 2022)</w:t>
      </w:r>
    </w:p>
    <w:p w:rsidR="00B20337" w:rsidRDefault="00B20337" w:rsidP="00B20337">
      <w:pPr>
        <w:pStyle w:val="ListParagraph"/>
        <w:spacing w:line="360" w:lineRule="auto"/>
        <w:ind w:left="737" w:right="737"/>
        <w:jc w:val="both"/>
        <w:rPr>
          <w:rFonts w:ascii="Arial" w:hAnsi="Arial" w:cs="Arial"/>
          <w:b/>
          <w:sz w:val="24"/>
          <w:szCs w:val="24"/>
        </w:rPr>
      </w:pPr>
    </w:p>
    <w:p w:rsidR="00395624" w:rsidRPr="00B20337" w:rsidRDefault="00395624" w:rsidP="00B20337">
      <w:pPr>
        <w:pStyle w:val="ListParagraph"/>
        <w:spacing w:line="360" w:lineRule="auto"/>
        <w:ind w:left="737" w:right="737"/>
        <w:jc w:val="both"/>
        <w:rPr>
          <w:rFonts w:ascii="Arial" w:hAnsi="Arial" w:cs="Arial"/>
          <w:b/>
          <w:sz w:val="24"/>
          <w:szCs w:val="24"/>
        </w:rPr>
      </w:pPr>
    </w:p>
    <w:p w:rsidR="00B20337" w:rsidRPr="00B20337" w:rsidRDefault="00B20337" w:rsidP="00B20337">
      <w:pPr>
        <w:pStyle w:val="ListParagraph"/>
        <w:spacing w:line="360" w:lineRule="auto"/>
        <w:ind w:left="737" w:right="737"/>
        <w:jc w:val="both"/>
        <w:rPr>
          <w:rFonts w:ascii="Arial" w:hAnsi="Arial" w:cs="Arial"/>
          <w:b/>
          <w:sz w:val="24"/>
          <w:szCs w:val="24"/>
        </w:rPr>
      </w:pPr>
      <w:r w:rsidRPr="00B20337">
        <w:rPr>
          <w:rFonts w:ascii="Arial" w:hAnsi="Arial" w:cs="Arial"/>
          <w:b/>
          <w:sz w:val="24"/>
          <w:szCs w:val="24"/>
        </w:rPr>
        <w:lastRenderedPageBreak/>
        <w:t>Ethics and Corporate Social Responsibility (CSR)</w:t>
      </w:r>
    </w:p>
    <w:p w:rsidR="00B20337" w:rsidRDefault="00B20337" w:rsidP="00B20337">
      <w:pPr>
        <w:pStyle w:val="ListParagraph"/>
        <w:spacing w:line="360" w:lineRule="auto"/>
        <w:ind w:left="737" w:right="737"/>
        <w:jc w:val="both"/>
        <w:rPr>
          <w:rFonts w:ascii="Arial" w:hAnsi="Arial" w:cs="Arial"/>
          <w:sz w:val="24"/>
          <w:szCs w:val="24"/>
        </w:rPr>
      </w:pPr>
      <w:r w:rsidRPr="00B20337">
        <w:rPr>
          <w:rFonts w:ascii="Arial" w:hAnsi="Arial" w:cs="Arial"/>
          <w:sz w:val="24"/>
          <w:szCs w:val="24"/>
        </w:rPr>
        <w:t>The need to restructure—the use of debt-for-equity swaps and divestitures, in particular—presents material ethical obligations to the C</w:t>
      </w:r>
      <w:r>
        <w:rPr>
          <w:rFonts w:ascii="Arial" w:hAnsi="Arial" w:cs="Arial"/>
          <w:sz w:val="24"/>
          <w:szCs w:val="24"/>
        </w:rPr>
        <w:t xml:space="preserve">ompany's numerous stakeholders. </w:t>
      </w:r>
      <w:r w:rsidRPr="00B20337">
        <w:rPr>
          <w:rFonts w:ascii="Arial" w:hAnsi="Arial" w:cs="Arial"/>
          <w:sz w:val="24"/>
          <w:szCs w:val="24"/>
        </w:rPr>
        <w:t>(</w:t>
      </w:r>
      <w:proofErr w:type="spellStart"/>
      <w:r w:rsidRPr="00B20337">
        <w:rPr>
          <w:rFonts w:ascii="Arial" w:hAnsi="Arial" w:cs="Arial"/>
          <w:sz w:val="24"/>
          <w:szCs w:val="24"/>
        </w:rPr>
        <w:t>Rochmayasari</w:t>
      </w:r>
      <w:proofErr w:type="spellEnd"/>
      <w:r w:rsidRPr="00B20337">
        <w:rPr>
          <w:rFonts w:ascii="Arial" w:hAnsi="Arial" w:cs="Arial"/>
          <w:sz w:val="24"/>
          <w:szCs w:val="24"/>
        </w:rPr>
        <w:t>, 2022)</w:t>
      </w:r>
    </w:p>
    <w:p w:rsidR="00B20337" w:rsidRDefault="00B20337" w:rsidP="00B20337">
      <w:pPr>
        <w:pStyle w:val="ListParagraph"/>
        <w:spacing w:line="360" w:lineRule="auto"/>
        <w:ind w:left="737" w:right="737"/>
        <w:jc w:val="both"/>
        <w:rPr>
          <w:rFonts w:ascii="Arial" w:hAnsi="Arial" w:cs="Arial"/>
          <w:sz w:val="24"/>
          <w:szCs w:val="24"/>
        </w:rPr>
      </w:pPr>
    </w:p>
    <w:p w:rsidR="00B20337" w:rsidRPr="00B20337" w:rsidRDefault="00B20337" w:rsidP="00B20337">
      <w:pPr>
        <w:pStyle w:val="ListParagraph"/>
        <w:spacing w:line="360" w:lineRule="auto"/>
        <w:ind w:left="737" w:right="737"/>
        <w:jc w:val="both"/>
        <w:rPr>
          <w:rFonts w:ascii="Arial" w:hAnsi="Arial" w:cs="Arial"/>
          <w:b/>
          <w:sz w:val="24"/>
          <w:szCs w:val="24"/>
        </w:rPr>
      </w:pPr>
      <w:r w:rsidRPr="00B20337">
        <w:rPr>
          <w:rFonts w:ascii="Arial" w:hAnsi="Arial" w:cs="Arial"/>
          <w:b/>
          <w:sz w:val="24"/>
          <w:szCs w:val="24"/>
        </w:rPr>
        <w:t>Equitable Treatment of Stakeholders</w:t>
      </w:r>
    </w:p>
    <w:p w:rsidR="00372BFD" w:rsidRPr="009D3B0B" w:rsidRDefault="00B20337" w:rsidP="009D3B0B">
      <w:pPr>
        <w:pStyle w:val="ListParagraph"/>
        <w:spacing w:line="360" w:lineRule="auto"/>
        <w:ind w:left="737" w:right="737"/>
        <w:jc w:val="both"/>
        <w:rPr>
          <w:rFonts w:ascii="Arial" w:hAnsi="Arial" w:cs="Arial"/>
          <w:sz w:val="24"/>
          <w:szCs w:val="24"/>
        </w:rPr>
      </w:pPr>
      <w:r w:rsidRPr="00B20337">
        <w:rPr>
          <w:rFonts w:ascii="Arial" w:hAnsi="Arial" w:cs="Arial"/>
          <w:sz w:val="24"/>
          <w:szCs w:val="24"/>
        </w:rPr>
        <w:t>The Company needs to address the ethical tension between shareholders and creditors. A debt-for-equity swap, although a necessary means for survival, is effectively compelling a loss on the bondholders, and obviously diluting the existing shareholders. Therefore, management has an ethical obligation to coordinate the swap agreement, and along with it, dissemination of information—to ensure the swap terms are clear, mutually agreeable, and perceived as fair to all involved parties, as they are all sharing the pain to ensure the enterprise's long-term viable survival.</w:t>
      </w:r>
      <w:r>
        <w:rPr>
          <w:rFonts w:ascii="Arial" w:hAnsi="Arial" w:cs="Arial"/>
          <w:sz w:val="24"/>
          <w:szCs w:val="24"/>
        </w:rPr>
        <w:t xml:space="preserve"> </w:t>
      </w:r>
      <w:r w:rsidRPr="00B20337">
        <w:rPr>
          <w:rFonts w:ascii="Arial" w:hAnsi="Arial" w:cs="Arial"/>
          <w:sz w:val="24"/>
          <w:szCs w:val="24"/>
        </w:rPr>
        <w:t>(</w:t>
      </w:r>
      <w:proofErr w:type="spellStart"/>
      <w:r w:rsidRPr="00B20337">
        <w:rPr>
          <w:rFonts w:ascii="Arial" w:hAnsi="Arial" w:cs="Arial"/>
          <w:sz w:val="24"/>
          <w:szCs w:val="24"/>
        </w:rPr>
        <w:t>Rochmayasari</w:t>
      </w:r>
      <w:proofErr w:type="spellEnd"/>
      <w:r w:rsidRPr="00B20337">
        <w:rPr>
          <w:rFonts w:ascii="Arial" w:hAnsi="Arial" w:cs="Arial"/>
          <w:sz w:val="24"/>
          <w:szCs w:val="24"/>
        </w:rPr>
        <w:t>, 2022)</w:t>
      </w:r>
    </w:p>
    <w:p w:rsidR="00372BFD" w:rsidRDefault="00372BFD" w:rsidP="00372BFD">
      <w:pPr>
        <w:pStyle w:val="ListParagraph"/>
        <w:spacing w:line="360" w:lineRule="auto"/>
        <w:ind w:left="737" w:right="737"/>
        <w:jc w:val="right"/>
        <w:rPr>
          <w:rFonts w:ascii="Arial" w:hAnsi="Arial" w:cs="Arial"/>
          <w:sz w:val="24"/>
          <w:szCs w:val="24"/>
        </w:rPr>
      </w:pPr>
    </w:p>
    <w:p w:rsidR="00372BFD" w:rsidRPr="00874034" w:rsidRDefault="00B01E79" w:rsidP="00B01E79">
      <w:pPr>
        <w:pStyle w:val="ListParagraph"/>
        <w:numPr>
          <w:ilvl w:val="0"/>
          <w:numId w:val="1"/>
        </w:numPr>
        <w:spacing w:line="360" w:lineRule="auto"/>
        <w:ind w:right="737"/>
        <w:rPr>
          <w:rFonts w:ascii="Arial" w:hAnsi="Arial" w:cs="Arial"/>
          <w:b/>
          <w:sz w:val="24"/>
          <w:szCs w:val="24"/>
        </w:rPr>
      </w:pPr>
      <w:r w:rsidRPr="00874034">
        <w:rPr>
          <w:rFonts w:ascii="Arial" w:hAnsi="Arial" w:cs="Arial"/>
          <w:b/>
          <w:sz w:val="24"/>
          <w:szCs w:val="24"/>
        </w:rPr>
        <w:t>Investment Appraisal and Capital Budgeting</w:t>
      </w:r>
    </w:p>
    <w:p w:rsidR="00B01E79" w:rsidRPr="00874034" w:rsidRDefault="00B01E79" w:rsidP="00B01E79">
      <w:pPr>
        <w:pStyle w:val="ListParagraph"/>
        <w:spacing w:line="360" w:lineRule="auto"/>
        <w:ind w:left="1097" w:right="737"/>
        <w:rPr>
          <w:rFonts w:ascii="Arial" w:hAnsi="Arial" w:cs="Arial"/>
          <w:b/>
          <w:sz w:val="24"/>
          <w:szCs w:val="24"/>
          <w:u w:val="single"/>
        </w:rPr>
      </w:pPr>
      <w:r w:rsidRPr="00874034">
        <w:rPr>
          <w:rFonts w:ascii="Arial" w:hAnsi="Arial" w:cs="Arial"/>
          <w:b/>
          <w:sz w:val="24"/>
          <w:szCs w:val="24"/>
          <w:u w:val="single"/>
        </w:rPr>
        <w:t>Payback Period (PBP)</w:t>
      </w:r>
    </w:p>
    <w:p w:rsidR="00874034" w:rsidRPr="00874034" w:rsidRDefault="00874034" w:rsidP="00B01E79">
      <w:pPr>
        <w:pStyle w:val="ListParagraph"/>
        <w:spacing w:line="360" w:lineRule="auto"/>
        <w:ind w:left="1097" w:right="737"/>
        <w:rPr>
          <w:rFonts w:ascii="Arial" w:hAnsi="Arial" w:cs="Arial"/>
          <w:sz w:val="24"/>
          <w:szCs w:val="24"/>
        </w:rPr>
      </w:pPr>
      <w:r w:rsidRPr="00874034">
        <w:rPr>
          <w:rFonts w:ascii="Arial" w:hAnsi="Arial" w:cs="Arial"/>
          <w:sz w:val="24"/>
          <w:szCs w:val="24"/>
        </w:rPr>
        <w:t>PBP = Year before Recovery + Uncovered Amount / Cash flow in recovery year</w:t>
      </w:r>
    </w:p>
    <w:tbl>
      <w:tblPr>
        <w:tblStyle w:val="GridTable5Dark-Accent1"/>
        <w:tblW w:w="0" w:type="auto"/>
        <w:tblInd w:w="1760" w:type="dxa"/>
        <w:tblLook w:val="04A0" w:firstRow="1" w:lastRow="0" w:firstColumn="1" w:lastColumn="0" w:noHBand="0" w:noVBand="1"/>
      </w:tblPr>
      <w:tblGrid>
        <w:gridCol w:w="1740"/>
        <w:gridCol w:w="2093"/>
        <w:gridCol w:w="1767"/>
        <w:gridCol w:w="1777"/>
      </w:tblGrid>
      <w:tr w:rsidR="00874034" w:rsidTr="008740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7" w:type="dxa"/>
          </w:tcPr>
          <w:p w:rsidR="00874034" w:rsidRDefault="00874034" w:rsidP="00874034">
            <w:pPr>
              <w:pStyle w:val="ListParagraph"/>
              <w:spacing w:line="360" w:lineRule="auto"/>
              <w:ind w:left="0" w:right="737"/>
              <w:jc w:val="center"/>
              <w:rPr>
                <w:rFonts w:ascii="Arial" w:hAnsi="Arial" w:cs="Arial"/>
                <w:b w:val="0"/>
                <w:sz w:val="24"/>
                <w:szCs w:val="24"/>
              </w:rPr>
            </w:pPr>
            <w:r>
              <w:rPr>
                <w:rFonts w:ascii="Arial" w:hAnsi="Arial" w:cs="Arial"/>
                <w:b w:val="0"/>
                <w:sz w:val="24"/>
                <w:szCs w:val="24"/>
              </w:rPr>
              <w:t>Years</w:t>
            </w:r>
          </w:p>
        </w:tc>
        <w:tc>
          <w:tcPr>
            <w:tcW w:w="2093" w:type="dxa"/>
          </w:tcPr>
          <w:p w:rsidR="00874034" w:rsidRDefault="00874034" w:rsidP="00874034">
            <w:pPr>
              <w:pStyle w:val="ListParagraph"/>
              <w:spacing w:line="360" w:lineRule="auto"/>
              <w:ind w:left="0" w:right="737"/>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Project A (£m)</w:t>
            </w:r>
          </w:p>
        </w:tc>
        <w:tc>
          <w:tcPr>
            <w:tcW w:w="1767" w:type="dxa"/>
          </w:tcPr>
          <w:p w:rsidR="00874034" w:rsidRDefault="00874034" w:rsidP="00874034">
            <w:pPr>
              <w:pStyle w:val="ListParagraph"/>
              <w:spacing w:line="360" w:lineRule="auto"/>
              <w:ind w:left="0" w:right="737"/>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Project B(£m)</w:t>
            </w:r>
          </w:p>
        </w:tc>
        <w:tc>
          <w:tcPr>
            <w:tcW w:w="1777" w:type="dxa"/>
          </w:tcPr>
          <w:p w:rsidR="00874034" w:rsidRDefault="00874034" w:rsidP="00874034">
            <w:pPr>
              <w:pStyle w:val="ListParagraph"/>
              <w:spacing w:line="360" w:lineRule="auto"/>
              <w:ind w:left="0" w:right="737"/>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Project C(£m)</w:t>
            </w:r>
          </w:p>
        </w:tc>
      </w:tr>
      <w:tr w:rsidR="00874034" w:rsidTr="00874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7" w:type="dxa"/>
          </w:tcPr>
          <w:p w:rsidR="00874034" w:rsidRPr="00874034" w:rsidRDefault="004A0992" w:rsidP="00874034">
            <w:pPr>
              <w:pStyle w:val="ListParagraph"/>
              <w:spacing w:line="360" w:lineRule="auto"/>
              <w:ind w:left="0" w:right="737"/>
              <w:jc w:val="center"/>
              <w:rPr>
                <w:rFonts w:ascii="Arial" w:hAnsi="Arial" w:cs="Arial"/>
                <w:sz w:val="24"/>
                <w:szCs w:val="24"/>
              </w:rPr>
            </w:pPr>
            <w:r>
              <w:rPr>
                <w:rFonts w:ascii="Arial" w:hAnsi="Arial" w:cs="Arial"/>
                <w:sz w:val="24"/>
                <w:szCs w:val="24"/>
              </w:rPr>
              <w:t xml:space="preserve">Initial </w:t>
            </w:r>
            <w:proofErr w:type="spellStart"/>
            <w:r>
              <w:rPr>
                <w:rFonts w:ascii="Arial" w:hAnsi="Arial" w:cs="Arial"/>
                <w:sz w:val="24"/>
                <w:szCs w:val="24"/>
              </w:rPr>
              <w:t>Amt</w:t>
            </w:r>
            <w:proofErr w:type="spellEnd"/>
          </w:p>
        </w:tc>
        <w:tc>
          <w:tcPr>
            <w:tcW w:w="2093"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40</w:t>
            </w:r>
          </w:p>
        </w:tc>
        <w:tc>
          <w:tcPr>
            <w:tcW w:w="1767"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74034">
              <w:rPr>
                <w:rFonts w:ascii="Arial" w:hAnsi="Arial" w:cs="Arial"/>
                <w:sz w:val="24"/>
                <w:szCs w:val="24"/>
              </w:rPr>
              <w:t>30</w:t>
            </w:r>
          </w:p>
        </w:tc>
        <w:tc>
          <w:tcPr>
            <w:tcW w:w="1777"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74034">
              <w:rPr>
                <w:rFonts w:ascii="Arial" w:hAnsi="Arial" w:cs="Arial"/>
                <w:sz w:val="24"/>
                <w:szCs w:val="24"/>
              </w:rPr>
              <w:t>50</w:t>
            </w:r>
          </w:p>
        </w:tc>
      </w:tr>
      <w:tr w:rsidR="00874034" w:rsidTr="00874034">
        <w:tc>
          <w:tcPr>
            <w:cnfStyle w:val="001000000000" w:firstRow="0" w:lastRow="0" w:firstColumn="1" w:lastColumn="0" w:oddVBand="0" w:evenVBand="0" w:oddHBand="0" w:evenHBand="0" w:firstRowFirstColumn="0" w:firstRowLastColumn="0" w:lastRowFirstColumn="0" w:lastRowLastColumn="0"/>
            <w:tcW w:w="1607" w:type="dxa"/>
          </w:tcPr>
          <w:p w:rsidR="00874034" w:rsidRPr="00874034" w:rsidRDefault="00874034" w:rsidP="00874034">
            <w:pPr>
              <w:pStyle w:val="ListParagraph"/>
              <w:spacing w:line="360" w:lineRule="auto"/>
              <w:ind w:left="0" w:right="737"/>
              <w:jc w:val="center"/>
              <w:rPr>
                <w:rFonts w:ascii="Arial" w:hAnsi="Arial" w:cs="Arial"/>
                <w:sz w:val="24"/>
                <w:szCs w:val="24"/>
              </w:rPr>
            </w:pPr>
            <w:r w:rsidRPr="00874034">
              <w:rPr>
                <w:rFonts w:ascii="Arial" w:hAnsi="Arial" w:cs="Arial"/>
                <w:sz w:val="24"/>
                <w:szCs w:val="24"/>
              </w:rPr>
              <w:t>1</w:t>
            </w:r>
          </w:p>
        </w:tc>
        <w:tc>
          <w:tcPr>
            <w:tcW w:w="2093"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10</w:t>
            </w:r>
          </w:p>
        </w:tc>
        <w:tc>
          <w:tcPr>
            <w:tcW w:w="1767"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6</w:t>
            </w:r>
          </w:p>
        </w:tc>
        <w:tc>
          <w:tcPr>
            <w:tcW w:w="1777"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5</w:t>
            </w:r>
          </w:p>
        </w:tc>
      </w:tr>
      <w:tr w:rsidR="00874034" w:rsidTr="00874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7" w:type="dxa"/>
          </w:tcPr>
          <w:p w:rsidR="00874034" w:rsidRPr="00874034" w:rsidRDefault="00874034" w:rsidP="00874034">
            <w:pPr>
              <w:pStyle w:val="ListParagraph"/>
              <w:spacing w:line="360" w:lineRule="auto"/>
              <w:ind w:left="0" w:right="737"/>
              <w:jc w:val="center"/>
              <w:rPr>
                <w:rFonts w:ascii="Arial" w:hAnsi="Arial" w:cs="Arial"/>
                <w:sz w:val="24"/>
                <w:szCs w:val="24"/>
              </w:rPr>
            </w:pPr>
            <w:r w:rsidRPr="00874034">
              <w:rPr>
                <w:rFonts w:ascii="Arial" w:hAnsi="Arial" w:cs="Arial"/>
                <w:sz w:val="24"/>
                <w:szCs w:val="24"/>
              </w:rPr>
              <w:t>2</w:t>
            </w:r>
          </w:p>
        </w:tc>
        <w:tc>
          <w:tcPr>
            <w:tcW w:w="2093"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74034">
              <w:rPr>
                <w:rFonts w:ascii="Arial" w:hAnsi="Arial" w:cs="Arial"/>
                <w:sz w:val="24"/>
                <w:szCs w:val="24"/>
              </w:rPr>
              <w:t>12</w:t>
            </w:r>
          </w:p>
        </w:tc>
        <w:tc>
          <w:tcPr>
            <w:tcW w:w="1767"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74034">
              <w:rPr>
                <w:rFonts w:ascii="Arial" w:hAnsi="Arial" w:cs="Arial"/>
                <w:sz w:val="24"/>
                <w:szCs w:val="24"/>
              </w:rPr>
              <w:t>6</w:t>
            </w:r>
          </w:p>
        </w:tc>
        <w:tc>
          <w:tcPr>
            <w:tcW w:w="1777"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74034">
              <w:rPr>
                <w:rFonts w:ascii="Arial" w:hAnsi="Arial" w:cs="Arial"/>
                <w:sz w:val="24"/>
                <w:szCs w:val="24"/>
              </w:rPr>
              <w:t>10</w:t>
            </w:r>
          </w:p>
        </w:tc>
      </w:tr>
      <w:tr w:rsidR="00874034" w:rsidTr="00874034">
        <w:tc>
          <w:tcPr>
            <w:cnfStyle w:val="001000000000" w:firstRow="0" w:lastRow="0" w:firstColumn="1" w:lastColumn="0" w:oddVBand="0" w:evenVBand="0" w:oddHBand="0" w:evenHBand="0" w:firstRowFirstColumn="0" w:firstRowLastColumn="0" w:lastRowFirstColumn="0" w:lastRowLastColumn="0"/>
            <w:tcW w:w="1607" w:type="dxa"/>
          </w:tcPr>
          <w:p w:rsidR="00874034" w:rsidRPr="00874034" w:rsidRDefault="00874034" w:rsidP="00874034">
            <w:pPr>
              <w:pStyle w:val="ListParagraph"/>
              <w:spacing w:line="360" w:lineRule="auto"/>
              <w:ind w:left="0" w:right="737"/>
              <w:jc w:val="center"/>
              <w:rPr>
                <w:rFonts w:ascii="Arial" w:hAnsi="Arial" w:cs="Arial"/>
                <w:sz w:val="24"/>
                <w:szCs w:val="24"/>
              </w:rPr>
            </w:pPr>
            <w:r w:rsidRPr="00874034">
              <w:rPr>
                <w:rFonts w:ascii="Arial" w:hAnsi="Arial" w:cs="Arial"/>
                <w:sz w:val="24"/>
                <w:szCs w:val="24"/>
              </w:rPr>
              <w:t>3</w:t>
            </w:r>
          </w:p>
        </w:tc>
        <w:tc>
          <w:tcPr>
            <w:tcW w:w="2093"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14</w:t>
            </w:r>
          </w:p>
        </w:tc>
        <w:tc>
          <w:tcPr>
            <w:tcW w:w="1767"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6</w:t>
            </w:r>
          </w:p>
        </w:tc>
        <w:tc>
          <w:tcPr>
            <w:tcW w:w="1777"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20</w:t>
            </w:r>
          </w:p>
        </w:tc>
      </w:tr>
      <w:tr w:rsidR="00874034" w:rsidTr="00874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7" w:type="dxa"/>
          </w:tcPr>
          <w:p w:rsidR="00874034" w:rsidRPr="00874034" w:rsidRDefault="00874034" w:rsidP="00874034">
            <w:pPr>
              <w:pStyle w:val="ListParagraph"/>
              <w:spacing w:line="360" w:lineRule="auto"/>
              <w:ind w:left="0" w:right="737"/>
              <w:jc w:val="center"/>
              <w:rPr>
                <w:rFonts w:ascii="Arial" w:hAnsi="Arial" w:cs="Arial"/>
                <w:sz w:val="24"/>
                <w:szCs w:val="24"/>
              </w:rPr>
            </w:pPr>
            <w:r w:rsidRPr="00874034">
              <w:rPr>
                <w:rFonts w:ascii="Arial" w:hAnsi="Arial" w:cs="Arial"/>
                <w:sz w:val="24"/>
                <w:szCs w:val="24"/>
              </w:rPr>
              <w:t>4</w:t>
            </w:r>
          </w:p>
        </w:tc>
        <w:tc>
          <w:tcPr>
            <w:tcW w:w="2093"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74034">
              <w:rPr>
                <w:rFonts w:ascii="Arial" w:hAnsi="Arial" w:cs="Arial"/>
                <w:sz w:val="24"/>
                <w:szCs w:val="24"/>
              </w:rPr>
              <w:t>10</w:t>
            </w:r>
          </w:p>
        </w:tc>
        <w:tc>
          <w:tcPr>
            <w:tcW w:w="1767"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74034">
              <w:rPr>
                <w:rFonts w:ascii="Arial" w:hAnsi="Arial" w:cs="Arial"/>
                <w:sz w:val="24"/>
                <w:szCs w:val="24"/>
              </w:rPr>
              <w:t>6</w:t>
            </w:r>
          </w:p>
        </w:tc>
        <w:tc>
          <w:tcPr>
            <w:tcW w:w="1777" w:type="dxa"/>
          </w:tcPr>
          <w:p w:rsidR="00874034" w:rsidRP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74034">
              <w:rPr>
                <w:rFonts w:ascii="Arial" w:hAnsi="Arial" w:cs="Arial"/>
                <w:sz w:val="24"/>
                <w:szCs w:val="24"/>
              </w:rPr>
              <w:t>25</w:t>
            </w:r>
          </w:p>
        </w:tc>
      </w:tr>
      <w:tr w:rsidR="00874034" w:rsidTr="00874034">
        <w:tc>
          <w:tcPr>
            <w:cnfStyle w:val="001000000000" w:firstRow="0" w:lastRow="0" w:firstColumn="1" w:lastColumn="0" w:oddVBand="0" w:evenVBand="0" w:oddHBand="0" w:evenHBand="0" w:firstRowFirstColumn="0" w:firstRowLastColumn="0" w:lastRowFirstColumn="0" w:lastRowLastColumn="0"/>
            <w:tcW w:w="1607" w:type="dxa"/>
          </w:tcPr>
          <w:p w:rsidR="00874034" w:rsidRPr="00874034" w:rsidRDefault="00874034" w:rsidP="00874034">
            <w:pPr>
              <w:pStyle w:val="ListParagraph"/>
              <w:spacing w:line="360" w:lineRule="auto"/>
              <w:ind w:left="0" w:right="737"/>
              <w:jc w:val="center"/>
              <w:rPr>
                <w:rFonts w:ascii="Arial" w:hAnsi="Arial" w:cs="Arial"/>
                <w:sz w:val="24"/>
                <w:szCs w:val="24"/>
              </w:rPr>
            </w:pPr>
            <w:r w:rsidRPr="00874034">
              <w:rPr>
                <w:rFonts w:ascii="Arial" w:hAnsi="Arial" w:cs="Arial"/>
                <w:sz w:val="24"/>
                <w:szCs w:val="24"/>
              </w:rPr>
              <w:t>5</w:t>
            </w:r>
          </w:p>
        </w:tc>
        <w:tc>
          <w:tcPr>
            <w:tcW w:w="2093"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8</w:t>
            </w:r>
          </w:p>
        </w:tc>
        <w:tc>
          <w:tcPr>
            <w:tcW w:w="1767"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6</w:t>
            </w:r>
          </w:p>
        </w:tc>
        <w:tc>
          <w:tcPr>
            <w:tcW w:w="1777" w:type="dxa"/>
          </w:tcPr>
          <w:p w:rsidR="00874034" w:rsidRPr="00874034" w:rsidRDefault="00874034" w:rsidP="00874034">
            <w:pPr>
              <w:pStyle w:val="ListParagraph"/>
              <w:spacing w:line="360" w:lineRule="auto"/>
              <w:ind w:left="0" w:right="737"/>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74034">
              <w:rPr>
                <w:rFonts w:ascii="Arial" w:hAnsi="Arial" w:cs="Arial"/>
                <w:sz w:val="24"/>
                <w:szCs w:val="24"/>
              </w:rPr>
              <w:t>15</w:t>
            </w:r>
          </w:p>
        </w:tc>
      </w:tr>
      <w:tr w:rsidR="00874034" w:rsidTr="00874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7" w:type="dxa"/>
          </w:tcPr>
          <w:p w:rsidR="00874034" w:rsidRDefault="00874034" w:rsidP="00B01E79">
            <w:pPr>
              <w:pStyle w:val="ListParagraph"/>
              <w:spacing w:line="360" w:lineRule="auto"/>
              <w:ind w:left="0" w:right="737"/>
              <w:rPr>
                <w:rFonts w:ascii="Arial" w:hAnsi="Arial" w:cs="Arial"/>
                <w:b w:val="0"/>
                <w:sz w:val="24"/>
                <w:szCs w:val="24"/>
              </w:rPr>
            </w:pPr>
            <w:r>
              <w:rPr>
                <w:rFonts w:ascii="Arial" w:hAnsi="Arial" w:cs="Arial"/>
                <w:b w:val="0"/>
                <w:sz w:val="24"/>
                <w:szCs w:val="24"/>
              </w:rPr>
              <w:t>PBP (Years)</w:t>
            </w:r>
          </w:p>
        </w:tc>
        <w:tc>
          <w:tcPr>
            <w:tcW w:w="2093" w:type="dxa"/>
          </w:tcPr>
          <w:p w:rsid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3.40</w:t>
            </w:r>
          </w:p>
        </w:tc>
        <w:tc>
          <w:tcPr>
            <w:tcW w:w="1767" w:type="dxa"/>
          </w:tcPr>
          <w:p w:rsid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5</w:t>
            </w:r>
          </w:p>
        </w:tc>
        <w:tc>
          <w:tcPr>
            <w:tcW w:w="1777" w:type="dxa"/>
          </w:tcPr>
          <w:p w:rsidR="00874034" w:rsidRDefault="00874034" w:rsidP="00874034">
            <w:pPr>
              <w:pStyle w:val="ListParagraph"/>
              <w:spacing w:line="360" w:lineRule="auto"/>
              <w:ind w:left="0" w:right="737"/>
              <w:jc w:val="cente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3.60</w:t>
            </w:r>
          </w:p>
        </w:tc>
      </w:tr>
    </w:tbl>
    <w:p w:rsidR="00B01E79" w:rsidRPr="004A0992" w:rsidRDefault="004A0992" w:rsidP="004A0992">
      <w:pPr>
        <w:pStyle w:val="ListParagraph"/>
        <w:spacing w:line="360" w:lineRule="auto"/>
        <w:ind w:left="1097" w:right="737"/>
        <w:jc w:val="center"/>
        <w:rPr>
          <w:rFonts w:ascii="Arial" w:hAnsi="Arial" w:cs="Arial"/>
          <w:b/>
          <w:i/>
          <w:sz w:val="24"/>
          <w:szCs w:val="24"/>
          <w:u w:val="single"/>
        </w:rPr>
      </w:pPr>
      <w:r w:rsidRPr="004A0992">
        <w:rPr>
          <w:rFonts w:ascii="Arial" w:hAnsi="Arial" w:cs="Arial"/>
          <w:b/>
          <w:i/>
          <w:sz w:val="24"/>
          <w:szCs w:val="24"/>
          <w:u w:val="single"/>
        </w:rPr>
        <w:t>Table 4.1 Payback Period</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w:t>
      </w:r>
      <w:proofErr w:type="spellStart"/>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265524" w:rsidRPr="00650801" w:rsidRDefault="007978DD" w:rsidP="007978DD">
      <w:pPr>
        <w:pStyle w:val="ListParagraph"/>
        <w:spacing w:line="360" w:lineRule="auto"/>
        <w:ind w:left="737" w:right="737"/>
        <w:jc w:val="both"/>
        <w:rPr>
          <w:rFonts w:ascii="Arial" w:hAnsi="Arial" w:cs="Arial"/>
          <w:sz w:val="24"/>
          <w:szCs w:val="24"/>
        </w:rPr>
      </w:pPr>
      <w:r w:rsidRPr="00650801">
        <w:rPr>
          <w:rFonts w:ascii="Arial" w:hAnsi="Arial" w:cs="Arial"/>
          <w:b/>
          <w:sz w:val="24"/>
          <w:szCs w:val="24"/>
        </w:rPr>
        <w:t>Project A</w:t>
      </w:r>
      <w:r w:rsidRPr="00650801">
        <w:rPr>
          <w:rFonts w:ascii="Arial" w:hAnsi="Arial" w:cs="Arial"/>
          <w:sz w:val="24"/>
          <w:szCs w:val="24"/>
        </w:rPr>
        <w:t xml:space="preserve"> has the fastest payback, improving liquidity recovery under financial constraints</w:t>
      </w:r>
    </w:p>
    <w:p w:rsidR="007978DD" w:rsidRDefault="007978DD" w:rsidP="007978DD">
      <w:pPr>
        <w:pStyle w:val="ListParagraph"/>
        <w:spacing w:line="360" w:lineRule="auto"/>
        <w:ind w:left="737" w:right="737"/>
        <w:jc w:val="both"/>
        <w:rPr>
          <w:rFonts w:ascii="Arial" w:hAnsi="Arial" w:cs="Arial"/>
          <w:b/>
          <w:sz w:val="24"/>
          <w:szCs w:val="24"/>
          <w:u w:val="single"/>
        </w:rPr>
      </w:pPr>
      <w:r>
        <w:rPr>
          <w:rFonts w:ascii="Arial" w:hAnsi="Arial" w:cs="Arial"/>
          <w:b/>
          <w:sz w:val="24"/>
          <w:szCs w:val="24"/>
          <w:u w:val="single"/>
        </w:rPr>
        <w:t>Account Rate of Return (ARR)</w:t>
      </w:r>
    </w:p>
    <w:p w:rsidR="007978DD" w:rsidRPr="007978DD" w:rsidRDefault="007978DD" w:rsidP="007978DD">
      <w:pPr>
        <w:pStyle w:val="ListParagraph"/>
        <w:spacing w:line="360" w:lineRule="auto"/>
        <w:ind w:left="737" w:right="737"/>
        <w:jc w:val="both"/>
        <w:rPr>
          <w:rFonts w:ascii="Arial" w:hAnsi="Arial" w:cs="Arial"/>
          <w:sz w:val="24"/>
          <w:szCs w:val="24"/>
        </w:rPr>
      </w:pPr>
      <w:r w:rsidRPr="007978DD">
        <w:rPr>
          <w:rFonts w:ascii="Arial" w:hAnsi="Arial" w:cs="Arial"/>
          <w:sz w:val="24"/>
          <w:szCs w:val="24"/>
        </w:rPr>
        <w:t>ARR= Average Profit / Initial Investment x 100</w:t>
      </w:r>
    </w:p>
    <w:tbl>
      <w:tblPr>
        <w:tblStyle w:val="GridTable5Dark-Accent5"/>
        <w:tblW w:w="7521" w:type="dxa"/>
        <w:tblInd w:w="1622" w:type="dxa"/>
        <w:tblLook w:val="04A0" w:firstRow="1" w:lastRow="0" w:firstColumn="1" w:lastColumn="0" w:noHBand="0" w:noVBand="1"/>
      </w:tblPr>
      <w:tblGrid>
        <w:gridCol w:w="963"/>
        <w:gridCol w:w="1881"/>
        <w:gridCol w:w="1911"/>
        <w:gridCol w:w="1717"/>
        <w:gridCol w:w="1049"/>
      </w:tblGrid>
      <w:tr w:rsidR="007978DD" w:rsidRPr="007978DD" w:rsidTr="00650801">
        <w:trPr>
          <w:cnfStyle w:val="100000000000" w:firstRow="1" w:lastRow="0" w:firstColumn="0" w:lastColumn="0" w:oddVBand="0" w:evenVBand="0" w:oddHBand="0"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0" w:type="auto"/>
            <w:hideMark/>
          </w:tcPr>
          <w:p w:rsidR="007978DD" w:rsidRPr="007978DD" w:rsidRDefault="007978DD" w:rsidP="007978DD">
            <w:pPr>
              <w:rPr>
                <w:rFonts w:ascii="Times New Roman" w:eastAsia="Times New Roman" w:hAnsi="Times New Roman" w:cs="Times New Roman"/>
                <w:sz w:val="24"/>
                <w:szCs w:val="24"/>
              </w:rPr>
            </w:pPr>
            <w:r w:rsidRPr="007978DD">
              <w:rPr>
                <w:rFonts w:ascii="Times New Roman" w:eastAsia="Times New Roman" w:hAnsi="Times New Roman" w:cs="Times New Roman"/>
                <w:sz w:val="24"/>
                <w:szCs w:val="24"/>
                <w:bdr w:val="none" w:sz="0" w:space="0" w:color="auto" w:frame="1"/>
              </w:rPr>
              <w:lastRenderedPageBreak/>
              <w:t>Project</w:t>
            </w:r>
          </w:p>
        </w:tc>
        <w:tc>
          <w:tcPr>
            <w:tcW w:w="0" w:type="auto"/>
            <w:hideMark/>
          </w:tcPr>
          <w:p w:rsidR="007978DD" w:rsidRPr="007978DD" w:rsidRDefault="007978DD" w:rsidP="007978DD">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roofErr w:type="spellStart"/>
            <w:r w:rsidRPr="007978DD">
              <w:rPr>
                <w:rFonts w:ascii="Times New Roman" w:eastAsia="Times New Roman" w:hAnsi="Times New Roman" w:cs="Times New Roman"/>
                <w:sz w:val="24"/>
                <w:szCs w:val="24"/>
                <w:bdr w:val="none" w:sz="0" w:space="0" w:color="auto" w:frame="1"/>
              </w:rPr>
              <w:t>Avg</w:t>
            </w:r>
            <w:proofErr w:type="spellEnd"/>
            <w:r w:rsidRPr="007978DD">
              <w:rPr>
                <w:rFonts w:ascii="Times New Roman" w:eastAsia="Times New Roman" w:hAnsi="Times New Roman" w:cs="Times New Roman"/>
                <w:sz w:val="24"/>
                <w:szCs w:val="24"/>
                <w:bdr w:val="none" w:sz="0" w:space="0" w:color="auto" w:frame="1"/>
              </w:rPr>
              <w:t xml:space="preserve"> Annual Profit (£m)</w:t>
            </w:r>
          </w:p>
        </w:tc>
        <w:tc>
          <w:tcPr>
            <w:tcW w:w="0" w:type="auto"/>
            <w:hideMark/>
          </w:tcPr>
          <w:p w:rsidR="007978DD" w:rsidRPr="007978DD" w:rsidRDefault="007978DD" w:rsidP="007978DD">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roofErr w:type="spellStart"/>
            <w:r w:rsidRPr="007978DD">
              <w:rPr>
                <w:rFonts w:ascii="Times New Roman" w:eastAsia="Times New Roman" w:hAnsi="Times New Roman" w:cs="Times New Roman"/>
                <w:sz w:val="24"/>
                <w:szCs w:val="24"/>
                <w:bdr w:val="none" w:sz="0" w:space="0" w:color="auto" w:frame="1"/>
              </w:rPr>
              <w:t>Avg</w:t>
            </w:r>
            <w:proofErr w:type="spellEnd"/>
            <w:r w:rsidRPr="007978DD">
              <w:rPr>
                <w:rFonts w:ascii="Times New Roman" w:eastAsia="Times New Roman" w:hAnsi="Times New Roman" w:cs="Times New Roman"/>
                <w:sz w:val="24"/>
                <w:szCs w:val="24"/>
                <w:bdr w:val="none" w:sz="0" w:space="0" w:color="auto" w:frame="1"/>
              </w:rPr>
              <w:t xml:space="preserve"> Investment (£m)</w:t>
            </w:r>
          </w:p>
        </w:tc>
        <w:tc>
          <w:tcPr>
            <w:tcW w:w="0" w:type="auto"/>
            <w:hideMark/>
          </w:tcPr>
          <w:p w:rsidR="007978DD" w:rsidRPr="007978DD" w:rsidRDefault="007978DD" w:rsidP="007978DD">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978DD">
              <w:rPr>
                <w:rFonts w:ascii="Times New Roman" w:eastAsia="Times New Roman" w:hAnsi="Times New Roman" w:cs="Times New Roman"/>
                <w:sz w:val="24"/>
                <w:szCs w:val="24"/>
                <w:bdr w:val="none" w:sz="0" w:space="0" w:color="auto" w:frame="1"/>
              </w:rPr>
              <w:t>ARR Calculation</w:t>
            </w:r>
          </w:p>
        </w:tc>
        <w:tc>
          <w:tcPr>
            <w:tcW w:w="0" w:type="auto"/>
            <w:hideMark/>
          </w:tcPr>
          <w:p w:rsidR="007978DD" w:rsidRPr="007978DD" w:rsidRDefault="007978DD" w:rsidP="007978DD">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978DD">
              <w:rPr>
                <w:rFonts w:ascii="Times New Roman" w:eastAsia="Times New Roman" w:hAnsi="Times New Roman" w:cs="Times New Roman"/>
                <w:sz w:val="24"/>
                <w:szCs w:val="24"/>
                <w:bdr w:val="none" w:sz="0" w:space="0" w:color="auto" w:frame="1"/>
              </w:rPr>
              <w:t>ARR (%)</w:t>
            </w:r>
          </w:p>
        </w:tc>
      </w:tr>
      <w:tr w:rsidR="007978DD" w:rsidRPr="007978DD" w:rsidTr="00650801">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0" w:type="auto"/>
            <w:hideMark/>
          </w:tcPr>
          <w:p w:rsidR="007978DD" w:rsidRPr="007978DD" w:rsidRDefault="007978DD" w:rsidP="007978DD">
            <w:pPr>
              <w:jc w:val="center"/>
              <w:rPr>
                <w:rFonts w:ascii="Times New Roman" w:eastAsia="Times New Roman" w:hAnsi="Times New Roman" w:cs="Times New Roman"/>
                <w:sz w:val="24"/>
                <w:szCs w:val="24"/>
              </w:rPr>
            </w:pPr>
            <w:r w:rsidRPr="007978DD">
              <w:rPr>
                <w:rFonts w:ascii="Times New Roman" w:eastAsia="Times New Roman" w:hAnsi="Times New Roman" w:cs="Times New Roman"/>
                <w:sz w:val="24"/>
                <w:szCs w:val="24"/>
                <w:bdr w:val="none" w:sz="0" w:space="0" w:color="auto" w:frame="1"/>
              </w:rPr>
              <w:t>A</w:t>
            </w:r>
          </w:p>
        </w:tc>
        <w:tc>
          <w:tcPr>
            <w:tcW w:w="0" w:type="auto"/>
            <w:hideMark/>
          </w:tcPr>
          <w:p w:rsidR="007978DD" w:rsidRPr="007978DD" w:rsidRDefault="007978DD" w:rsidP="007978D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B1C1D"/>
                <w:sz w:val="24"/>
                <w:szCs w:val="24"/>
              </w:rPr>
            </w:pPr>
            <w:r>
              <w:rPr>
                <w:rFonts w:ascii="Times New Roman" w:eastAsia="Times New Roman" w:hAnsi="Times New Roman" w:cs="Times New Roman"/>
                <w:color w:val="1B1C1D"/>
                <w:sz w:val="24"/>
                <w:szCs w:val="24"/>
                <w:bdr w:val="none" w:sz="0" w:space="0" w:color="auto" w:frame="1"/>
              </w:rPr>
              <w:t>2.8</w:t>
            </w:r>
          </w:p>
        </w:tc>
        <w:tc>
          <w:tcPr>
            <w:tcW w:w="0" w:type="auto"/>
            <w:hideMark/>
          </w:tcPr>
          <w:p w:rsidR="007978DD" w:rsidRPr="007978DD" w:rsidRDefault="007978DD" w:rsidP="007978D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B1C1D"/>
                <w:sz w:val="24"/>
                <w:szCs w:val="24"/>
                <w:bdr w:val="none" w:sz="0" w:space="0" w:color="auto" w:frame="1"/>
              </w:rPr>
            </w:pPr>
            <w:r>
              <w:rPr>
                <w:rFonts w:ascii="Times New Roman" w:eastAsia="Times New Roman" w:hAnsi="Times New Roman" w:cs="Times New Roman"/>
                <w:color w:val="1B1C1D"/>
                <w:sz w:val="24"/>
                <w:szCs w:val="24"/>
                <w:bdr w:val="none" w:sz="0" w:space="0" w:color="auto" w:frame="1"/>
              </w:rPr>
              <w:t>20</w:t>
            </w:r>
          </w:p>
        </w:tc>
        <w:tc>
          <w:tcPr>
            <w:tcW w:w="0" w:type="auto"/>
            <w:hideMark/>
          </w:tcPr>
          <w:p w:rsidR="007978DD" w:rsidRPr="007978DD" w:rsidRDefault="007978DD" w:rsidP="007978D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B1C1D"/>
                <w:sz w:val="24"/>
                <w:szCs w:val="24"/>
              </w:rPr>
            </w:pPr>
            <w:r>
              <w:rPr>
                <w:rFonts w:ascii="Times New Roman" w:eastAsia="Times New Roman" w:hAnsi="Times New Roman" w:cs="Times New Roman"/>
                <w:color w:val="1B1C1D"/>
                <w:sz w:val="24"/>
                <w:szCs w:val="24"/>
                <w:bdr w:val="none" w:sz="0" w:space="0" w:color="auto" w:frame="1"/>
              </w:rPr>
              <w:t>2.8 / 20</w:t>
            </w:r>
          </w:p>
        </w:tc>
        <w:tc>
          <w:tcPr>
            <w:tcW w:w="0" w:type="auto"/>
            <w:hideMark/>
          </w:tcPr>
          <w:p w:rsidR="007978DD" w:rsidRPr="007978DD" w:rsidRDefault="007978DD" w:rsidP="007978D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B1C1D"/>
                <w:sz w:val="24"/>
                <w:szCs w:val="24"/>
              </w:rPr>
            </w:pPr>
            <w:r w:rsidRPr="007978DD">
              <w:rPr>
                <w:rFonts w:ascii="Times New Roman" w:eastAsia="Times New Roman" w:hAnsi="Times New Roman" w:cs="Times New Roman"/>
                <w:b/>
                <w:bCs/>
                <w:color w:val="1B1C1D"/>
                <w:sz w:val="24"/>
                <w:szCs w:val="24"/>
                <w:bdr w:val="none" w:sz="0" w:space="0" w:color="auto" w:frame="1"/>
              </w:rPr>
              <w:t>14.0%</w:t>
            </w:r>
          </w:p>
        </w:tc>
      </w:tr>
      <w:tr w:rsidR="007978DD" w:rsidRPr="007978DD" w:rsidTr="00650801">
        <w:trPr>
          <w:trHeight w:val="1033"/>
        </w:trPr>
        <w:tc>
          <w:tcPr>
            <w:cnfStyle w:val="001000000000" w:firstRow="0" w:lastRow="0" w:firstColumn="1" w:lastColumn="0" w:oddVBand="0" w:evenVBand="0" w:oddHBand="0" w:evenHBand="0" w:firstRowFirstColumn="0" w:firstRowLastColumn="0" w:lastRowFirstColumn="0" w:lastRowLastColumn="0"/>
            <w:tcW w:w="0" w:type="auto"/>
            <w:hideMark/>
          </w:tcPr>
          <w:p w:rsidR="007978DD" w:rsidRPr="007978DD" w:rsidRDefault="007978DD" w:rsidP="007978DD">
            <w:pPr>
              <w:jc w:val="center"/>
              <w:rPr>
                <w:rFonts w:ascii="Times New Roman" w:eastAsia="Times New Roman" w:hAnsi="Times New Roman" w:cs="Times New Roman"/>
                <w:sz w:val="24"/>
                <w:szCs w:val="24"/>
              </w:rPr>
            </w:pPr>
            <w:r w:rsidRPr="007978DD">
              <w:rPr>
                <w:rFonts w:ascii="Times New Roman" w:eastAsia="Times New Roman" w:hAnsi="Times New Roman" w:cs="Times New Roman"/>
                <w:sz w:val="24"/>
                <w:szCs w:val="24"/>
                <w:bdr w:val="none" w:sz="0" w:space="0" w:color="auto" w:frame="1"/>
              </w:rPr>
              <w:t>B</w:t>
            </w:r>
          </w:p>
        </w:tc>
        <w:tc>
          <w:tcPr>
            <w:tcW w:w="0" w:type="auto"/>
            <w:hideMark/>
          </w:tcPr>
          <w:p w:rsidR="007978DD" w:rsidRPr="007978DD" w:rsidRDefault="007978DD" w:rsidP="007978D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B1C1D"/>
                <w:sz w:val="24"/>
                <w:szCs w:val="24"/>
              </w:rPr>
            </w:pPr>
            <w:r>
              <w:rPr>
                <w:rFonts w:ascii="Times New Roman" w:eastAsia="Times New Roman" w:hAnsi="Times New Roman" w:cs="Times New Roman"/>
                <w:color w:val="1B1C1D"/>
                <w:sz w:val="24"/>
                <w:szCs w:val="24"/>
                <w:bdr w:val="none" w:sz="0" w:space="0" w:color="auto" w:frame="1"/>
              </w:rPr>
              <w:t>0.0</w:t>
            </w:r>
          </w:p>
        </w:tc>
        <w:tc>
          <w:tcPr>
            <w:tcW w:w="0" w:type="auto"/>
            <w:hideMark/>
          </w:tcPr>
          <w:p w:rsidR="007978DD" w:rsidRPr="007978DD" w:rsidRDefault="007978DD" w:rsidP="007978D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B1C1D"/>
                <w:sz w:val="24"/>
                <w:szCs w:val="24"/>
                <w:bdr w:val="none" w:sz="0" w:space="0" w:color="auto" w:frame="1"/>
              </w:rPr>
            </w:pPr>
            <w:r>
              <w:rPr>
                <w:rFonts w:ascii="Times New Roman" w:eastAsia="Times New Roman" w:hAnsi="Times New Roman" w:cs="Times New Roman"/>
                <w:color w:val="1B1C1D"/>
                <w:sz w:val="24"/>
                <w:szCs w:val="24"/>
                <w:bdr w:val="none" w:sz="0" w:space="0" w:color="auto" w:frame="1"/>
              </w:rPr>
              <w:t>15</w:t>
            </w:r>
          </w:p>
        </w:tc>
        <w:tc>
          <w:tcPr>
            <w:tcW w:w="0" w:type="auto"/>
            <w:hideMark/>
          </w:tcPr>
          <w:p w:rsidR="007978DD" w:rsidRPr="007978DD" w:rsidRDefault="007978DD" w:rsidP="007978D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B1C1D"/>
                <w:sz w:val="24"/>
                <w:szCs w:val="24"/>
              </w:rPr>
            </w:pPr>
            <w:r>
              <w:rPr>
                <w:rFonts w:ascii="Times New Roman" w:eastAsia="Times New Roman" w:hAnsi="Times New Roman" w:cs="Times New Roman"/>
                <w:color w:val="1B1C1D"/>
                <w:sz w:val="24"/>
                <w:szCs w:val="24"/>
                <w:bdr w:val="none" w:sz="0" w:space="0" w:color="auto" w:frame="1"/>
              </w:rPr>
              <w:t>0.0 / 15</w:t>
            </w:r>
          </w:p>
        </w:tc>
        <w:tc>
          <w:tcPr>
            <w:tcW w:w="0" w:type="auto"/>
            <w:hideMark/>
          </w:tcPr>
          <w:p w:rsidR="007978DD" w:rsidRPr="007978DD" w:rsidRDefault="007978DD" w:rsidP="007978D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B1C1D"/>
                <w:sz w:val="24"/>
                <w:szCs w:val="24"/>
              </w:rPr>
            </w:pPr>
            <w:r w:rsidRPr="007978DD">
              <w:rPr>
                <w:rFonts w:ascii="Times New Roman" w:eastAsia="Times New Roman" w:hAnsi="Times New Roman" w:cs="Times New Roman"/>
                <w:b/>
                <w:bCs/>
                <w:color w:val="1B1C1D"/>
                <w:sz w:val="24"/>
                <w:szCs w:val="24"/>
                <w:bdr w:val="none" w:sz="0" w:space="0" w:color="auto" w:frame="1"/>
              </w:rPr>
              <w:t>0.0%</w:t>
            </w:r>
          </w:p>
        </w:tc>
      </w:tr>
      <w:tr w:rsidR="007978DD" w:rsidRPr="007978DD" w:rsidTr="00650801">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0" w:type="auto"/>
            <w:hideMark/>
          </w:tcPr>
          <w:p w:rsidR="007978DD" w:rsidRPr="007978DD" w:rsidRDefault="007978DD" w:rsidP="007978DD">
            <w:pPr>
              <w:jc w:val="center"/>
              <w:rPr>
                <w:rFonts w:ascii="Times New Roman" w:eastAsia="Times New Roman" w:hAnsi="Times New Roman" w:cs="Times New Roman"/>
                <w:sz w:val="24"/>
                <w:szCs w:val="24"/>
              </w:rPr>
            </w:pPr>
            <w:r w:rsidRPr="007978DD">
              <w:rPr>
                <w:rFonts w:ascii="Times New Roman" w:eastAsia="Times New Roman" w:hAnsi="Times New Roman" w:cs="Times New Roman"/>
                <w:sz w:val="24"/>
                <w:szCs w:val="24"/>
                <w:bdr w:val="none" w:sz="0" w:space="0" w:color="auto" w:frame="1"/>
              </w:rPr>
              <w:t>C</w:t>
            </w:r>
          </w:p>
        </w:tc>
        <w:tc>
          <w:tcPr>
            <w:tcW w:w="0" w:type="auto"/>
            <w:hideMark/>
          </w:tcPr>
          <w:p w:rsidR="007978DD" w:rsidRPr="007978DD" w:rsidRDefault="007978DD" w:rsidP="007978D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B1C1D"/>
                <w:sz w:val="24"/>
                <w:szCs w:val="24"/>
              </w:rPr>
            </w:pPr>
            <w:r>
              <w:rPr>
                <w:rFonts w:ascii="Times New Roman" w:eastAsia="Times New Roman" w:hAnsi="Times New Roman" w:cs="Times New Roman"/>
                <w:color w:val="1B1C1D"/>
                <w:sz w:val="24"/>
                <w:szCs w:val="24"/>
                <w:bdr w:val="none" w:sz="0" w:space="0" w:color="auto" w:frame="1"/>
              </w:rPr>
              <w:t>5.0</w:t>
            </w:r>
          </w:p>
        </w:tc>
        <w:tc>
          <w:tcPr>
            <w:tcW w:w="0" w:type="auto"/>
            <w:hideMark/>
          </w:tcPr>
          <w:p w:rsidR="007978DD" w:rsidRPr="007978DD" w:rsidRDefault="007978DD" w:rsidP="007978D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B1C1D"/>
                <w:sz w:val="24"/>
                <w:szCs w:val="24"/>
                <w:bdr w:val="none" w:sz="0" w:space="0" w:color="auto" w:frame="1"/>
              </w:rPr>
            </w:pPr>
            <w:r>
              <w:rPr>
                <w:rFonts w:ascii="Times New Roman" w:eastAsia="Times New Roman" w:hAnsi="Times New Roman" w:cs="Times New Roman"/>
                <w:color w:val="1B1C1D"/>
                <w:sz w:val="24"/>
                <w:szCs w:val="24"/>
                <w:bdr w:val="none" w:sz="0" w:space="0" w:color="auto" w:frame="1"/>
              </w:rPr>
              <w:t>25</w:t>
            </w:r>
          </w:p>
        </w:tc>
        <w:tc>
          <w:tcPr>
            <w:tcW w:w="0" w:type="auto"/>
            <w:hideMark/>
          </w:tcPr>
          <w:p w:rsidR="007978DD" w:rsidRPr="007978DD" w:rsidRDefault="007978DD" w:rsidP="007978D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B1C1D"/>
                <w:sz w:val="24"/>
                <w:szCs w:val="24"/>
              </w:rPr>
            </w:pPr>
            <w:r>
              <w:rPr>
                <w:rFonts w:ascii="Times New Roman" w:eastAsia="Times New Roman" w:hAnsi="Times New Roman" w:cs="Times New Roman"/>
                <w:color w:val="1B1C1D"/>
                <w:sz w:val="24"/>
                <w:szCs w:val="24"/>
                <w:bdr w:val="none" w:sz="0" w:space="0" w:color="auto" w:frame="1"/>
              </w:rPr>
              <w:t>5.0 / 25</w:t>
            </w:r>
          </w:p>
        </w:tc>
        <w:tc>
          <w:tcPr>
            <w:tcW w:w="0" w:type="auto"/>
            <w:hideMark/>
          </w:tcPr>
          <w:p w:rsidR="007978DD" w:rsidRPr="007978DD" w:rsidRDefault="007978DD" w:rsidP="007978D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B1C1D"/>
                <w:sz w:val="24"/>
                <w:szCs w:val="24"/>
              </w:rPr>
            </w:pPr>
            <w:r w:rsidRPr="007978DD">
              <w:rPr>
                <w:rFonts w:ascii="Times New Roman" w:eastAsia="Times New Roman" w:hAnsi="Times New Roman" w:cs="Times New Roman"/>
                <w:b/>
                <w:bCs/>
                <w:color w:val="1B1C1D"/>
                <w:sz w:val="24"/>
                <w:szCs w:val="24"/>
                <w:bdr w:val="none" w:sz="0" w:space="0" w:color="auto" w:frame="1"/>
              </w:rPr>
              <w:t>20.0%</w:t>
            </w:r>
          </w:p>
        </w:tc>
      </w:tr>
    </w:tbl>
    <w:p w:rsidR="00265524" w:rsidRDefault="00650801" w:rsidP="00650801">
      <w:pPr>
        <w:pStyle w:val="ListParagraph"/>
        <w:spacing w:line="360" w:lineRule="auto"/>
        <w:ind w:left="737" w:right="737" w:firstLine="720"/>
        <w:jc w:val="center"/>
        <w:rPr>
          <w:rFonts w:ascii="Arial" w:hAnsi="Arial" w:cs="Arial"/>
          <w:b/>
          <w:i/>
          <w:sz w:val="24"/>
          <w:szCs w:val="24"/>
          <w:u w:val="single"/>
        </w:rPr>
      </w:pPr>
      <w:r w:rsidRPr="00650801">
        <w:rPr>
          <w:rFonts w:ascii="Arial" w:hAnsi="Arial" w:cs="Arial"/>
          <w:b/>
          <w:i/>
          <w:sz w:val="24"/>
          <w:szCs w:val="24"/>
          <w:u w:val="single"/>
        </w:rPr>
        <w:t>Table 4.2 ARR</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w:t>
      </w:r>
      <w:proofErr w:type="spellStart"/>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650801" w:rsidRDefault="00650801" w:rsidP="00650801">
      <w:pPr>
        <w:pStyle w:val="ListParagraph"/>
        <w:spacing w:line="360" w:lineRule="auto"/>
        <w:ind w:left="737" w:right="737" w:firstLine="720"/>
        <w:rPr>
          <w:rFonts w:ascii="Arial" w:hAnsi="Arial" w:cs="Arial"/>
          <w:sz w:val="24"/>
          <w:szCs w:val="24"/>
        </w:rPr>
      </w:pPr>
      <w:r w:rsidRPr="00650801">
        <w:rPr>
          <w:rFonts w:ascii="Arial" w:hAnsi="Arial" w:cs="Arial"/>
          <w:b/>
          <w:sz w:val="24"/>
          <w:szCs w:val="24"/>
        </w:rPr>
        <w:t>Project C</w:t>
      </w:r>
      <w:r w:rsidRPr="00650801">
        <w:rPr>
          <w:rFonts w:ascii="Arial" w:hAnsi="Arial" w:cs="Arial"/>
          <w:sz w:val="24"/>
          <w:szCs w:val="24"/>
        </w:rPr>
        <w:t xml:space="preserve"> provides the highest return relative to investment.</w:t>
      </w:r>
    </w:p>
    <w:p w:rsidR="00650801" w:rsidRDefault="00650801" w:rsidP="00650801">
      <w:pPr>
        <w:pStyle w:val="ListParagraph"/>
        <w:spacing w:line="360" w:lineRule="auto"/>
        <w:ind w:left="737" w:right="737" w:firstLine="720"/>
        <w:rPr>
          <w:rFonts w:ascii="Arial" w:hAnsi="Arial" w:cs="Arial"/>
          <w:sz w:val="24"/>
          <w:szCs w:val="24"/>
        </w:rPr>
      </w:pPr>
    </w:p>
    <w:p w:rsidR="00650801" w:rsidRPr="00BF27FF" w:rsidRDefault="00650801" w:rsidP="00BF27FF">
      <w:pPr>
        <w:spacing w:line="360" w:lineRule="auto"/>
        <w:ind w:left="737" w:right="737"/>
        <w:rPr>
          <w:rFonts w:ascii="Arial" w:hAnsi="Arial" w:cs="Arial"/>
          <w:b/>
          <w:sz w:val="24"/>
          <w:szCs w:val="24"/>
          <w:u w:val="single"/>
        </w:rPr>
      </w:pPr>
      <w:r w:rsidRPr="00BF27FF">
        <w:rPr>
          <w:rFonts w:ascii="Arial" w:hAnsi="Arial" w:cs="Arial"/>
          <w:b/>
          <w:sz w:val="24"/>
          <w:szCs w:val="24"/>
          <w:u w:val="single"/>
        </w:rPr>
        <w:t>Net Present Value (NPV)</w:t>
      </w:r>
    </w:p>
    <w:p w:rsidR="00753591" w:rsidRPr="00BF27FF" w:rsidRDefault="00753591" w:rsidP="00BF27FF">
      <w:pPr>
        <w:spacing w:line="360" w:lineRule="auto"/>
        <w:ind w:left="737" w:right="737"/>
        <w:rPr>
          <w:rFonts w:ascii="Arial" w:hAnsi="Arial" w:cs="Arial"/>
          <w:b/>
          <w:sz w:val="24"/>
          <w:szCs w:val="24"/>
        </w:rPr>
      </w:pPr>
      <w:r w:rsidRPr="00BF27FF">
        <w:rPr>
          <w:rFonts w:ascii="Arial" w:hAnsi="Arial" w:cs="Arial"/>
          <w:b/>
          <w:sz w:val="24"/>
          <w:szCs w:val="24"/>
        </w:rPr>
        <w:t>NPV = PV – Initial Investment</w:t>
      </w:r>
    </w:p>
    <w:tbl>
      <w:tblPr>
        <w:tblW w:w="9203" w:type="dxa"/>
        <w:tblInd w:w="776" w:type="dxa"/>
        <w:tblLook w:val="04A0" w:firstRow="1" w:lastRow="0" w:firstColumn="1" w:lastColumn="0" w:noHBand="0" w:noVBand="1"/>
      </w:tblPr>
      <w:tblGrid>
        <w:gridCol w:w="1049"/>
        <w:gridCol w:w="1053"/>
        <w:gridCol w:w="1053"/>
        <w:gridCol w:w="1053"/>
        <w:gridCol w:w="1312"/>
        <w:gridCol w:w="1300"/>
        <w:gridCol w:w="1240"/>
        <w:gridCol w:w="1143"/>
      </w:tblGrid>
      <w:tr w:rsidR="00EC38DC" w:rsidRPr="00F770C5" w:rsidTr="00753591">
        <w:trPr>
          <w:trHeight w:val="295"/>
        </w:trPr>
        <w:tc>
          <w:tcPr>
            <w:tcW w:w="1049" w:type="dxa"/>
            <w:vMerge w:val="restart"/>
            <w:tcBorders>
              <w:top w:val="single" w:sz="4" w:space="0" w:color="auto"/>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Years</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Project A (£m)</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Project B(£m)</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Project C(£m)</w:t>
            </w:r>
          </w:p>
        </w:tc>
        <w:tc>
          <w:tcPr>
            <w:tcW w:w="1312" w:type="dxa"/>
            <w:vMerge w:val="restart"/>
            <w:tcBorders>
              <w:top w:val="single" w:sz="4" w:space="0" w:color="auto"/>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Discount Rate (10 %)</w:t>
            </w:r>
          </w:p>
        </w:tc>
        <w:tc>
          <w:tcPr>
            <w:tcW w:w="3683" w:type="dxa"/>
            <w:gridSpan w:val="3"/>
            <w:vMerge w:val="restart"/>
            <w:tcBorders>
              <w:top w:val="single" w:sz="4" w:space="0" w:color="auto"/>
              <w:left w:val="single" w:sz="4" w:space="0" w:color="auto"/>
              <w:bottom w:val="single" w:sz="4" w:space="0" w:color="000000"/>
              <w:right w:val="nil"/>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Present Value</w:t>
            </w:r>
            <w:r w:rsidR="00753591">
              <w:rPr>
                <w:rFonts w:ascii="Arial" w:eastAsia="Times New Roman" w:hAnsi="Arial" w:cs="Arial"/>
                <w:color w:val="FFFFFF"/>
                <w:sz w:val="24"/>
                <w:szCs w:val="24"/>
              </w:rPr>
              <w:t xml:space="preserve"> (PV)</w:t>
            </w:r>
          </w:p>
        </w:tc>
      </w:tr>
      <w:tr w:rsidR="00EC38DC" w:rsidRPr="00F770C5" w:rsidTr="00753591">
        <w:trPr>
          <w:trHeight w:val="450"/>
        </w:trPr>
        <w:tc>
          <w:tcPr>
            <w:tcW w:w="1049"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312"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3683" w:type="dxa"/>
            <w:gridSpan w:val="3"/>
            <w:vMerge/>
            <w:tcBorders>
              <w:top w:val="single" w:sz="4" w:space="0" w:color="auto"/>
              <w:left w:val="single" w:sz="4" w:space="0" w:color="auto"/>
              <w:bottom w:val="single" w:sz="4" w:space="0" w:color="000000"/>
              <w:right w:val="nil"/>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r>
      <w:tr w:rsidR="00E31538" w:rsidRPr="00F770C5" w:rsidTr="00753591">
        <w:trPr>
          <w:trHeight w:val="295"/>
        </w:trPr>
        <w:tc>
          <w:tcPr>
            <w:tcW w:w="1049"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312" w:type="dxa"/>
            <w:vMerge/>
            <w:tcBorders>
              <w:top w:val="single" w:sz="4" w:space="0" w:color="auto"/>
              <w:left w:val="single" w:sz="4" w:space="0" w:color="auto"/>
              <w:bottom w:val="single" w:sz="4" w:space="0" w:color="auto"/>
              <w:right w:val="single" w:sz="4" w:space="0" w:color="auto"/>
            </w:tcBorders>
            <w:vAlign w:val="center"/>
            <w:hideMark/>
          </w:tcPr>
          <w:p w:rsidR="00F770C5" w:rsidRPr="00F770C5" w:rsidRDefault="00F770C5" w:rsidP="00F770C5">
            <w:pPr>
              <w:spacing w:after="0" w:line="240" w:lineRule="auto"/>
              <w:rPr>
                <w:rFonts w:ascii="Arial" w:eastAsia="Times New Roman" w:hAnsi="Arial" w:cs="Arial"/>
                <w:color w:val="FFFFFF"/>
                <w:sz w:val="24"/>
                <w:szCs w:val="24"/>
              </w:rPr>
            </w:pPr>
          </w:p>
        </w:tc>
        <w:tc>
          <w:tcPr>
            <w:tcW w:w="1300" w:type="dxa"/>
            <w:tcBorders>
              <w:top w:val="nil"/>
              <w:left w:val="nil"/>
              <w:bottom w:val="single" w:sz="4" w:space="0" w:color="auto"/>
              <w:right w:val="single" w:sz="4" w:space="0" w:color="auto"/>
            </w:tcBorders>
            <w:shd w:val="clear" w:color="000000" w:fill="5B9BD5"/>
            <w:vAlign w:val="center"/>
            <w:hideMark/>
          </w:tcPr>
          <w:p w:rsidR="00F770C5" w:rsidRPr="00F770C5" w:rsidRDefault="00F770C5" w:rsidP="00B15891">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A</w:t>
            </w:r>
          </w:p>
        </w:tc>
        <w:tc>
          <w:tcPr>
            <w:tcW w:w="1240" w:type="dxa"/>
            <w:tcBorders>
              <w:top w:val="nil"/>
              <w:left w:val="nil"/>
              <w:bottom w:val="single" w:sz="4" w:space="0" w:color="auto"/>
              <w:right w:val="single" w:sz="4" w:space="0" w:color="auto"/>
            </w:tcBorders>
            <w:shd w:val="clear" w:color="000000" w:fill="5B9BD5"/>
            <w:vAlign w:val="center"/>
            <w:hideMark/>
          </w:tcPr>
          <w:p w:rsidR="00F770C5" w:rsidRPr="00F770C5" w:rsidRDefault="00F770C5" w:rsidP="00B15891">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B</w:t>
            </w:r>
          </w:p>
        </w:tc>
        <w:tc>
          <w:tcPr>
            <w:tcW w:w="1143" w:type="dxa"/>
            <w:tcBorders>
              <w:top w:val="nil"/>
              <w:left w:val="nil"/>
              <w:bottom w:val="single" w:sz="4" w:space="0" w:color="auto"/>
              <w:right w:val="single" w:sz="4" w:space="0" w:color="auto"/>
            </w:tcBorders>
            <w:shd w:val="clear" w:color="000000" w:fill="5B9BD5"/>
            <w:vAlign w:val="center"/>
            <w:hideMark/>
          </w:tcPr>
          <w:p w:rsidR="00F770C5" w:rsidRPr="00F770C5" w:rsidRDefault="00F770C5" w:rsidP="00B15891">
            <w:pPr>
              <w:spacing w:after="0" w:line="240" w:lineRule="auto"/>
              <w:jc w:val="center"/>
              <w:rPr>
                <w:rFonts w:ascii="Arial" w:eastAsia="Times New Roman" w:hAnsi="Arial" w:cs="Arial"/>
                <w:color w:val="FFFFFF"/>
                <w:sz w:val="24"/>
                <w:szCs w:val="24"/>
              </w:rPr>
            </w:pPr>
            <w:r w:rsidRPr="00F770C5">
              <w:rPr>
                <w:rFonts w:ascii="Arial" w:eastAsia="Times New Roman" w:hAnsi="Arial" w:cs="Arial"/>
                <w:color w:val="FFFFFF"/>
                <w:sz w:val="24"/>
                <w:szCs w:val="24"/>
              </w:rPr>
              <w:t>C</w:t>
            </w:r>
          </w:p>
        </w:tc>
      </w:tr>
      <w:tr w:rsidR="00F770C5" w:rsidRPr="00F770C5" w:rsidTr="00753591">
        <w:trPr>
          <w:trHeight w:val="614"/>
        </w:trPr>
        <w:tc>
          <w:tcPr>
            <w:tcW w:w="1049" w:type="dxa"/>
            <w:tcBorders>
              <w:top w:val="nil"/>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b/>
                <w:bCs/>
                <w:color w:val="FFFFFF"/>
                <w:sz w:val="24"/>
                <w:szCs w:val="24"/>
              </w:rPr>
            </w:pPr>
            <w:r w:rsidRPr="00F770C5">
              <w:rPr>
                <w:rFonts w:ascii="Arial" w:eastAsia="Times New Roman" w:hAnsi="Arial" w:cs="Arial"/>
                <w:b/>
                <w:bCs/>
                <w:color w:val="FFFFFF"/>
                <w:sz w:val="24"/>
                <w:szCs w:val="24"/>
              </w:rPr>
              <w:t xml:space="preserve">Initial </w:t>
            </w:r>
            <w:proofErr w:type="spellStart"/>
            <w:r w:rsidRPr="00F770C5">
              <w:rPr>
                <w:rFonts w:ascii="Arial" w:eastAsia="Times New Roman" w:hAnsi="Arial" w:cs="Arial"/>
                <w:b/>
                <w:bCs/>
                <w:color w:val="FFFFFF"/>
                <w:sz w:val="24"/>
                <w:szCs w:val="24"/>
              </w:rPr>
              <w:t>Amt</w:t>
            </w:r>
            <w:proofErr w:type="spellEnd"/>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40</w:t>
            </w:r>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30</w:t>
            </w:r>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50</w:t>
            </w:r>
          </w:p>
        </w:tc>
        <w:tc>
          <w:tcPr>
            <w:tcW w:w="1312"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p>
        </w:tc>
        <w:tc>
          <w:tcPr>
            <w:tcW w:w="1300"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p>
        </w:tc>
        <w:tc>
          <w:tcPr>
            <w:tcW w:w="1240"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p>
        </w:tc>
        <w:tc>
          <w:tcPr>
            <w:tcW w:w="114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p>
        </w:tc>
      </w:tr>
      <w:tr w:rsidR="00F770C5" w:rsidRPr="00F770C5" w:rsidTr="00753591">
        <w:trPr>
          <w:trHeight w:val="307"/>
        </w:trPr>
        <w:tc>
          <w:tcPr>
            <w:tcW w:w="1049" w:type="dxa"/>
            <w:tcBorders>
              <w:top w:val="nil"/>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b/>
                <w:bCs/>
                <w:color w:val="FFFFFF"/>
                <w:sz w:val="24"/>
                <w:szCs w:val="24"/>
              </w:rPr>
            </w:pPr>
            <w:r w:rsidRPr="00F770C5">
              <w:rPr>
                <w:rFonts w:ascii="Arial" w:eastAsia="Times New Roman" w:hAnsi="Arial" w:cs="Arial"/>
                <w:b/>
                <w:bCs/>
                <w:color w:val="FFFFFF"/>
                <w:sz w:val="24"/>
                <w:szCs w:val="24"/>
              </w:rPr>
              <w:t>1</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10</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6</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5</w:t>
            </w:r>
          </w:p>
        </w:tc>
        <w:tc>
          <w:tcPr>
            <w:tcW w:w="1312"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r>
              <w:rPr>
                <w:rFonts w:ascii="Arial" w:eastAsia="Times New Roman" w:hAnsi="Arial" w:cs="Arial"/>
                <w:color w:val="000000"/>
                <w:sz w:val="24"/>
                <w:szCs w:val="24"/>
              </w:rPr>
              <w:t>0.909</w:t>
            </w:r>
          </w:p>
        </w:tc>
        <w:tc>
          <w:tcPr>
            <w:tcW w:w="1300" w:type="dxa"/>
            <w:tcBorders>
              <w:top w:val="nil"/>
              <w:left w:val="nil"/>
              <w:bottom w:val="single" w:sz="4" w:space="0" w:color="auto"/>
              <w:right w:val="single" w:sz="4" w:space="0" w:color="auto"/>
            </w:tcBorders>
            <w:shd w:val="clear" w:color="000000" w:fill="DEEAF6"/>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9.09</w:t>
            </w:r>
          </w:p>
        </w:tc>
        <w:tc>
          <w:tcPr>
            <w:tcW w:w="1240" w:type="dxa"/>
            <w:tcBorders>
              <w:top w:val="nil"/>
              <w:left w:val="nil"/>
              <w:bottom w:val="single" w:sz="4" w:space="0" w:color="auto"/>
              <w:right w:val="single" w:sz="4" w:space="0" w:color="auto"/>
            </w:tcBorders>
            <w:shd w:val="clear" w:color="000000" w:fill="DEEAF6"/>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5.454</w:t>
            </w:r>
          </w:p>
        </w:tc>
        <w:tc>
          <w:tcPr>
            <w:tcW w:w="1143" w:type="dxa"/>
            <w:tcBorders>
              <w:top w:val="nil"/>
              <w:left w:val="nil"/>
              <w:bottom w:val="single" w:sz="4" w:space="0" w:color="auto"/>
              <w:right w:val="single" w:sz="4" w:space="0" w:color="auto"/>
            </w:tcBorders>
            <w:shd w:val="clear" w:color="000000" w:fill="DEEAF6"/>
            <w:vAlign w:val="center"/>
            <w:hideMark/>
          </w:tcPr>
          <w:p w:rsidR="00F770C5" w:rsidRPr="00F770C5" w:rsidRDefault="00EC38DC" w:rsidP="00F770C5">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4.545</w:t>
            </w:r>
            <w:r w:rsidR="00F770C5" w:rsidRPr="00F770C5">
              <w:rPr>
                <w:rFonts w:ascii="Arial" w:eastAsia="Times New Roman" w:hAnsi="Arial" w:cs="Arial"/>
                <w:color w:val="000000"/>
                <w:sz w:val="24"/>
                <w:szCs w:val="24"/>
              </w:rPr>
              <w:t> </w:t>
            </w:r>
          </w:p>
        </w:tc>
      </w:tr>
      <w:tr w:rsidR="00F770C5" w:rsidRPr="00F770C5" w:rsidTr="00753591">
        <w:trPr>
          <w:trHeight w:val="307"/>
        </w:trPr>
        <w:tc>
          <w:tcPr>
            <w:tcW w:w="1049" w:type="dxa"/>
            <w:tcBorders>
              <w:top w:val="nil"/>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b/>
                <w:bCs/>
                <w:color w:val="FFFFFF"/>
                <w:sz w:val="24"/>
                <w:szCs w:val="24"/>
              </w:rPr>
            </w:pPr>
            <w:r w:rsidRPr="00F770C5">
              <w:rPr>
                <w:rFonts w:ascii="Arial" w:eastAsia="Times New Roman" w:hAnsi="Arial" w:cs="Arial"/>
                <w:b/>
                <w:bCs/>
                <w:color w:val="FFFFFF"/>
                <w:sz w:val="24"/>
                <w:szCs w:val="24"/>
              </w:rPr>
              <w:t>2</w:t>
            </w:r>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12</w:t>
            </w:r>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6</w:t>
            </w:r>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10</w:t>
            </w:r>
          </w:p>
        </w:tc>
        <w:tc>
          <w:tcPr>
            <w:tcW w:w="1312"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r w:rsidR="00E31538">
              <w:rPr>
                <w:rFonts w:ascii="Arial" w:eastAsia="Times New Roman" w:hAnsi="Arial" w:cs="Arial"/>
                <w:color w:val="000000"/>
                <w:sz w:val="24"/>
                <w:szCs w:val="24"/>
              </w:rPr>
              <w:t>0.826</w:t>
            </w:r>
          </w:p>
        </w:tc>
        <w:tc>
          <w:tcPr>
            <w:tcW w:w="1300" w:type="dxa"/>
            <w:tcBorders>
              <w:top w:val="nil"/>
              <w:left w:val="nil"/>
              <w:bottom w:val="single" w:sz="4" w:space="0" w:color="auto"/>
              <w:right w:val="single" w:sz="4" w:space="0" w:color="auto"/>
            </w:tcBorders>
            <w:shd w:val="clear" w:color="000000" w:fill="BDD6EE"/>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9.912</w:t>
            </w:r>
          </w:p>
        </w:tc>
        <w:tc>
          <w:tcPr>
            <w:tcW w:w="1240" w:type="dxa"/>
            <w:tcBorders>
              <w:top w:val="nil"/>
              <w:left w:val="nil"/>
              <w:bottom w:val="single" w:sz="4" w:space="0" w:color="auto"/>
              <w:right w:val="single" w:sz="4" w:space="0" w:color="auto"/>
            </w:tcBorders>
            <w:shd w:val="clear" w:color="000000" w:fill="BDD6EE"/>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4.956</w:t>
            </w:r>
          </w:p>
        </w:tc>
        <w:tc>
          <w:tcPr>
            <w:tcW w:w="1143" w:type="dxa"/>
            <w:tcBorders>
              <w:top w:val="nil"/>
              <w:left w:val="nil"/>
              <w:bottom w:val="single" w:sz="4" w:space="0" w:color="auto"/>
              <w:right w:val="single" w:sz="4" w:space="0" w:color="auto"/>
            </w:tcBorders>
            <w:shd w:val="clear" w:color="000000" w:fill="BDD6EE"/>
            <w:vAlign w:val="center"/>
            <w:hideMark/>
          </w:tcPr>
          <w:p w:rsidR="00F770C5" w:rsidRPr="00F770C5" w:rsidRDefault="00EC38DC" w:rsidP="00F770C5">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8.26</w:t>
            </w:r>
            <w:r w:rsidR="00F770C5" w:rsidRPr="00F770C5">
              <w:rPr>
                <w:rFonts w:ascii="Arial" w:eastAsia="Times New Roman" w:hAnsi="Arial" w:cs="Arial"/>
                <w:color w:val="000000"/>
                <w:sz w:val="24"/>
                <w:szCs w:val="24"/>
              </w:rPr>
              <w:t> </w:t>
            </w:r>
          </w:p>
        </w:tc>
      </w:tr>
      <w:tr w:rsidR="00F770C5" w:rsidRPr="00F770C5" w:rsidTr="00753591">
        <w:trPr>
          <w:trHeight w:val="307"/>
        </w:trPr>
        <w:tc>
          <w:tcPr>
            <w:tcW w:w="1049" w:type="dxa"/>
            <w:tcBorders>
              <w:top w:val="nil"/>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b/>
                <w:bCs/>
                <w:color w:val="FFFFFF"/>
                <w:sz w:val="24"/>
                <w:szCs w:val="24"/>
              </w:rPr>
            </w:pPr>
            <w:r w:rsidRPr="00F770C5">
              <w:rPr>
                <w:rFonts w:ascii="Arial" w:eastAsia="Times New Roman" w:hAnsi="Arial" w:cs="Arial"/>
                <w:b/>
                <w:bCs/>
                <w:color w:val="FFFFFF"/>
                <w:sz w:val="24"/>
                <w:szCs w:val="24"/>
              </w:rPr>
              <w:t>3</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14</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6</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20</w:t>
            </w:r>
          </w:p>
        </w:tc>
        <w:tc>
          <w:tcPr>
            <w:tcW w:w="1312"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r w:rsidR="00E31538">
              <w:rPr>
                <w:rFonts w:ascii="Arial" w:eastAsia="Times New Roman" w:hAnsi="Arial" w:cs="Arial"/>
                <w:color w:val="000000"/>
                <w:sz w:val="24"/>
                <w:szCs w:val="24"/>
              </w:rPr>
              <w:t>0.751</w:t>
            </w:r>
          </w:p>
        </w:tc>
        <w:tc>
          <w:tcPr>
            <w:tcW w:w="1300" w:type="dxa"/>
            <w:tcBorders>
              <w:top w:val="nil"/>
              <w:left w:val="nil"/>
              <w:bottom w:val="single" w:sz="4" w:space="0" w:color="auto"/>
              <w:right w:val="single" w:sz="4" w:space="0" w:color="auto"/>
            </w:tcBorders>
            <w:shd w:val="clear" w:color="000000" w:fill="DEEAF6"/>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10.514</w:t>
            </w:r>
          </w:p>
        </w:tc>
        <w:tc>
          <w:tcPr>
            <w:tcW w:w="1240" w:type="dxa"/>
            <w:tcBorders>
              <w:top w:val="nil"/>
              <w:left w:val="nil"/>
              <w:bottom w:val="single" w:sz="4" w:space="0" w:color="auto"/>
              <w:right w:val="single" w:sz="4" w:space="0" w:color="auto"/>
            </w:tcBorders>
            <w:shd w:val="clear" w:color="000000" w:fill="DEEAF6"/>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4.506</w:t>
            </w:r>
          </w:p>
        </w:tc>
        <w:tc>
          <w:tcPr>
            <w:tcW w:w="1143" w:type="dxa"/>
            <w:tcBorders>
              <w:top w:val="nil"/>
              <w:left w:val="nil"/>
              <w:bottom w:val="single" w:sz="4" w:space="0" w:color="auto"/>
              <w:right w:val="single" w:sz="4" w:space="0" w:color="auto"/>
            </w:tcBorders>
            <w:shd w:val="clear" w:color="000000" w:fill="DEEAF6"/>
            <w:vAlign w:val="center"/>
            <w:hideMark/>
          </w:tcPr>
          <w:p w:rsidR="00F770C5" w:rsidRPr="00F770C5" w:rsidRDefault="00EC38DC" w:rsidP="00F770C5">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15.02</w:t>
            </w:r>
            <w:r w:rsidR="00F770C5" w:rsidRPr="00F770C5">
              <w:rPr>
                <w:rFonts w:ascii="Arial" w:eastAsia="Times New Roman" w:hAnsi="Arial" w:cs="Arial"/>
                <w:color w:val="000000"/>
                <w:sz w:val="24"/>
                <w:szCs w:val="24"/>
              </w:rPr>
              <w:t> </w:t>
            </w:r>
          </w:p>
        </w:tc>
      </w:tr>
      <w:tr w:rsidR="00F770C5" w:rsidRPr="00F770C5" w:rsidTr="00753591">
        <w:trPr>
          <w:trHeight w:val="307"/>
        </w:trPr>
        <w:tc>
          <w:tcPr>
            <w:tcW w:w="1049" w:type="dxa"/>
            <w:tcBorders>
              <w:top w:val="nil"/>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b/>
                <w:bCs/>
                <w:color w:val="FFFFFF"/>
                <w:sz w:val="24"/>
                <w:szCs w:val="24"/>
              </w:rPr>
            </w:pPr>
            <w:r w:rsidRPr="00F770C5">
              <w:rPr>
                <w:rFonts w:ascii="Arial" w:eastAsia="Times New Roman" w:hAnsi="Arial" w:cs="Arial"/>
                <w:b/>
                <w:bCs/>
                <w:color w:val="FFFFFF"/>
                <w:sz w:val="24"/>
                <w:szCs w:val="24"/>
              </w:rPr>
              <w:t>4</w:t>
            </w:r>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10</w:t>
            </w:r>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6</w:t>
            </w:r>
          </w:p>
        </w:tc>
        <w:tc>
          <w:tcPr>
            <w:tcW w:w="1053"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25</w:t>
            </w:r>
          </w:p>
        </w:tc>
        <w:tc>
          <w:tcPr>
            <w:tcW w:w="1312" w:type="dxa"/>
            <w:tcBorders>
              <w:top w:val="nil"/>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r w:rsidR="00E31538">
              <w:rPr>
                <w:rFonts w:ascii="Arial" w:eastAsia="Times New Roman" w:hAnsi="Arial" w:cs="Arial"/>
                <w:color w:val="000000"/>
                <w:sz w:val="24"/>
                <w:szCs w:val="24"/>
              </w:rPr>
              <w:t>0.683</w:t>
            </w:r>
          </w:p>
        </w:tc>
        <w:tc>
          <w:tcPr>
            <w:tcW w:w="1300" w:type="dxa"/>
            <w:tcBorders>
              <w:top w:val="nil"/>
              <w:left w:val="nil"/>
              <w:bottom w:val="single" w:sz="4" w:space="0" w:color="auto"/>
              <w:right w:val="single" w:sz="4" w:space="0" w:color="auto"/>
            </w:tcBorders>
            <w:shd w:val="clear" w:color="000000" w:fill="BDD6EE"/>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6.83</w:t>
            </w:r>
          </w:p>
        </w:tc>
        <w:tc>
          <w:tcPr>
            <w:tcW w:w="1240" w:type="dxa"/>
            <w:tcBorders>
              <w:top w:val="nil"/>
              <w:left w:val="nil"/>
              <w:bottom w:val="single" w:sz="4" w:space="0" w:color="auto"/>
              <w:right w:val="single" w:sz="4" w:space="0" w:color="auto"/>
            </w:tcBorders>
            <w:shd w:val="clear" w:color="000000" w:fill="BDD6EE"/>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4.098</w:t>
            </w:r>
          </w:p>
        </w:tc>
        <w:tc>
          <w:tcPr>
            <w:tcW w:w="1143" w:type="dxa"/>
            <w:tcBorders>
              <w:top w:val="nil"/>
              <w:left w:val="nil"/>
              <w:bottom w:val="single" w:sz="4" w:space="0" w:color="auto"/>
              <w:right w:val="single" w:sz="4" w:space="0" w:color="auto"/>
            </w:tcBorders>
            <w:shd w:val="clear" w:color="000000" w:fill="BDD6EE"/>
            <w:vAlign w:val="center"/>
            <w:hideMark/>
          </w:tcPr>
          <w:p w:rsidR="00F770C5" w:rsidRPr="00F770C5" w:rsidRDefault="00EC38DC" w:rsidP="00F770C5">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17.075</w:t>
            </w:r>
            <w:r w:rsidR="00F770C5" w:rsidRPr="00F770C5">
              <w:rPr>
                <w:rFonts w:ascii="Arial" w:eastAsia="Times New Roman" w:hAnsi="Arial" w:cs="Arial"/>
                <w:color w:val="000000"/>
                <w:sz w:val="24"/>
                <w:szCs w:val="24"/>
              </w:rPr>
              <w:t> </w:t>
            </w:r>
          </w:p>
        </w:tc>
      </w:tr>
      <w:tr w:rsidR="00F770C5" w:rsidRPr="00F770C5" w:rsidTr="00753591">
        <w:trPr>
          <w:trHeight w:val="307"/>
        </w:trPr>
        <w:tc>
          <w:tcPr>
            <w:tcW w:w="1049" w:type="dxa"/>
            <w:tcBorders>
              <w:top w:val="nil"/>
              <w:left w:val="single" w:sz="4" w:space="0" w:color="auto"/>
              <w:bottom w:val="single" w:sz="4" w:space="0" w:color="auto"/>
              <w:right w:val="single" w:sz="4" w:space="0" w:color="auto"/>
            </w:tcBorders>
            <w:shd w:val="clear" w:color="000000" w:fill="5B9BD5"/>
            <w:vAlign w:val="center"/>
            <w:hideMark/>
          </w:tcPr>
          <w:p w:rsidR="00F770C5" w:rsidRPr="00F770C5" w:rsidRDefault="00F770C5" w:rsidP="00F770C5">
            <w:pPr>
              <w:spacing w:after="0" w:line="240" w:lineRule="auto"/>
              <w:jc w:val="center"/>
              <w:rPr>
                <w:rFonts w:ascii="Arial" w:eastAsia="Times New Roman" w:hAnsi="Arial" w:cs="Arial"/>
                <w:b/>
                <w:bCs/>
                <w:color w:val="FFFFFF"/>
                <w:sz w:val="24"/>
                <w:szCs w:val="24"/>
              </w:rPr>
            </w:pPr>
            <w:r w:rsidRPr="00F770C5">
              <w:rPr>
                <w:rFonts w:ascii="Arial" w:eastAsia="Times New Roman" w:hAnsi="Arial" w:cs="Arial"/>
                <w:b/>
                <w:bCs/>
                <w:color w:val="FFFFFF"/>
                <w:sz w:val="24"/>
                <w:szCs w:val="24"/>
              </w:rPr>
              <w:t>5</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8</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6</w:t>
            </w:r>
          </w:p>
        </w:tc>
        <w:tc>
          <w:tcPr>
            <w:tcW w:w="105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15</w:t>
            </w:r>
          </w:p>
        </w:tc>
        <w:tc>
          <w:tcPr>
            <w:tcW w:w="1312"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r w:rsidR="00E31538">
              <w:rPr>
                <w:rFonts w:ascii="Arial" w:eastAsia="Times New Roman" w:hAnsi="Arial" w:cs="Arial"/>
                <w:color w:val="000000"/>
                <w:sz w:val="24"/>
                <w:szCs w:val="24"/>
              </w:rPr>
              <w:t>0.620</w:t>
            </w:r>
          </w:p>
        </w:tc>
        <w:tc>
          <w:tcPr>
            <w:tcW w:w="1300" w:type="dxa"/>
            <w:tcBorders>
              <w:top w:val="nil"/>
              <w:left w:val="nil"/>
              <w:bottom w:val="single" w:sz="4" w:space="0" w:color="auto"/>
              <w:right w:val="single" w:sz="4" w:space="0" w:color="auto"/>
            </w:tcBorders>
            <w:shd w:val="clear" w:color="000000" w:fill="DEEAF6"/>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4.96</w:t>
            </w:r>
          </w:p>
        </w:tc>
        <w:tc>
          <w:tcPr>
            <w:tcW w:w="1240" w:type="dxa"/>
            <w:tcBorders>
              <w:top w:val="nil"/>
              <w:left w:val="nil"/>
              <w:bottom w:val="single" w:sz="4" w:space="0" w:color="auto"/>
              <w:right w:val="single" w:sz="4" w:space="0" w:color="auto"/>
            </w:tcBorders>
            <w:shd w:val="clear" w:color="000000" w:fill="DEEAF6"/>
            <w:vAlign w:val="center"/>
            <w:hideMark/>
          </w:tcPr>
          <w:p w:rsidR="00F770C5" w:rsidRPr="00F770C5" w:rsidRDefault="00EC38DC" w:rsidP="00EC38D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3.72</w:t>
            </w:r>
          </w:p>
        </w:tc>
        <w:tc>
          <w:tcPr>
            <w:tcW w:w="1143" w:type="dxa"/>
            <w:tcBorders>
              <w:top w:val="nil"/>
              <w:left w:val="nil"/>
              <w:bottom w:val="single" w:sz="4" w:space="0" w:color="auto"/>
              <w:right w:val="single" w:sz="4" w:space="0" w:color="auto"/>
            </w:tcBorders>
            <w:shd w:val="clear" w:color="000000" w:fill="DEEAF6"/>
            <w:vAlign w:val="center"/>
            <w:hideMark/>
          </w:tcPr>
          <w:p w:rsidR="00F770C5" w:rsidRPr="00F770C5" w:rsidRDefault="00F770C5" w:rsidP="00F770C5">
            <w:pPr>
              <w:spacing w:after="0" w:line="240" w:lineRule="auto"/>
              <w:jc w:val="center"/>
              <w:rPr>
                <w:rFonts w:ascii="Arial" w:eastAsia="Times New Roman" w:hAnsi="Arial" w:cs="Arial"/>
                <w:color w:val="000000"/>
                <w:sz w:val="24"/>
                <w:szCs w:val="24"/>
              </w:rPr>
            </w:pPr>
            <w:r w:rsidRPr="00F770C5">
              <w:rPr>
                <w:rFonts w:ascii="Arial" w:eastAsia="Times New Roman" w:hAnsi="Arial" w:cs="Arial"/>
                <w:color w:val="000000"/>
                <w:sz w:val="24"/>
                <w:szCs w:val="24"/>
              </w:rPr>
              <w:t> </w:t>
            </w:r>
            <w:r w:rsidR="00EC38DC">
              <w:rPr>
                <w:rFonts w:ascii="Arial" w:eastAsia="Times New Roman" w:hAnsi="Arial" w:cs="Arial"/>
                <w:color w:val="000000"/>
                <w:sz w:val="24"/>
                <w:szCs w:val="24"/>
              </w:rPr>
              <w:t>9.3</w:t>
            </w:r>
          </w:p>
        </w:tc>
      </w:tr>
      <w:tr w:rsidR="00753591" w:rsidRPr="00F770C5" w:rsidTr="00753591">
        <w:trPr>
          <w:trHeight w:val="307"/>
        </w:trPr>
        <w:tc>
          <w:tcPr>
            <w:tcW w:w="1049" w:type="dxa"/>
            <w:tcBorders>
              <w:top w:val="single" w:sz="4" w:space="0" w:color="auto"/>
              <w:left w:val="single" w:sz="4" w:space="0" w:color="auto"/>
              <w:bottom w:val="single" w:sz="4" w:space="0" w:color="auto"/>
              <w:right w:val="single" w:sz="4" w:space="0" w:color="auto"/>
            </w:tcBorders>
            <w:shd w:val="clear" w:color="000000" w:fill="5B9BD5"/>
            <w:vAlign w:val="center"/>
            <w:hideMark/>
          </w:tcPr>
          <w:p w:rsidR="00F770C5" w:rsidRPr="00F770C5" w:rsidRDefault="00B15891" w:rsidP="00F770C5">
            <w:pPr>
              <w:spacing w:after="0" w:line="240" w:lineRule="auto"/>
              <w:rPr>
                <w:rFonts w:ascii="Arial" w:eastAsia="Times New Roman" w:hAnsi="Arial" w:cs="Arial"/>
                <w:color w:val="FFFFFF"/>
                <w:sz w:val="24"/>
                <w:szCs w:val="24"/>
              </w:rPr>
            </w:pPr>
            <w:r>
              <w:rPr>
                <w:rFonts w:ascii="Arial" w:eastAsia="Times New Roman" w:hAnsi="Arial" w:cs="Arial"/>
                <w:color w:val="FFFFFF"/>
                <w:sz w:val="24"/>
                <w:szCs w:val="24"/>
              </w:rPr>
              <w:t>Total</w:t>
            </w:r>
          </w:p>
        </w:tc>
        <w:tc>
          <w:tcPr>
            <w:tcW w:w="1053" w:type="dxa"/>
            <w:tcBorders>
              <w:top w:val="single" w:sz="4" w:space="0" w:color="auto"/>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b/>
                <w:bCs/>
                <w:color w:val="000000"/>
                <w:sz w:val="24"/>
                <w:szCs w:val="24"/>
              </w:rPr>
            </w:pPr>
            <w:r w:rsidRPr="00F770C5">
              <w:rPr>
                <w:rFonts w:ascii="Arial" w:eastAsia="Times New Roman" w:hAnsi="Arial" w:cs="Arial"/>
                <w:b/>
                <w:bCs/>
                <w:color w:val="000000"/>
                <w:sz w:val="24"/>
                <w:szCs w:val="24"/>
              </w:rPr>
              <w:t> </w:t>
            </w:r>
            <w:r w:rsidR="00753591">
              <w:rPr>
                <w:rFonts w:ascii="Arial" w:eastAsia="Times New Roman" w:hAnsi="Arial" w:cs="Arial"/>
                <w:b/>
                <w:bCs/>
                <w:color w:val="000000"/>
                <w:sz w:val="24"/>
                <w:szCs w:val="24"/>
              </w:rPr>
              <w:t>54</w:t>
            </w:r>
          </w:p>
        </w:tc>
        <w:tc>
          <w:tcPr>
            <w:tcW w:w="1053" w:type="dxa"/>
            <w:tcBorders>
              <w:top w:val="single" w:sz="4" w:space="0" w:color="auto"/>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b/>
                <w:bCs/>
                <w:color w:val="000000"/>
                <w:sz w:val="24"/>
                <w:szCs w:val="24"/>
              </w:rPr>
            </w:pPr>
            <w:r w:rsidRPr="00F770C5">
              <w:rPr>
                <w:rFonts w:ascii="Arial" w:eastAsia="Times New Roman" w:hAnsi="Arial" w:cs="Arial"/>
                <w:b/>
                <w:bCs/>
                <w:color w:val="000000"/>
                <w:sz w:val="24"/>
                <w:szCs w:val="24"/>
              </w:rPr>
              <w:t> </w:t>
            </w:r>
            <w:r w:rsidR="00753591">
              <w:rPr>
                <w:rFonts w:ascii="Arial" w:eastAsia="Times New Roman" w:hAnsi="Arial" w:cs="Arial"/>
                <w:b/>
                <w:bCs/>
                <w:color w:val="000000"/>
                <w:sz w:val="24"/>
                <w:szCs w:val="24"/>
              </w:rPr>
              <w:t>30</w:t>
            </w:r>
          </w:p>
        </w:tc>
        <w:tc>
          <w:tcPr>
            <w:tcW w:w="1053" w:type="dxa"/>
            <w:tcBorders>
              <w:top w:val="single" w:sz="4" w:space="0" w:color="auto"/>
              <w:left w:val="nil"/>
              <w:bottom w:val="single" w:sz="4" w:space="0" w:color="auto"/>
              <w:right w:val="single" w:sz="4" w:space="0" w:color="auto"/>
            </w:tcBorders>
            <w:shd w:val="clear" w:color="000000" w:fill="BDD6EE"/>
            <w:vAlign w:val="center"/>
            <w:hideMark/>
          </w:tcPr>
          <w:p w:rsidR="00F770C5" w:rsidRPr="00F770C5" w:rsidRDefault="00753591" w:rsidP="00F770C5">
            <w:pPr>
              <w:spacing w:after="0" w:line="240" w:lineRule="auto"/>
              <w:jc w:val="center"/>
              <w:rPr>
                <w:rFonts w:ascii="Arial" w:eastAsia="Times New Roman" w:hAnsi="Arial" w:cs="Arial"/>
                <w:b/>
                <w:bCs/>
                <w:color w:val="000000"/>
                <w:sz w:val="24"/>
                <w:szCs w:val="24"/>
              </w:rPr>
            </w:pPr>
            <w:r>
              <w:rPr>
                <w:rFonts w:ascii="Arial" w:eastAsia="Times New Roman" w:hAnsi="Arial" w:cs="Arial"/>
                <w:b/>
                <w:bCs/>
                <w:color w:val="000000"/>
                <w:sz w:val="24"/>
                <w:szCs w:val="24"/>
              </w:rPr>
              <w:t>75</w:t>
            </w:r>
            <w:r w:rsidR="00F770C5" w:rsidRPr="00F770C5">
              <w:rPr>
                <w:rFonts w:ascii="Arial" w:eastAsia="Times New Roman" w:hAnsi="Arial" w:cs="Arial"/>
                <w:b/>
                <w:bCs/>
                <w:color w:val="000000"/>
                <w:sz w:val="24"/>
                <w:szCs w:val="24"/>
              </w:rPr>
              <w:t> </w:t>
            </w:r>
          </w:p>
        </w:tc>
        <w:tc>
          <w:tcPr>
            <w:tcW w:w="1312" w:type="dxa"/>
            <w:tcBorders>
              <w:top w:val="single" w:sz="4" w:space="0" w:color="auto"/>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b/>
                <w:bCs/>
                <w:color w:val="000000"/>
                <w:sz w:val="24"/>
                <w:szCs w:val="24"/>
              </w:rPr>
            </w:pPr>
            <w:r w:rsidRPr="00F770C5">
              <w:rPr>
                <w:rFonts w:ascii="Arial" w:eastAsia="Times New Roman" w:hAnsi="Arial" w:cs="Arial"/>
                <w:b/>
                <w:bCs/>
                <w:color w:val="000000"/>
                <w:sz w:val="24"/>
                <w:szCs w:val="24"/>
              </w:rPr>
              <w:t> </w:t>
            </w:r>
            <w:r w:rsidR="00753591">
              <w:rPr>
                <w:rFonts w:ascii="Arial" w:eastAsia="Times New Roman" w:hAnsi="Arial" w:cs="Arial"/>
                <w:b/>
                <w:bCs/>
                <w:color w:val="000000"/>
                <w:sz w:val="24"/>
                <w:szCs w:val="24"/>
              </w:rPr>
              <w:t>1</w:t>
            </w:r>
          </w:p>
        </w:tc>
        <w:tc>
          <w:tcPr>
            <w:tcW w:w="1300" w:type="dxa"/>
            <w:tcBorders>
              <w:top w:val="single" w:sz="4" w:space="0" w:color="auto"/>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b/>
                <w:bCs/>
                <w:color w:val="000000"/>
                <w:sz w:val="24"/>
                <w:szCs w:val="24"/>
              </w:rPr>
            </w:pPr>
            <w:r w:rsidRPr="00F770C5">
              <w:rPr>
                <w:rFonts w:ascii="Arial" w:eastAsia="Times New Roman" w:hAnsi="Arial" w:cs="Arial"/>
                <w:b/>
                <w:bCs/>
                <w:color w:val="000000"/>
                <w:sz w:val="24"/>
                <w:szCs w:val="24"/>
              </w:rPr>
              <w:t> </w:t>
            </w:r>
            <w:r w:rsidR="00EC38DC">
              <w:rPr>
                <w:rFonts w:ascii="Arial" w:eastAsia="Times New Roman" w:hAnsi="Arial" w:cs="Arial"/>
                <w:b/>
                <w:bCs/>
                <w:color w:val="000000"/>
                <w:sz w:val="24"/>
                <w:szCs w:val="24"/>
              </w:rPr>
              <w:t>41.306</w:t>
            </w:r>
          </w:p>
        </w:tc>
        <w:tc>
          <w:tcPr>
            <w:tcW w:w="1240" w:type="dxa"/>
            <w:tcBorders>
              <w:top w:val="single" w:sz="4" w:space="0" w:color="auto"/>
              <w:left w:val="nil"/>
              <w:bottom w:val="single" w:sz="4" w:space="0" w:color="auto"/>
              <w:right w:val="single" w:sz="4" w:space="0" w:color="auto"/>
            </w:tcBorders>
            <w:shd w:val="clear" w:color="000000" w:fill="BDD6EE"/>
            <w:vAlign w:val="center"/>
            <w:hideMark/>
          </w:tcPr>
          <w:p w:rsidR="00F770C5" w:rsidRPr="00F770C5" w:rsidRDefault="00EC38DC" w:rsidP="00F770C5">
            <w:pPr>
              <w:spacing w:after="0" w:line="240" w:lineRule="auto"/>
              <w:jc w:val="center"/>
              <w:rPr>
                <w:rFonts w:ascii="Arial" w:eastAsia="Times New Roman" w:hAnsi="Arial" w:cs="Arial"/>
                <w:b/>
                <w:bCs/>
                <w:color w:val="000000"/>
                <w:sz w:val="24"/>
                <w:szCs w:val="24"/>
              </w:rPr>
            </w:pPr>
            <w:r>
              <w:rPr>
                <w:rFonts w:ascii="Arial" w:eastAsia="Times New Roman" w:hAnsi="Arial" w:cs="Arial"/>
                <w:b/>
                <w:bCs/>
                <w:color w:val="000000"/>
                <w:sz w:val="24"/>
                <w:szCs w:val="24"/>
              </w:rPr>
              <w:t>22.734</w:t>
            </w:r>
            <w:r w:rsidR="00F770C5" w:rsidRPr="00F770C5">
              <w:rPr>
                <w:rFonts w:ascii="Arial" w:eastAsia="Times New Roman" w:hAnsi="Arial" w:cs="Arial"/>
                <w:b/>
                <w:bCs/>
                <w:color w:val="000000"/>
                <w:sz w:val="24"/>
                <w:szCs w:val="24"/>
              </w:rPr>
              <w:t> </w:t>
            </w:r>
          </w:p>
        </w:tc>
        <w:tc>
          <w:tcPr>
            <w:tcW w:w="1143" w:type="dxa"/>
            <w:tcBorders>
              <w:top w:val="single" w:sz="4" w:space="0" w:color="auto"/>
              <w:left w:val="nil"/>
              <w:bottom w:val="single" w:sz="4" w:space="0" w:color="auto"/>
              <w:right w:val="single" w:sz="4" w:space="0" w:color="auto"/>
            </w:tcBorders>
            <w:shd w:val="clear" w:color="000000" w:fill="BDD6EE"/>
            <w:vAlign w:val="center"/>
            <w:hideMark/>
          </w:tcPr>
          <w:p w:rsidR="00F770C5" w:rsidRPr="00F770C5" w:rsidRDefault="00F770C5" w:rsidP="00F770C5">
            <w:pPr>
              <w:spacing w:after="0" w:line="240" w:lineRule="auto"/>
              <w:jc w:val="center"/>
              <w:rPr>
                <w:rFonts w:ascii="Arial" w:eastAsia="Times New Roman" w:hAnsi="Arial" w:cs="Arial"/>
                <w:b/>
                <w:bCs/>
                <w:color w:val="000000"/>
                <w:sz w:val="24"/>
                <w:szCs w:val="24"/>
              </w:rPr>
            </w:pPr>
            <w:r w:rsidRPr="00F770C5">
              <w:rPr>
                <w:rFonts w:ascii="Arial" w:eastAsia="Times New Roman" w:hAnsi="Arial" w:cs="Arial"/>
                <w:b/>
                <w:bCs/>
                <w:color w:val="000000"/>
                <w:sz w:val="24"/>
                <w:szCs w:val="24"/>
              </w:rPr>
              <w:t> </w:t>
            </w:r>
            <w:r w:rsidR="00EC38DC">
              <w:rPr>
                <w:rFonts w:ascii="Arial" w:eastAsia="Times New Roman" w:hAnsi="Arial" w:cs="Arial"/>
                <w:b/>
                <w:bCs/>
                <w:color w:val="000000"/>
                <w:sz w:val="24"/>
                <w:szCs w:val="24"/>
              </w:rPr>
              <w:t>54.2</w:t>
            </w:r>
          </w:p>
        </w:tc>
      </w:tr>
      <w:tr w:rsidR="00B15891" w:rsidRPr="00F770C5" w:rsidTr="00753591">
        <w:trPr>
          <w:trHeight w:val="307"/>
        </w:trPr>
        <w:tc>
          <w:tcPr>
            <w:tcW w:w="1049" w:type="dxa"/>
            <w:tcBorders>
              <w:top w:val="single" w:sz="4" w:space="0" w:color="auto"/>
              <w:left w:val="single" w:sz="4" w:space="0" w:color="auto"/>
              <w:bottom w:val="single" w:sz="4" w:space="0" w:color="auto"/>
              <w:right w:val="single" w:sz="4" w:space="0" w:color="auto"/>
            </w:tcBorders>
            <w:shd w:val="clear" w:color="000000" w:fill="5B9BD5"/>
            <w:vAlign w:val="center"/>
          </w:tcPr>
          <w:p w:rsidR="00B15891" w:rsidRPr="00F770C5" w:rsidRDefault="00B15891" w:rsidP="00F770C5">
            <w:pPr>
              <w:spacing w:after="0" w:line="240" w:lineRule="auto"/>
              <w:rPr>
                <w:rFonts w:ascii="Arial" w:eastAsia="Times New Roman" w:hAnsi="Arial" w:cs="Arial"/>
                <w:color w:val="FFFFFF"/>
                <w:sz w:val="24"/>
                <w:szCs w:val="24"/>
              </w:rPr>
            </w:pPr>
            <w:r>
              <w:rPr>
                <w:rFonts w:ascii="Arial" w:eastAsia="Times New Roman" w:hAnsi="Arial" w:cs="Arial"/>
                <w:color w:val="FFFFFF"/>
                <w:sz w:val="24"/>
                <w:szCs w:val="24"/>
              </w:rPr>
              <w:t>NPV</w:t>
            </w:r>
          </w:p>
        </w:tc>
        <w:tc>
          <w:tcPr>
            <w:tcW w:w="1053" w:type="dxa"/>
            <w:tcBorders>
              <w:top w:val="single" w:sz="4" w:space="0" w:color="auto"/>
              <w:left w:val="nil"/>
              <w:bottom w:val="single" w:sz="4" w:space="0" w:color="auto"/>
              <w:right w:val="single" w:sz="4" w:space="0" w:color="auto"/>
            </w:tcBorders>
            <w:shd w:val="clear" w:color="000000" w:fill="BDD6EE"/>
            <w:vAlign w:val="center"/>
          </w:tcPr>
          <w:p w:rsidR="00B15891" w:rsidRPr="00F770C5" w:rsidRDefault="00B15891" w:rsidP="00F770C5">
            <w:pPr>
              <w:spacing w:after="0" w:line="240" w:lineRule="auto"/>
              <w:jc w:val="center"/>
              <w:rPr>
                <w:rFonts w:ascii="Arial" w:eastAsia="Times New Roman" w:hAnsi="Arial" w:cs="Arial"/>
                <w:b/>
                <w:bCs/>
                <w:color w:val="000000"/>
                <w:sz w:val="24"/>
                <w:szCs w:val="24"/>
              </w:rPr>
            </w:pPr>
          </w:p>
        </w:tc>
        <w:tc>
          <w:tcPr>
            <w:tcW w:w="1053" w:type="dxa"/>
            <w:tcBorders>
              <w:top w:val="single" w:sz="4" w:space="0" w:color="auto"/>
              <w:left w:val="nil"/>
              <w:bottom w:val="single" w:sz="4" w:space="0" w:color="auto"/>
              <w:right w:val="single" w:sz="4" w:space="0" w:color="auto"/>
            </w:tcBorders>
            <w:shd w:val="clear" w:color="000000" w:fill="BDD6EE"/>
            <w:vAlign w:val="center"/>
          </w:tcPr>
          <w:p w:rsidR="00B15891" w:rsidRPr="00F770C5" w:rsidRDefault="00B15891" w:rsidP="00F770C5">
            <w:pPr>
              <w:spacing w:after="0" w:line="240" w:lineRule="auto"/>
              <w:jc w:val="center"/>
              <w:rPr>
                <w:rFonts w:ascii="Arial" w:eastAsia="Times New Roman" w:hAnsi="Arial" w:cs="Arial"/>
                <w:b/>
                <w:bCs/>
                <w:color w:val="000000"/>
                <w:sz w:val="24"/>
                <w:szCs w:val="24"/>
              </w:rPr>
            </w:pPr>
          </w:p>
        </w:tc>
        <w:tc>
          <w:tcPr>
            <w:tcW w:w="1053" w:type="dxa"/>
            <w:tcBorders>
              <w:top w:val="single" w:sz="4" w:space="0" w:color="auto"/>
              <w:left w:val="nil"/>
              <w:bottom w:val="single" w:sz="4" w:space="0" w:color="auto"/>
              <w:right w:val="single" w:sz="4" w:space="0" w:color="auto"/>
            </w:tcBorders>
            <w:shd w:val="clear" w:color="000000" w:fill="BDD6EE"/>
            <w:vAlign w:val="center"/>
          </w:tcPr>
          <w:p w:rsidR="00B15891" w:rsidRPr="00F770C5" w:rsidRDefault="00B15891" w:rsidP="00F770C5">
            <w:pPr>
              <w:spacing w:after="0" w:line="240" w:lineRule="auto"/>
              <w:jc w:val="center"/>
              <w:rPr>
                <w:rFonts w:ascii="Arial" w:eastAsia="Times New Roman" w:hAnsi="Arial" w:cs="Arial"/>
                <w:b/>
                <w:bCs/>
                <w:color w:val="000000"/>
                <w:sz w:val="24"/>
                <w:szCs w:val="24"/>
              </w:rPr>
            </w:pPr>
          </w:p>
        </w:tc>
        <w:tc>
          <w:tcPr>
            <w:tcW w:w="1312" w:type="dxa"/>
            <w:tcBorders>
              <w:top w:val="single" w:sz="4" w:space="0" w:color="auto"/>
              <w:left w:val="nil"/>
              <w:bottom w:val="single" w:sz="4" w:space="0" w:color="auto"/>
              <w:right w:val="single" w:sz="4" w:space="0" w:color="auto"/>
            </w:tcBorders>
            <w:shd w:val="clear" w:color="000000" w:fill="BDD6EE"/>
            <w:vAlign w:val="center"/>
          </w:tcPr>
          <w:p w:rsidR="00B15891" w:rsidRPr="00F770C5" w:rsidRDefault="00B15891" w:rsidP="00F770C5">
            <w:pPr>
              <w:spacing w:after="0" w:line="240" w:lineRule="auto"/>
              <w:jc w:val="center"/>
              <w:rPr>
                <w:rFonts w:ascii="Arial" w:eastAsia="Times New Roman" w:hAnsi="Arial" w:cs="Arial"/>
                <w:b/>
                <w:bCs/>
                <w:color w:val="000000"/>
                <w:sz w:val="24"/>
                <w:szCs w:val="24"/>
              </w:rPr>
            </w:pPr>
          </w:p>
        </w:tc>
        <w:tc>
          <w:tcPr>
            <w:tcW w:w="1300" w:type="dxa"/>
            <w:tcBorders>
              <w:top w:val="single" w:sz="4" w:space="0" w:color="auto"/>
              <w:left w:val="nil"/>
              <w:bottom w:val="single" w:sz="4" w:space="0" w:color="auto"/>
              <w:right w:val="single" w:sz="4" w:space="0" w:color="auto"/>
            </w:tcBorders>
            <w:shd w:val="clear" w:color="000000" w:fill="BDD6EE"/>
            <w:vAlign w:val="center"/>
          </w:tcPr>
          <w:p w:rsidR="00B15891" w:rsidRPr="00F770C5" w:rsidRDefault="00753591" w:rsidP="00F770C5">
            <w:pPr>
              <w:spacing w:after="0" w:line="240" w:lineRule="auto"/>
              <w:jc w:val="center"/>
              <w:rPr>
                <w:rFonts w:ascii="Arial" w:eastAsia="Times New Roman" w:hAnsi="Arial" w:cs="Arial"/>
                <w:b/>
                <w:bCs/>
                <w:color w:val="000000"/>
                <w:sz w:val="24"/>
                <w:szCs w:val="24"/>
              </w:rPr>
            </w:pPr>
            <w:r>
              <w:rPr>
                <w:rFonts w:ascii="Arial" w:eastAsia="Times New Roman" w:hAnsi="Arial" w:cs="Arial"/>
                <w:b/>
                <w:bCs/>
                <w:color w:val="000000"/>
                <w:sz w:val="24"/>
                <w:szCs w:val="24"/>
              </w:rPr>
              <w:t>1.306</w:t>
            </w:r>
          </w:p>
        </w:tc>
        <w:tc>
          <w:tcPr>
            <w:tcW w:w="1240" w:type="dxa"/>
            <w:tcBorders>
              <w:top w:val="single" w:sz="4" w:space="0" w:color="auto"/>
              <w:left w:val="nil"/>
              <w:bottom w:val="single" w:sz="4" w:space="0" w:color="auto"/>
              <w:right w:val="single" w:sz="4" w:space="0" w:color="auto"/>
            </w:tcBorders>
            <w:shd w:val="clear" w:color="000000" w:fill="BDD6EE"/>
            <w:vAlign w:val="center"/>
          </w:tcPr>
          <w:p w:rsidR="00B15891" w:rsidRPr="00F770C5" w:rsidRDefault="00753591" w:rsidP="00F770C5">
            <w:pPr>
              <w:spacing w:after="0" w:line="240" w:lineRule="auto"/>
              <w:jc w:val="center"/>
              <w:rPr>
                <w:rFonts w:ascii="Arial" w:eastAsia="Times New Roman" w:hAnsi="Arial" w:cs="Arial"/>
                <w:b/>
                <w:bCs/>
                <w:color w:val="000000"/>
                <w:sz w:val="24"/>
                <w:szCs w:val="24"/>
              </w:rPr>
            </w:pPr>
            <w:r>
              <w:rPr>
                <w:rFonts w:ascii="Arial" w:eastAsia="Times New Roman" w:hAnsi="Arial" w:cs="Arial"/>
                <w:b/>
                <w:bCs/>
                <w:color w:val="000000"/>
                <w:sz w:val="24"/>
                <w:szCs w:val="24"/>
              </w:rPr>
              <w:t>-7.266</w:t>
            </w:r>
          </w:p>
        </w:tc>
        <w:tc>
          <w:tcPr>
            <w:tcW w:w="1143" w:type="dxa"/>
            <w:tcBorders>
              <w:top w:val="single" w:sz="4" w:space="0" w:color="auto"/>
              <w:left w:val="nil"/>
              <w:bottom w:val="single" w:sz="4" w:space="0" w:color="auto"/>
              <w:right w:val="single" w:sz="4" w:space="0" w:color="auto"/>
            </w:tcBorders>
            <w:shd w:val="clear" w:color="000000" w:fill="BDD6EE"/>
            <w:vAlign w:val="center"/>
          </w:tcPr>
          <w:p w:rsidR="00B15891" w:rsidRPr="00F770C5" w:rsidRDefault="00753591" w:rsidP="00F770C5">
            <w:pPr>
              <w:spacing w:after="0" w:line="240" w:lineRule="auto"/>
              <w:jc w:val="center"/>
              <w:rPr>
                <w:rFonts w:ascii="Arial" w:eastAsia="Times New Roman" w:hAnsi="Arial" w:cs="Arial"/>
                <w:b/>
                <w:bCs/>
                <w:color w:val="000000"/>
                <w:sz w:val="24"/>
                <w:szCs w:val="24"/>
              </w:rPr>
            </w:pPr>
            <w:r>
              <w:rPr>
                <w:rFonts w:ascii="Arial" w:eastAsia="Times New Roman" w:hAnsi="Arial" w:cs="Arial"/>
                <w:b/>
                <w:bCs/>
                <w:color w:val="000000"/>
                <w:sz w:val="24"/>
                <w:szCs w:val="24"/>
              </w:rPr>
              <w:t>4.2</w:t>
            </w:r>
          </w:p>
        </w:tc>
      </w:tr>
    </w:tbl>
    <w:p w:rsidR="00265524" w:rsidRPr="00753591" w:rsidRDefault="00753591" w:rsidP="00753591">
      <w:pPr>
        <w:pStyle w:val="ListParagraph"/>
        <w:spacing w:line="360" w:lineRule="auto"/>
        <w:ind w:left="737" w:right="737"/>
        <w:jc w:val="center"/>
        <w:rPr>
          <w:rFonts w:ascii="Arial" w:hAnsi="Arial" w:cs="Arial"/>
          <w:b/>
          <w:i/>
          <w:sz w:val="24"/>
          <w:szCs w:val="24"/>
          <w:u w:val="single"/>
        </w:rPr>
      </w:pPr>
      <w:r w:rsidRPr="00753591">
        <w:rPr>
          <w:rFonts w:ascii="Arial" w:hAnsi="Arial" w:cs="Arial"/>
          <w:b/>
          <w:i/>
          <w:sz w:val="24"/>
          <w:szCs w:val="24"/>
          <w:u w:val="single"/>
        </w:rPr>
        <w:t xml:space="preserve">Table 4.3 NPV </w:t>
      </w:r>
      <w:proofErr w:type="gramStart"/>
      <w:r w:rsidRPr="00753591">
        <w:rPr>
          <w:rFonts w:ascii="Arial" w:hAnsi="Arial" w:cs="Arial"/>
          <w:b/>
          <w:i/>
          <w:sz w:val="24"/>
          <w:szCs w:val="24"/>
          <w:u w:val="single"/>
        </w:rPr>
        <w:t>Calculations</w:t>
      </w:r>
      <w:r w:rsidR="009D3B0B">
        <w:rPr>
          <w:rFonts w:ascii="Arial" w:hAnsi="Arial" w:cs="Arial"/>
          <w:b/>
          <w:bCs/>
          <w:i/>
          <w:sz w:val="24"/>
          <w:szCs w:val="24"/>
          <w:u w:val="single"/>
          <w:lang w:val="en-GB"/>
        </w:rPr>
        <w:t>(</w:t>
      </w:r>
      <w:proofErr w:type="spellStart"/>
      <w:proofErr w:type="gramEnd"/>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265524" w:rsidRPr="00753591" w:rsidRDefault="00753591" w:rsidP="00B20337">
      <w:pPr>
        <w:pStyle w:val="ListParagraph"/>
        <w:spacing w:line="360" w:lineRule="auto"/>
        <w:ind w:left="737" w:right="737"/>
        <w:jc w:val="both"/>
        <w:rPr>
          <w:rFonts w:ascii="Arial" w:hAnsi="Arial" w:cs="Arial"/>
          <w:b/>
          <w:sz w:val="24"/>
          <w:szCs w:val="24"/>
          <w:u w:val="single"/>
        </w:rPr>
      </w:pPr>
      <w:r w:rsidRPr="00753591">
        <w:rPr>
          <w:rFonts w:ascii="Arial" w:hAnsi="Arial" w:cs="Arial"/>
          <w:b/>
          <w:sz w:val="24"/>
          <w:szCs w:val="24"/>
          <w:u w:val="single"/>
        </w:rPr>
        <w:t>NPV for Project A</w:t>
      </w:r>
    </w:p>
    <w:p w:rsidR="00753591" w:rsidRDefault="00753591" w:rsidP="00B20337">
      <w:pPr>
        <w:pStyle w:val="ListParagraph"/>
        <w:spacing w:line="360" w:lineRule="auto"/>
        <w:ind w:left="737" w:right="737"/>
        <w:jc w:val="both"/>
        <w:rPr>
          <w:rFonts w:ascii="Arial" w:hAnsi="Arial" w:cs="Arial"/>
          <w:sz w:val="24"/>
          <w:szCs w:val="24"/>
        </w:rPr>
      </w:pPr>
      <w:r>
        <w:rPr>
          <w:rFonts w:ascii="Arial" w:hAnsi="Arial" w:cs="Arial"/>
          <w:sz w:val="24"/>
          <w:szCs w:val="24"/>
        </w:rPr>
        <w:t xml:space="preserve">41.306 – 40 = 1.306 </w:t>
      </w:r>
    </w:p>
    <w:p w:rsidR="00753591" w:rsidRPr="00753591" w:rsidRDefault="00753591" w:rsidP="00B20337">
      <w:pPr>
        <w:pStyle w:val="ListParagraph"/>
        <w:spacing w:line="360" w:lineRule="auto"/>
        <w:ind w:left="737" w:right="737"/>
        <w:jc w:val="both"/>
        <w:rPr>
          <w:rFonts w:ascii="Arial" w:hAnsi="Arial" w:cs="Arial"/>
          <w:b/>
          <w:sz w:val="24"/>
          <w:szCs w:val="24"/>
          <w:u w:val="single"/>
        </w:rPr>
      </w:pPr>
      <w:r w:rsidRPr="00753591">
        <w:rPr>
          <w:rFonts w:ascii="Arial" w:hAnsi="Arial" w:cs="Arial"/>
          <w:b/>
          <w:sz w:val="24"/>
          <w:szCs w:val="24"/>
          <w:u w:val="single"/>
        </w:rPr>
        <w:t>NPV for Project B</w:t>
      </w:r>
    </w:p>
    <w:p w:rsidR="00753591" w:rsidRDefault="00753591" w:rsidP="00B20337">
      <w:pPr>
        <w:pStyle w:val="ListParagraph"/>
        <w:spacing w:line="360" w:lineRule="auto"/>
        <w:ind w:left="737" w:right="737"/>
        <w:jc w:val="both"/>
        <w:rPr>
          <w:rFonts w:ascii="Arial" w:hAnsi="Arial" w:cs="Arial"/>
          <w:sz w:val="24"/>
          <w:szCs w:val="24"/>
        </w:rPr>
      </w:pPr>
      <w:r>
        <w:rPr>
          <w:rFonts w:ascii="Arial" w:hAnsi="Arial" w:cs="Arial"/>
          <w:sz w:val="24"/>
          <w:szCs w:val="24"/>
        </w:rPr>
        <w:t>22.734 – 30 = -7.266</w:t>
      </w:r>
    </w:p>
    <w:p w:rsidR="00753591" w:rsidRPr="00753591" w:rsidRDefault="00753591" w:rsidP="00B20337">
      <w:pPr>
        <w:pStyle w:val="ListParagraph"/>
        <w:spacing w:line="360" w:lineRule="auto"/>
        <w:ind w:left="737" w:right="737"/>
        <w:jc w:val="both"/>
        <w:rPr>
          <w:rFonts w:ascii="Arial" w:hAnsi="Arial" w:cs="Arial"/>
          <w:b/>
          <w:sz w:val="24"/>
          <w:szCs w:val="24"/>
          <w:u w:val="single"/>
        </w:rPr>
      </w:pPr>
      <w:r w:rsidRPr="00753591">
        <w:rPr>
          <w:rFonts w:ascii="Arial" w:hAnsi="Arial" w:cs="Arial"/>
          <w:b/>
          <w:sz w:val="24"/>
          <w:szCs w:val="24"/>
          <w:u w:val="single"/>
        </w:rPr>
        <w:t>NPV for Project C</w:t>
      </w:r>
    </w:p>
    <w:p w:rsidR="00753591" w:rsidRDefault="00753591" w:rsidP="00B20337">
      <w:pPr>
        <w:pStyle w:val="ListParagraph"/>
        <w:spacing w:line="360" w:lineRule="auto"/>
        <w:ind w:left="737" w:right="737"/>
        <w:jc w:val="both"/>
        <w:rPr>
          <w:rFonts w:ascii="Arial" w:hAnsi="Arial" w:cs="Arial"/>
          <w:sz w:val="24"/>
          <w:szCs w:val="24"/>
        </w:rPr>
      </w:pPr>
      <w:r>
        <w:rPr>
          <w:rFonts w:ascii="Arial" w:hAnsi="Arial" w:cs="Arial"/>
          <w:sz w:val="24"/>
          <w:szCs w:val="24"/>
        </w:rPr>
        <w:t>54.2 – 50 = 4.2</w:t>
      </w:r>
    </w:p>
    <w:p w:rsidR="00753591" w:rsidRPr="00753591" w:rsidRDefault="00753591" w:rsidP="00982FEE">
      <w:pPr>
        <w:pStyle w:val="NormalWeb"/>
        <w:numPr>
          <w:ilvl w:val="0"/>
          <w:numId w:val="20"/>
        </w:numPr>
        <w:ind w:left="1097"/>
        <w:jc w:val="both"/>
        <w:rPr>
          <w:rFonts w:ascii="Arial" w:hAnsi="Arial" w:cs="Arial"/>
        </w:rPr>
      </w:pPr>
      <w:r w:rsidRPr="00753591">
        <w:rPr>
          <w:rFonts w:ascii="Arial" w:hAnsi="Arial" w:cs="Arial"/>
          <w:b/>
        </w:rPr>
        <w:lastRenderedPageBreak/>
        <w:t xml:space="preserve">Project A: </w:t>
      </w:r>
      <w:r w:rsidR="00982FEE" w:rsidRPr="00753591">
        <w:rPr>
          <w:rFonts w:ascii="Arial" w:hAnsi="Arial" w:cs="Arial"/>
          <w:b/>
        </w:rPr>
        <w:t>1.306</w:t>
      </w:r>
      <w:r w:rsidR="00982FEE">
        <w:rPr>
          <w:rFonts w:ascii="Arial" w:hAnsi="Arial" w:cs="Arial"/>
        </w:rPr>
        <w:t xml:space="preserve"> &gt;</w:t>
      </w:r>
      <w:r w:rsidR="00982FEE">
        <w:rPr>
          <w:rFonts w:ascii="Arial" w:hAnsi="Arial" w:cs="Arial"/>
          <w:b/>
        </w:rPr>
        <w:t xml:space="preserve"> </w:t>
      </w:r>
      <w:r w:rsidR="00982FEE" w:rsidRPr="00753591">
        <w:rPr>
          <w:rFonts w:ascii="Arial" w:hAnsi="Arial" w:cs="Arial"/>
          <w:b/>
        </w:rPr>
        <w:t>1</w:t>
      </w:r>
      <w:r w:rsidR="00982FEE">
        <w:rPr>
          <w:rFonts w:ascii="Arial" w:hAnsi="Arial" w:cs="Arial"/>
          <w:b/>
        </w:rPr>
        <w:t>:</w:t>
      </w:r>
      <w:r>
        <w:rPr>
          <w:rFonts w:ascii="Arial" w:hAnsi="Arial" w:cs="Arial"/>
          <w:b/>
        </w:rPr>
        <w:t>-</w:t>
      </w:r>
      <w:r>
        <w:rPr>
          <w:rFonts w:ascii="Arial" w:hAnsi="Arial" w:cs="Arial"/>
        </w:rPr>
        <w:t xml:space="preserve"> </w:t>
      </w:r>
      <w:r w:rsidRPr="00753591">
        <w:rPr>
          <w:rFonts w:ascii="Arial" w:hAnsi="Arial" w:cs="Arial"/>
        </w:rPr>
        <w:t>The project adds value.</w:t>
      </w:r>
      <w:r>
        <w:rPr>
          <w:rFonts w:ascii="Arial" w:hAnsi="Arial" w:cs="Arial"/>
        </w:rPr>
        <w:t xml:space="preserve"> </w:t>
      </w:r>
      <w:r w:rsidRPr="00982FEE">
        <w:rPr>
          <w:rFonts w:ascii="Arial" w:hAnsi="Arial" w:cs="Arial"/>
          <w:b/>
        </w:rPr>
        <w:t>(Accepted)</w:t>
      </w:r>
    </w:p>
    <w:p w:rsidR="00753591" w:rsidRPr="00753591" w:rsidRDefault="00753591" w:rsidP="00982FEE">
      <w:pPr>
        <w:pStyle w:val="NormalWeb"/>
        <w:numPr>
          <w:ilvl w:val="0"/>
          <w:numId w:val="20"/>
        </w:numPr>
        <w:ind w:left="1097"/>
        <w:jc w:val="both"/>
        <w:rPr>
          <w:rFonts w:ascii="Arial" w:hAnsi="Arial" w:cs="Arial"/>
        </w:rPr>
      </w:pPr>
      <w:r w:rsidRPr="00753591">
        <w:rPr>
          <w:rFonts w:ascii="Arial" w:hAnsi="Arial" w:cs="Arial"/>
          <w:b/>
        </w:rPr>
        <w:t>Project B: -7.266</w:t>
      </w:r>
      <w:r w:rsidR="00982FEE">
        <w:rPr>
          <w:rFonts w:ascii="Arial" w:hAnsi="Arial" w:cs="Arial"/>
          <w:b/>
        </w:rPr>
        <w:t xml:space="preserve"> </w:t>
      </w:r>
      <w:r w:rsidRPr="00753591">
        <w:rPr>
          <w:rFonts w:ascii="Arial" w:hAnsi="Arial" w:cs="Arial"/>
          <w:b/>
        </w:rPr>
        <w:t>&lt;</w:t>
      </w:r>
      <w:r w:rsidR="00982FEE">
        <w:rPr>
          <w:rFonts w:ascii="Arial" w:hAnsi="Arial" w:cs="Arial"/>
          <w:b/>
        </w:rPr>
        <w:t xml:space="preserve"> </w:t>
      </w:r>
      <w:r w:rsidR="00982FEE" w:rsidRPr="00753591">
        <w:rPr>
          <w:rFonts w:ascii="Arial" w:hAnsi="Arial" w:cs="Arial"/>
          <w:b/>
        </w:rPr>
        <w:t>1</w:t>
      </w:r>
      <w:r w:rsidR="00982FEE">
        <w:rPr>
          <w:rFonts w:ascii="Arial" w:hAnsi="Arial" w:cs="Arial"/>
          <w:b/>
        </w:rPr>
        <w:t>:</w:t>
      </w:r>
      <w:r>
        <w:rPr>
          <w:rFonts w:ascii="Arial" w:hAnsi="Arial" w:cs="Arial"/>
          <w:b/>
        </w:rPr>
        <w:t>-</w:t>
      </w:r>
      <w:r w:rsidRPr="00753591">
        <w:rPr>
          <w:rFonts w:ascii="Arial" w:hAnsi="Arial" w:cs="Arial"/>
        </w:rPr>
        <w:t xml:space="preserve"> The project destroys value.</w:t>
      </w:r>
      <w:r w:rsidR="00982FEE">
        <w:rPr>
          <w:rFonts w:ascii="Arial" w:hAnsi="Arial" w:cs="Arial"/>
        </w:rPr>
        <w:t xml:space="preserve"> </w:t>
      </w:r>
      <w:r w:rsidRPr="00982FEE">
        <w:rPr>
          <w:rFonts w:ascii="Arial" w:hAnsi="Arial" w:cs="Arial"/>
          <w:b/>
        </w:rPr>
        <w:t>(Rejected)</w:t>
      </w:r>
    </w:p>
    <w:p w:rsidR="00753591" w:rsidRPr="00982FEE" w:rsidRDefault="00753591" w:rsidP="00982FEE">
      <w:pPr>
        <w:pStyle w:val="NormalWeb"/>
        <w:numPr>
          <w:ilvl w:val="0"/>
          <w:numId w:val="20"/>
        </w:numPr>
        <w:ind w:left="1097"/>
        <w:jc w:val="both"/>
        <w:rPr>
          <w:rFonts w:ascii="Arial" w:hAnsi="Arial" w:cs="Arial"/>
        </w:rPr>
      </w:pPr>
      <w:r w:rsidRPr="00753591">
        <w:rPr>
          <w:rFonts w:ascii="Arial" w:hAnsi="Arial" w:cs="Arial"/>
          <w:b/>
        </w:rPr>
        <w:t>Project C: 4.2</w:t>
      </w:r>
      <w:r w:rsidR="00982FEE">
        <w:rPr>
          <w:rFonts w:ascii="Arial" w:hAnsi="Arial" w:cs="Arial"/>
          <w:b/>
        </w:rPr>
        <w:t xml:space="preserve"> </w:t>
      </w:r>
      <w:r w:rsidRPr="00753591">
        <w:rPr>
          <w:rFonts w:ascii="Arial" w:hAnsi="Arial" w:cs="Arial"/>
          <w:b/>
        </w:rPr>
        <w:t>&gt;</w:t>
      </w:r>
      <w:r w:rsidR="00982FEE">
        <w:rPr>
          <w:rFonts w:ascii="Arial" w:hAnsi="Arial" w:cs="Arial"/>
          <w:b/>
        </w:rPr>
        <w:t xml:space="preserve"> </w:t>
      </w:r>
      <w:r w:rsidR="00982FEE" w:rsidRPr="00753591">
        <w:rPr>
          <w:rFonts w:ascii="Arial" w:hAnsi="Arial" w:cs="Arial"/>
          <w:b/>
        </w:rPr>
        <w:t>1</w:t>
      </w:r>
      <w:r w:rsidR="00982FEE">
        <w:rPr>
          <w:rFonts w:ascii="Arial" w:hAnsi="Arial" w:cs="Arial"/>
          <w:b/>
        </w:rPr>
        <w:t>:</w:t>
      </w:r>
      <w:r w:rsidRPr="00982FEE">
        <w:rPr>
          <w:rFonts w:ascii="Arial" w:hAnsi="Arial" w:cs="Arial"/>
          <w:b/>
        </w:rPr>
        <w:t>-</w:t>
      </w:r>
      <w:r>
        <w:rPr>
          <w:rFonts w:ascii="Arial" w:hAnsi="Arial" w:cs="Arial"/>
        </w:rPr>
        <w:t xml:space="preserve"> </w:t>
      </w:r>
      <w:r w:rsidRPr="00753591">
        <w:rPr>
          <w:rFonts w:ascii="Arial" w:hAnsi="Arial" w:cs="Arial"/>
        </w:rPr>
        <w:t>The project adds the most value.</w:t>
      </w:r>
      <w:r w:rsidR="00982FEE">
        <w:rPr>
          <w:rFonts w:ascii="Arial" w:hAnsi="Arial" w:cs="Arial"/>
        </w:rPr>
        <w:t xml:space="preserve"> </w:t>
      </w:r>
      <w:r w:rsidRPr="00982FEE">
        <w:rPr>
          <w:rFonts w:ascii="Arial" w:hAnsi="Arial" w:cs="Arial"/>
          <w:b/>
        </w:rPr>
        <w:t>(Accepted)</w:t>
      </w:r>
    </w:p>
    <w:p w:rsidR="00982FEE" w:rsidRDefault="00982FEE" w:rsidP="00982FEE">
      <w:pPr>
        <w:pStyle w:val="ListParagraph"/>
        <w:spacing w:line="360" w:lineRule="auto"/>
        <w:ind w:left="737" w:right="737" w:firstLine="720"/>
        <w:rPr>
          <w:rFonts w:ascii="Arial" w:hAnsi="Arial" w:cs="Arial"/>
          <w:b/>
          <w:sz w:val="24"/>
          <w:szCs w:val="24"/>
          <w:u w:val="single"/>
        </w:rPr>
      </w:pPr>
      <w:r w:rsidRPr="00982FEE">
        <w:rPr>
          <w:rFonts w:ascii="Arial" w:hAnsi="Arial" w:cs="Arial"/>
          <w:b/>
          <w:sz w:val="24"/>
          <w:szCs w:val="24"/>
          <w:u w:val="single"/>
        </w:rPr>
        <w:t>Profitability Index</w:t>
      </w:r>
    </w:p>
    <w:p w:rsidR="00982FEE" w:rsidRDefault="00982FEE" w:rsidP="00982FEE">
      <w:pPr>
        <w:pStyle w:val="ListParagraph"/>
        <w:spacing w:line="360" w:lineRule="auto"/>
        <w:ind w:left="737" w:right="737" w:firstLine="720"/>
        <w:rPr>
          <w:rFonts w:ascii="Arial" w:hAnsi="Arial" w:cs="Arial"/>
          <w:b/>
          <w:sz w:val="24"/>
          <w:szCs w:val="24"/>
        </w:rPr>
      </w:pPr>
      <w:r w:rsidRPr="00982FEE">
        <w:rPr>
          <w:rFonts w:ascii="Arial" w:hAnsi="Arial" w:cs="Arial"/>
          <w:b/>
          <w:sz w:val="24"/>
          <w:szCs w:val="24"/>
        </w:rPr>
        <w:t>PI = PV / Initial Investment</w:t>
      </w:r>
    </w:p>
    <w:p w:rsidR="00982FEE" w:rsidRPr="00753591" w:rsidRDefault="00982FEE" w:rsidP="00982FEE">
      <w:pPr>
        <w:pStyle w:val="ListParagraph"/>
        <w:spacing w:line="360" w:lineRule="auto"/>
        <w:ind w:left="737" w:right="737"/>
        <w:jc w:val="both"/>
        <w:rPr>
          <w:rFonts w:ascii="Arial" w:hAnsi="Arial" w:cs="Arial"/>
          <w:b/>
          <w:sz w:val="24"/>
          <w:szCs w:val="24"/>
          <w:u w:val="single"/>
        </w:rPr>
      </w:pPr>
      <w:r>
        <w:rPr>
          <w:rFonts w:ascii="Arial" w:hAnsi="Arial" w:cs="Arial"/>
          <w:b/>
          <w:sz w:val="24"/>
          <w:szCs w:val="24"/>
          <w:u w:val="single"/>
        </w:rPr>
        <w:t>PI</w:t>
      </w:r>
      <w:r w:rsidRPr="00753591">
        <w:rPr>
          <w:rFonts w:ascii="Arial" w:hAnsi="Arial" w:cs="Arial"/>
          <w:b/>
          <w:sz w:val="24"/>
          <w:szCs w:val="24"/>
          <w:u w:val="single"/>
        </w:rPr>
        <w:t xml:space="preserve"> for Project A</w:t>
      </w:r>
    </w:p>
    <w:p w:rsidR="00982FEE" w:rsidRDefault="00982FEE" w:rsidP="00982FEE">
      <w:pPr>
        <w:pStyle w:val="ListParagraph"/>
        <w:spacing w:line="360" w:lineRule="auto"/>
        <w:ind w:left="737" w:right="737"/>
        <w:jc w:val="both"/>
        <w:rPr>
          <w:rFonts w:ascii="Arial" w:hAnsi="Arial" w:cs="Arial"/>
          <w:sz w:val="24"/>
          <w:szCs w:val="24"/>
        </w:rPr>
      </w:pPr>
      <w:r>
        <w:rPr>
          <w:rFonts w:ascii="Arial" w:hAnsi="Arial" w:cs="Arial"/>
          <w:sz w:val="24"/>
          <w:szCs w:val="24"/>
        </w:rPr>
        <w:t>41.306 / 40 = 1.03</w:t>
      </w:r>
    </w:p>
    <w:p w:rsidR="00982FEE" w:rsidRPr="00753591" w:rsidRDefault="00982FEE" w:rsidP="00982FEE">
      <w:pPr>
        <w:pStyle w:val="ListParagraph"/>
        <w:spacing w:line="360" w:lineRule="auto"/>
        <w:ind w:left="737" w:right="737"/>
        <w:jc w:val="both"/>
        <w:rPr>
          <w:rFonts w:ascii="Arial" w:hAnsi="Arial" w:cs="Arial"/>
          <w:b/>
          <w:sz w:val="24"/>
          <w:szCs w:val="24"/>
          <w:u w:val="single"/>
        </w:rPr>
      </w:pPr>
      <w:r>
        <w:rPr>
          <w:rFonts w:ascii="Arial" w:hAnsi="Arial" w:cs="Arial"/>
          <w:b/>
          <w:sz w:val="24"/>
          <w:szCs w:val="24"/>
          <w:u w:val="single"/>
        </w:rPr>
        <w:t>PI</w:t>
      </w:r>
      <w:r w:rsidRPr="00753591">
        <w:rPr>
          <w:rFonts w:ascii="Arial" w:hAnsi="Arial" w:cs="Arial"/>
          <w:b/>
          <w:sz w:val="24"/>
          <w:szCs w:val="24"/>
          <w:u w:val="single"/>
        </w:rPr>
        <w:t xml:space="preserve"> for Project B</w:t>
      </w:r>
    </w:p>
    <w:p w:rsidR="00982FEE" w:rsidRDefault="00982FEE" w:rsidP="00982FEE">
      <w:pPr>
        <w:pStyle w:val="ListParagraph"/>
        <w:spacing w:line="360" w:lineRule="auto"/>
        <w:ind w:left="737" w:right="737"/>
        <w:jc w:val="both"/>
        <w:rPr>
          <w:rFonts w:ascii="Arial" w:hAnsi="Arial" w:cs="Arial"/>
          <w:sz w:val="24"/>
          <w:szCs w:val="24"/>
        </w:rPr>
      </w:pPr>
      <w:r>
        <w:rPr>
          <w:rFonts w:ascii="Arial" w:hAnsi="Arial" w:cs="Arial"/>
          <w:sz w:val="24"/>
          <w:szCs w:val="24"/>
        </w:rPr>
        <w:t>22.734 / 30 = 0.75</w:t>
      </w:r>
    </w:p>
    <w:p w:rsidR="00982FEE" w:rsidRPr="00753591" w:rsidRDefault="00982FEE" w:rsidP="00982FEE">
      <w:pPr>
        <w:pStyle w:val="ListParagraph"/>
        <w:spacing w:line="360" w:lineRule="auto"/>
        <w:ind w:left="737" w:right="737"/>
        <w:jc w:val="both"/>
        <w:rPr>
          <w:rFonts w:ascii="Arial" w:hAnsi="Arial" w:cs="Arial"/>
          <w:b/>
          <w:sz w:val="24"/>
          <w:szCs w:val="24"/>
          <w:u w:val="single"/>
        </w:rPr>
      </w:pPr>
      <w:r>
        <w:rPr>
          <w:rFonts w:ascii="Arial" w:hAnsi="Arial" w:cs="Arial"/>
          <w:b/>
          <w:sz w:val="24"/>
          <w:szCs w:val="24"/>
          <w:u w:val="single"/>
        </w:rPr>
        <w:t>PI</w:t>
      </w:r>
      <w:r w:rsidRPr="00753591">
        <w:rPr>
          <w:rFonts w:ascii="Arial" w:hAnsi="Arial" w:cs="Arial"/>
          <w:b/>
          <w:sz w:val="24"/>
          <w:szCs w:val="24"/>
          <w:u w:val="single"/>
        </w:rPr>
        <w:t xml:space="preserve"> for Project C</w:t>
      </w:r>
    </w:p>
    <w:p w:rsidR="00982FEE" w:rsidRDefault="00982FEE" w:rsidP="00982FEE">
      <w:pPr>
        <w:pStyle w:val="ListParagraph"/>
        <w:spacing w:line="360" w:lineRule="auto"/>
        <w:ind w:left="737" w:right="737"/>
        <w:jc w:val="both"/>
        <w:rPr>
          <w:rFonts w:ascii="Arial" w:hAnsi="Arial" w:cs="Arial"/>
          <w:sz w:val="24"/>
          <w:szCs w:val="24"/>
        </w:rPr>
      </w:pPr>
      <w:r>
        <w:rPr>
          <w:rFonts w:ascii="Arial" w:hAnsi="Arial" w:cs="Arial"/>
          <w:sz w:val="24"/>
          <w:szCs w:val="24"/>
        </w:rPr>
        <w:t>54.2 / 50 = 1.08</w:t>
      </w:r>
    </w:p>
    <w:p w:rsidR="00982FEE" w:rsidRPr="00982FEE" w:rsidRDefault="00982FEE" w:rsidP="00982FEE">
      <w:pPr>
        <w:pStyle w:val="NormalWeb"/>
        <w:numPr>
          <w:ilvl w:val="0"/>
          <w:numId w:val="21"/>
        </w:numPr>
        <w:ind w:left="1097" w:right="737"/>
        <w:jc w:val="both"/>
        <w:rPr>
          <w:rFonts w:ascii="Arial" w:hAnsi="Arial" w:cs="Arial"/>
        </w:rPr>
      </w:pPr>
      <w:r w:rsidRPr="00982FEE">
        <w:rPr>
          <w:rFonts w:ascii="Arial" w:hAnsi="Arial" w:cs="Arial"/>
          <w:b/>
        </w:rPr>
        <w:t>Project A: PI =1.03</w:t>
      </w:r>
      <w:r w:rsidRPr="00982FEE">
        <w:rPr>
          <w:rFonts w:ascii="Arial" w:hAnsi="Arial" w:cs="Arial"/>
        </w:rPr>
        <w:t xml:space="preserve">. Since </w:t>
      </w:r>
      <w:r w:rsidRPr="00982FEE">
        <w:rPr>
          <w:rFonts w:ascii="Arial" w:hAnsi="Arial" w:cs="Arial"/>
          <w:b/>
        </w:rPr>
        <w:t>PI &gt; 1</w:t>
      </w:r>
      <w:r w:rsidRPr="00982FEE">
        <w:rPr>
          <w:rFonts w:ascii="Arial" w:hAnsi="Arial" w:cs="Arial"/>
        </w:rPr>
        <w:t xml:space="preserve">, the project is </w:t>
      </w:r>
      <w:r w:rsidRPr="00982FEE">
        <w:rPr>
          <w:rFonts w:ascii="Arial" w:hAnsi="Arial" w:cs="Arial"/>
          <w:b/>
        </w:rPr>
        <w:t>acceptable</w:t>
      </w:r>
      <w:r w:rsidRPr="00982FEE">
        <w:rPr>
          <w:rFonts w:ascii="Arial" w:hAnsi="Arial" w:cs="Arial"/>
        </w:rPr>
        <w:t>.</w:t>
      </w:r>
    </w:p>
    <w:p w:rsidR="00982FEE" w:rsidRPr="00982FEE" w:rsidRDefault="00982FEE" w:rsidP="00982FEE">
      <w:pPr>
        <w:pStyle w:val="NormalWeb"/>
        <w:numPr>
          <w:ilvl w:val="0"/>
          <w:numId w:val="21"/>
        </w:numPr>
        <w:ind w:left="1097" w:right="737"/>
        <w:jc w:val="both"/>
        <w:rPr>
          <w:rFonts w:ascii="Arial" w:hAnsi="Arial" w:cs="Arial"/>
        </w:rPr>
      </w:pPr>
      <w:r w:rsidRPr="00982FEE">
        <w:rPr>
          <w:rFonts w:ascii="Arial" w:hAnsi="Arial" w:cs="Arial"/>
          <w:b/>
        </w:rPr>
        <w:t>Project B: PI</w:t>
      </w:r>
      <w:r w:rsidR="00370157">
        <w:rPr>
          <w:rFonts w:ascii="Arial" w:hAnsi="Arial" w:cs="Arial"/>
          <w:b/>
        </w:rPr>
        <w:t xml:space="preserve"> = </w:t>
      </w:r>
      <w:r w:rsidRPr="00982FEE">
        <w:rPr>
          <w:rFonts w:ascii="Arial" w:hAnsi="Arial" w:cs="Arial"/>
          <w:b/>
        </w:rPr>
        <w:t>0.758</w:t>
      </w:r>
      <w:r w:rsidRPr="00982FEE">
        <w:rPr>
          <w:rFonts w:ascii="Arial" w:hAnsi="Arial" w:cs="Arial"/>
        </w:rPr>
        <w:t xml:space="preserve">. Since </w:t>
      </w:r>
      <w:r w:rsidRPr="00982FEE">
        <w:rPr>
          <w:rFonts w:ascii="Arial" w:hAnsi="Arial" w:cs="Arial"/>
          <w:b/>
        </w:rPr>
        <w:t>PI &lt; 1</w:t>
      </w:r>
      <w:r w:rsidRPr="00982FEE">
        <w:rPr>
          <w:rFonts w:ascii="Arial" w:hAnsi="Arial" w:cs="Arial"/>
        </w:rPr>
        <w:t xml:space="preserve">, the project is </w:t>
      </w:r>
      <w:r w:rsidRPr="00982FEE">
        <w:rPr>
          <w:rFonts w:ascii="Arial" w:hAnsi="Arial" w:cs="Arial"/>
          <w:b/>
        </w:rPr>
        <w:t>rejected</w:t>
      </w:r>
      <w:r w:rsidRPr="00982FEE">
        <w:rPr>
          <w:rFonts w:ascii="Arial" w:hAnsi="Arial" w:cs="Arial"/>
        </w:rPr>
        <w:t>.</w:t>
      </w:r>
    </w:p>
    <w:p w:rsidR="00982FEE" w:rsidRPr="00982FEE" w:rsidRDefault="00982FEE" w:rsidP="00982FEE">
      <w:pPr>
        <w:pStyle w:val="NormalWeb"/>
        <w:numPr>
          <w:ilvl w:val="0"/>
          <w:numId w:val="21"/>
        </w:numPr>
        <w:ind w:left="1097" w:right="737"/>
        <w:jc w:val="both"/>
        <w:rPr>
          <w:rFonts w:ascii="Arial" w:hAnsi="Arial" w:cs="Arial"/>
        </w:rPr>
      </w:pPr>
      <w:r w:rsidRPr="00982FEE">
        <w:rPr>
          <w:rFonts w:ascii="Arial" w:hAnsi="Arial" w:cs="Arial"/>
          <w:b/>
        </w:rPr>
        <w:t>Project C: PI = 1.085</w:t>
      </w:r>
      <w:r w:rsidRPr="00982FEE">
        <w:rPr>
          <w:rFonts w:ascii="Arial" w:hAnsi="Arial" w:cs="Arial"/>
        </w:rPr>
        <w:t xml:space="preserve">. Since </w:t>
      </w:r>
      <w:r w:rsidRPr="00982FEE">
        <w:rPr>
          <w:rFonts w:ascii="Arial" w:hAnsi="Arial" w:cs="Arial"/>
          <w:b/>
        </w:rPr>
        <w:t>PI &gt; 1</w:t>
      </w:r>
      <w:r w:rsidRPr="00982FEE">
        <w:rPr>
          <w:rFonts w:ascii="Arial" w:hAnsi="Arial" w:cs="Arial"/>
        </w:rPr>
        <w:t xml:space="preserve">, the project is </w:t>
      </w:r>
      <w:r w:rsidRPr="00982FEE">
        <w:rPr>
          <w:rFonts w:ascii="Arial" w:hAnsi="Arial" w:cs="Arial"/>
          <w:b/>
        </w:rPr>
        <w:t>acceptable.</w:t>
      </w:r>
    </w:p>
    <w:p w:rsidR="00982FEE" w:rsidRDefault="00982FEE" w:rsidP="00982FEE">
      <w:pPr>
        <w:pStyle w:val="NormalWeb"/>
        <w:jc w:val="both"/>
        <w:rPr>
          <w:rFonts w:ascii="Arial" w:hAnsi="Arial" w:cs="Arial"/>
          <w:b/>
        </w:rPr>
      </w:pPr>
    </w:p>
    <w:p w:rsidR="00982FEE" w:rsidRPr="00BF27FF" w:rsidRDefault="00982FEE" w:rsidP="00BF27FF">
      <w:pPr>
        <w:spacing w:line="360" w:lineRule="auto"/>
        <w:ind w:left="737" w:right="737"/>
        <w:rPr>
          <w:rFonts w:ascii="Arial" w:hAnsi="Arial" w:cs="Arial"/>
        </w:rPr>
      </w:pPr>
      <w:r w:rsidRPr="00BF27FF">
        <w:rPr>
          <w:rFonts w:ascii="Arial" w:hAnsi="Arial" w:cs="Arial"/>
          <w:b/>
          <w:sz w:val="24"/>
          <w:szCs w:val="24"/>
          <w:u w:val="single"/>
        </w:rPr>
        <w:t>Internal Rate of Return</w:t>
      </w:r>
      <w:r w:rsidRPr="00BF27FF">
        <w:rPr>
          <w:rFonts w:ascii="Arial" w:hAnsi="Arial" w:cs="Arial"/>
        </w:rPr>
        <w:tab/>
      </w:r>
    </w:p>
    <w:p w:rsidR="00BF27FF" w:rsidRPr="00982FEE" w:rsidRDefault="00BF27FF" w:rsidP="00982FEE">
      <w:pPr>
        <w:pStyle w:val="ListParagraph"/>
        <w:spacing w:line="360" w:lineRule="auto"/>
        <w:ind w:left="737" w:right="737" w:firstLine="720"/>
        <w:rPr>
          <w:rFonts w:ascii="Arial" w:hAnsi="Arial" w:cs="Arial"/>
        </w:rPr>
      </w:pPr>
    </w:p>
    <w:p w:rsidR="00BF27FF" w:rsidRDefault="00982FEE" w:rsidP="00BF27FF">
      <w:pPr>
        <w:pStyle w:val="ListParagraph"/>
        <w:spacing w:line="360" w:lineRule="auto"/>
        <w:ind w:left="737" w:right="737"/>
        <w:jc w:val="both"/>
        <w:rPr>
          <w:rFonts w:ascii="Arial" w:hAnsi="Arial" w:cs="Arial"/>
          <w:sz w:val="24"/>
          <w:szCs w:val="24"/>
        </w:rPr>
      </w:pPr>
      <w:r w:rsidRPr="00982FEE">
        <w:rPr>
          <w:rFonts w:ascii="Arial" w:hAnsi="Arial" w:cs="Arial"/>
          <w:sz w:val="24"/>
          <w:szCs w:val="24"/>
        </w:rPr>
        <w:t xml:space="preserve">The IRR is the discount rate that causes the NPV of a project to be equal to zero. A project will be accepted if it has an IRR that is greater than the cost of capital (10%). </w:t>
      </w:r>
    </w:p>
    <w:p w:rsidR="00BF27FF" w:rsidRDefault="00BF27FF" w:rsidP="00BF27FF">
      <w:pPr>
        <w:pStyle w:val="ListParagraph"/>
        <w:spacing w:line="360" w:lineRule="auto"/>
        <w:ind w:left="737" w:right="737"/>
        <w:jc w:val="both"/>
        <w:rPr>
          <w:rFonts w:ascii="Arial" w:hAnsi="Arial" w:cs="Arial"/>
          <w:sz w:val="24"/>
          <w:szCs w:val="24"/>
        </w:rPr>
      </w:pPr>
    </w:p>
    <w:p w:rsidR="00BF27FF" w:rsidRDefault="00982FEE" w:rsidP="00BF27FF">
      <w:pPr>
        <w:pStyle w:val="ListParagraph"/>
        <w:spacing w:line="360" w:lineRule="auto"/>
        <w:ind w:left="737" w:right="737"/>
        <w:jc w:val="both"/>
        <w:rPr>
          <w:rFonts w:ascii="Arial" w:hAnsi="Arial" w:cs="Arial"/>
          <w:sz w:val="24"/>
          <w:szCs w:val="24"/>
        </w:rPr>
      </w:pPr>
      <w:r w:rsidRPr="00982FEE">
        <w:rPr>
          <w:rFonts w:ascii="Arial" w:hAnsi="Arial" w:cs="Arial"/>
          <w:sz w:val="24"/>
          <w:szCs w:val="24"/>
        </w:rPr>
        <w:t xml:space="preserve">Project A has an IRR of </w:t>
      </w:r>
      <w:r w:rsidRPr="00BF27FF">
        <w:rPr>
          <w:rFonts w:ascii="Arial" w:hAnsi="Arial" w:cs="Arial"/>
          <w:b/>
          <w:sz w:val="24"/>
          <w:szCs w:val="24"/>
        </w:rPr>
        <w:t>11.33%</w:t>
      </w:r>
      <w:r w:rsidRPr="00982FEE">
        <w:rPr>
          <w:rFonts w:ascii="Arial" w:hAnsi="Arial" w:cs="Arial"/>
          <w:sz w:val="24"/>
          <w:szCs w:val="24"/>
        </w:rPr>
        <w:t>. Since 11.33% &gt; 10%, the project is acceptable.</w:t>
      </w:r>
      <w:r w:rsidRPr="00BF27FF">
        <w:rPr>
          <w:rFonts w:ascii="Arial" w:hAnsi="Arial" w:cs="Arial"/>
          <w:sz w:val="24"/>
          <w:szCs w:val="24"/>
        </w:rPr>
        <w:t xml:space="preserve"> </w:t>
      </w:r>
    </w:p>
    <w:p w:rsidR="00BF27FF" w:rsidRPr="00BF27FF" w:rsidRDefault="00BF27FF" w:rsidP="00BF27FF">
      <w:pPr>
        <w:pStyle w:val="ListParagraph"/>
        <w:spacing w:line="360" w:lineRule="auto"/>
        <w:ind w:left="737" w:right="737"/>
        <w:jc w:val="both"/>
        <w:rPr>
          <w:rFonts w:ascii="Arial" w:hAnsi="Arial" w:cs="Arial"/>
          <w:sz w:val="24"/>
          <w:szCs w:val="24"/>
        </w:rPr>
      </w:pPr>
    </w:p>
    <w:p w:rsidR="00BF27FF" w:rsidRDefault="00982FEE" w:rsidP="00BF27FF">
      <w:pPr>
        <w:pStyle w:val="ListParagraph"/>
        <w:spacing w:line="360" w:lineRule="auto"/>
        <w:ind w:left="737" w:right="737"/>
        <w:jc w:val="both"/>
        <w:rPr>
          <w:rFonts w:ascii="Arial" w:hAnsi="Arial" w:cs="Arial"/>
          <w:sz w:val="24"/>
          <w:szCs w:val="24"/>
        </w:rPr>
      </w:pPr>
      <w:r w:rsidRPr="00982FEE">
        <w:rPr>
          <w:rFonts w:ascii="Arial" w:hAnsi="Arial" w:cs="Arial"/>
          <w:sz w:val="24"/>
          <w:szCs w:val="24"/>
        </w:rPr>
        <w:t xml:space="preserve">Project B has an IRR of </w:t>
      </w:r>
      <w:r w:rsidRPr="00BF27FF">
        <w:rPr>
          <w:rFonts w:ascii="Arial" w:hAnsi="Arial" w:cs="Arial"/>
          <w:b/>
          <w:sz w:val="24"/>
          <w:szCs w:val="24"/>
        </w:rPr>
        <w:t>0.00%</w:t>
      </w:r>
      <w:r w:rsidRPr="00982FEE">
        <w:rPr>
          <w:rFonts w:ascii="Arial" w:hAnsi="Arial" w:cs="Arial"/>
          <w:sz w:val="24"/>
          <w:szCs w:val="24"/>
        </w:rPr>
        <w:t xml:space="preserve">. Since 0.00 &lt; 10%, the project is rejected. This means the project breaks even on the initial investment, but there is no time value adjustment. </w:t>
      </w:r>
    </w:p>
    <w:p w:rsidR="00BF27FF" w:rsidRDefault="00BF27FF" w:rsidP="00BF27FF">
      <w:pPr>
        <w:pStyle w:val="ListParagraph"/>
        <w:spacing w:line="360" w:lineRule="auto"/>
        <w:ind w:left="737" w:right="737"/>
        <w:jc w:val="both"/>
        <w:rPr>
          <w:rFonts w:ascii="Arial" w:hAnsi="Arial" w:cs="Arial"/>
          <w:sz w:val="24"/>
          <w:szCs w:val="24"/>
        </w:rPr>
      </w:pPr>
    </w:p>
    <w:p w:rsidR="00982FEE" w:rsidRDefault="00982FEE" w:rsidP="00BF27FF">
      <w:pPr>
        <w:pStyle w:val="ListParagraph"/>
        <w:spacing w:line="360" w:lineRule="auto"/>
        <w:ind w:left="737" w:right="737"/>
        <w:jc w:val="both"/>
        <w:rPr>
          <w:rFonts w:ascii="Arial" w:hAnsi="Arial" w:cs="Arial"/>
          <w:sz w:val="24"/>
          <w:szCs w:val="24"/>
        </w:rPr>
      </w:pPr>
      <w:r w:rsidRPr="00982FEE">
        <w:rPr>
          <w:rFonts w:ascii="Arial" w:hAnsi="Arial" w:cs="Arial"/>
          <w:sz w:val="24"/>
          <w:szCs w:val="24"/>
        </w:rPr>
        <w:t xml:space="preserve">Project C has an IRR of </w:t>
      </w:r>
      <w:r w:rsidRPr="00BF27FF">
        <w:rPr>
          <w:rFonts w:ascii="Arial" w:hAnsi="Arial" w:cs="Arial"/>
          <w:b/>
          <w:sz w:val="24"/>
          <w:szCs w:val="24"/>
        </w:rPr>
        <w:t>12.72%</w:t>
      </w:r>
      <w:r w:rsidR="00BF27FF">
        <w:rPr>
          <w:rFonts w:ascii="Arial" w:hAnsi="Arial" w:cs="Arial"/>
          <w:sz w:val="24"/>
          <w:szCs w:val="24"/>
        </w:rPr>
        <w:t>. Since 1</w:t>
      </w:r>
      <w:r w:rsidRPr="00982FEE">
        <w:rPr>
          <w:rFonts w:ascii="Arial" w:hAnsi="Arial" w:cs="Arial"/>
          <w:sz w:val="24"/>
          <w:szCs w:val="24"/>
        </w:rPr>
        <w:t>2.72 &gt; 10%, the project is acceptable.</w:t>
      </w:r>
    </w:p>
    <w:p w:rsidR="00BF27FF" w:rsidRDefault="00BF27FF" w:rsidP="00BF27FF">
      <w:pPr>
        <w:spacing w:line="360" w:lineRule="auto"/>
        <w:ind w:left="737" w:right="737"/>
        <w:rPr>
          <w:rFonts w:ascii="Arial" w:hAnsi="Arial" w:cs="Arial"/>
          <w:b/>
          <w:sz w:val="24"/>
          <w:szCs w:val="24"/>
          <w:u w:val="single"/>
        </w:rPr>
      </w:pPr>
      <w:r w:rsidRPr="00BF27FF">
        <w:rPr>
          <w:rFonts w:ascii="Arial" w:hAnsi="Arial" w:cs="Arial"/>
          <w:b/>
          <w:sz w:val="24"/>
          <w:szCs w:val="24"/>
          <w:u w:val="single"/>
        </w:rPr>
        <w:t>Final Investment Recommendation (Capital Rationing)</w:t>
      </w:r>
    </w:p>
    <w:p w:rsidR="00BF27FF" w:rsidRDefault="00BF27FF" w:rsidP="00BF27FF">
      <w:pPr>
        <w:spacing w:line="360" w:lineRule="auto"/>
        <w:ind w:left="737" w:right="737"/>
        <w:jc w:val="both"/>
        <w:rPr>
          <w:rFonts w:ascii="Arial" w:hAnsi="Arial" w:cs="Arial"/>
          <w:sz w:val="24"/>
          <w:szCs w:val="24"/>
        </w:rPr>
      </w:pPr>
      <w:r w:rsidRPr="00BF27FF">
        <w:rPr>
          <w:rFonts w:ascii="Arial" w:hAnsi="Arial" w:cs="Arial"/>
          <w:sz w:val="24"/>
          <w:szCs w:val="24"/>
        </w:rPr>
        <w:t xml:space="preserve">With capital rationing - constrained by budget of £60m, maximize the Net Present Value (NPV) of the projects selected within budget. The norm way to rank for capital rationing is the Profitability Index (PI), which provides the rationale for investing in projects that provide the highest value NPV per pound in.  Project data and ranking </w:t>
      </w:r>
      <w:r>
        <w:rPr>
          <w:rFonts w:ascii="Arial" w:hAnsi="Arial" w:cs="Arial"/>
          <w:sz w:val="24"/>
          <w:szCs w:val="24"/>
        </w:rPr>
        <w:t xml:space="preserve">in </w:t>
      </w:r>
      <w:r w:rsidRPr="00BF27FF">
        <w:rPr>
          <w:rFonts w:ascii="Arial" w:hAnsi="Arial" w:cs="Arial"/>
          <w:sz w:val="24"/>
          <w:szCs w:val="24"/>
        </w:rPr>
        <w:t xml:space="preserve">the table below </w:t>
      </w:r>
      <w:r w:rsidRPr="00BF27FF">
        <w:rPr>
          <w:rFonts w:ascii="Arial" w:hAnsi="Arial" w:cs="Arial"/>
          <w:sz w:val="24"/>
          <w:szCs w:val="24"/>
        </w:rPr>
        <w:lastRenderedPageBreak/>
        <w:t>summarizes key metrics for the viable projects</w:t>
      </w:r>
      <w:r>
        <w:rPr>
          <w:rFonts w:ascii="Arial" w:hAnsi="Arial" w:cs="Arial"/>
          <w:sz w:val="24"/>
          <w:szCs w:val="24"/>
        </w:rPr>
        <w:t xml:space="preserve"> (A and C) and ranks them by PI</w:t>
      </w:r>
      <w:r w:rsidR="00DD0249">
        <w:rPr>
          <w:rFonts w:ascii="Arial" w:hAnsi="Arial" w:cs="Arial"/>
          <w:sz w:val="24"/>
          <w:szCs w:val="24"/>
        </w:rPr>
        <w:t xml:space="preserve">. </w:t>
      </w:r>
      <w:r w:rsidR="00DD0249" w:rsidRPr="00DD0249">
        <w:rPr>
          <w:rFonts w:ascii="Arial" w:hAnsi="Arial" w:cs="Arial"/>
          <w:sz w:val="24"/>
          <w:szCs w:val="24"/>
        </w:rPr>
        <w:t>The total available capital is £60m</w:t>
      </w:r>
    </w:p>
    <w:tbl>
      <w:tblPr>
        <w:tblStyle w:val="GridTable5Dark-Accent4"/>
        <w:tblW w:w="7118" w:type="dxa"/>
        <w:tblInd w:w="1814" w:type="dxa"/>
        <w:tblLook w:val="04A0" w:firstRow="1" w:lastRow="0" w:firstColumn="1" w:lastColumn="0" w:noHBand="0" w:noVBand="1"/>
      </w:tblPr>
      <w:tblGrid>
        <w:gridCol w:w="1095"/>
        <w:gridCol w:w="2087"/>
        <w:gridCol w:w="1364"/>
        <w:gridCol w:w="868"/>
        <w:gridCol w:w="1704"/>
      </w:tblGrid>
      <w:tr w:rsidR="00BF27FF" w:rsidRPr="00BF27FF" w:rsidTr="00DD0249">
        <w:trPr>
          <w:cnfStyle w:val="100000000000" w:firstRow="1" w:lastRow="0" w:firstColumn="0" w:lastColumn="0" w:oddVBand="0" w:evenVBand="0" w:oddHBand="0"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0" w:type="auto"/>
            <w:hideMark/>
          </w:tcPr>
          <w:p w:rsidR="00BF27FF" w:rsidRPr="00613DEF" w:rsidRDefault="00BF27FF" w:rsidP="00BF27FF">
            <w:pPr>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Project</w:t>
            </w:r>
          </w:p>
        </w:tc>
        <w:tc>
          <w:tcPr>
            <w:tcW w:w="0" w:type="auto"/>
            <w:hideMark/>
          </w:tcPr>
          <w:p w:rsidR="00BF27FF" w:rsidRPr="00613DEF" w:rsidRDefault="00BF27FF" w:rsidP="00BF27FF">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b w:val="0"/>
                <w:bCs w:val="0"/>
                <w:color w:val="1B1C1D"/>
                <w:sz w:val="24"/>
                <w:szCs w:val="24"/>
                <w:bdr w:val="none" w:sz="0" w:space="0" w:color="auto" w:frame="1"/>
              </w:rPr>
              <w:t xml:space="preserve">Investment </w:t>
            </w:r>
            <w:r w:rsidR="00DD0249" w:rsidRPr="00613DEF">
              <w:rPr>
                <w:rFonts w:ascii="Arial" w:eastAsia="Times New Roman" w:hAnsi="Arial" w:cs="Arial"/>
                <w:color w:val="1B1C1D"/>
                <w:sz w:val="24"/>
                <w:szCs w:val="24"/>
                <w:bdr w:val="none" w:sz="0" w:space="0" w:color="auto" w:frame="1"/>
              </w:rPr>
              <w:t>(£m)</w:t>
            </w:r>
          </w:p>
        </w:tc>
        <w:tc>
          <w:tcPr>
            <w:tcW w:w="0" w:type="auto"/>
            <w:hideMark/>
          </w:tcPr>
          <w:p w:rsidR="00BF27FF" w:rsidRPr="00613DEF" w:rsidRDefault="00BF27FF" w:rsidP="00BF27FF">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NPV (£m)</w:t>
            </w:r>
          </w:p>
        </w:tc>
        <w:tc>
          <w:tcPr>
            <w:tcW w:w="0" w:type="auto"/>
            <w:hideMark/>
          </w:tcPr>
          <w:p w:rsidR="00BF27FF" w:rsidRPr="00613DEF" w:rsidRDefault="00BF27FF" w:rsidP="00BF27FF">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PI</w:t>
            </w:r>
          </w:p>
        </w:tc>
        <w:tc>
          <w:tcPr>
            <w:tcW w:w="0" w:type="auto"/>
            <w:hideMark/>
          </w:tcPr>
          <w:p w:rsidR="00BF27FF" w:rsidRPr="00613DEF" w:rsidRDefault="00BF27FF" w:rsidP="00BF27FF">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Rank (by PI)</w:t>
            </w:r>
          </w:p>
        </w:tc>
      </w:tr>
      <w:tr w:rsidR="00BF27FF" w:rsidRPr="00BF27FF" w:rsidTr="00DD024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0" w:type="auto"/>
            <w:hideMark/>
          </w:tcPr>
          <w:p w:rsidR="00BF27FF" w:rsidRPr="00613DEF" w:rsidRDefault="00BF27FF" w:rsidP="00BF27FF">
            <w:pPr>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C</w:t>
            </w:r>
          </w:p>
        </w:tc>
        <w:tc>
          <w:tcPr>
            <w:tcW w:w="0" w:type="auto"/>
            <w:hideMark/>
          </w:tcPr>
          <w:p w:rsidR="00BF27FF" w:rsidRPr="00613DEF" w:rsidRDefault="00DD0249" w:rsidP="00DD024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50</w:t>
            </w:r>
          </w:p>
        </w:tc>
        <w:tc>
          <w:tcPr>
            <w:tcW w:w="0" w:type="auto"/>
            <w:hideMark/>
          </w:tcPr>
          <w:p w:rsidR="00BF27FF" w:rsidRPr="00613DEF" w:rsidRDefault="00BF27FF" w:rsidP="00BF27F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£4.23m</w:t>
            </w:r>
          </w:p>
        </w:tc>
        <w:tc>
          <w:tcPr>
            <w:tcW w:w="0" w:type="auto"/>
            <w:hideMark/>
          </w:tcPr>
          <w:p w:rsidR="00BF27FF" w:rsidRPr="00613DEF" w:rsidRDefault="00BF27FF" w:rsidP="00BF27F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b/>
                <w:bCs/>
                <w:color w:val="1B1C1D"/>
                <w:sz w:val="24"/>
                <w:szCs w:val="24"/>
                <w:bdr w:val="none" w:sz="0" w:space="0" w:color="auto" w:frame="1"/>
              </w:rPr>
              <w:t>1.085</w:t>
            </w:r>
          </w:p>
        </w:tc>
        <w:tc>
          <w:tcPr>
            <w:tcW w:w="0" w:type="auto"/>
            <w:hideMark/>
          </w:tcPr>
          <w:p w:rsidR="00BF27FF" w:rsidRPr="00613DEF" w:rsidRDefault="00BF27FF" w:rsidP="00BF27F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1</w:t>
            </w:r>
          </w:p>
        </w:tc>
      </w:tr>
      <w:tr w:rsidR="00BF27FF" w:rsidRPr="00BF27FF" w:rsidTr="00DD0249">
        <w:trPr>
          <w:trHeight w:val="705"/>
        </w:trPr>
        <w:tc>
          <w:tcPr>
            <w:cnfStyle w:val="001000000000" w:firstRow="0" w:lastRow="0" w:firstColumn="1" w:lastColumn="0" w:oddVBand="0" w:evenVBand="0" w:oddHBand="0" w:evenHBand="0" w:firstRowFirstColumn="0" w:firstRowLastColumn="0" w:lastRowFirstColumn="0" w:lastRowLastColumn="0"/>
            <w:tcW w:w="0" w:type="auto"/>
            <w:hideMark/>
          </w:tcPr>
          <w:p w:rsidR="00BF27FF" w:rsidRPr="00613DEF" w:rsidRDefault="00BF27FF" w:rsidP="00BF27FF">
            <w:pPr>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A</w:t>
            </w:r>
          </w:p>
        </w:tc>
        <w:tc>
          <w:tcPr>
            <w:tcW w:w="0" w:type="auto"/>
            <w:hideMark/>
          </w:tcPr>
          <w:p w:rsidR="00BF27FF" w:rsidRPr="00613DEF" w:rsidRDefault="00DD0249" w:rsidP="00DD024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40</w:t>
            </w:r>
          </w:p>
        </w:tc>
        <w:tc>
          <w:tcPr>
            <w:tcW w:w="0" w:type="auto"/>
            <w:hideMark/>
          </w:tcPr>
          <w:p w:rsidR="00BF27FF" w:rsidRPr="00613DEF" w:rsidRDefault="00BF27FF" w:rsidP="00BF27F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£1.32m</w:t>
            </w:r>
          </w:p>
        </w:tc>
        <w:tc>
          <w:tcPr>
            <w:tcW w:w="0" w:type="auto"/>
            <w:hideMark/>
          </w:tcPr>
          <w:p w:rsidR="00BF27FF" w:rsidRPr="00613DEF" w:rsidRDefault="00BF27FF" w:rsidP="00BF27F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b/>
                <w:bCs/>
                <w:color w:val="1B1C1D"/>
                <w:sz w:val="24"/>
                <w:szCs w:val="24"/>
                <w:bdr w:val="none" w:sz="0" w:space="0" w:color="auto" w:frame="1"/>
              </w:rPr>
              <w:t>1.033</w:t>
            </w:r>
          </w:p>
        </w:tc>
        <w:tc>
          <w:tcPr>
            <w:tcW w:w="0" w:type="auto"/>
            <w:hideMark/>
          </w:tcPr>
          <w:p w:rsidR="00BF27FF" w:rsidRPr="00613DEF" w:rsidRDefault="00BF27FF" w:rsidP="00BF27F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2</w:t>
            </w:r>
          </w:p>
        </w:tc>
      </w:tr>
      <w:tr w:rsidR="00BF27FF" w:rsidRPr="00BF27FF" w:rsidTr="00DD024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0" w:type="auto"/>
            <w:hideMark/>
          </w:tcPr>
          <w:p w:rsidR="00BF27FF" w:rsidRPr="00613DEF" w:rsidRDefault="00BF27FF" w:rsidP="00BF27FF">
            <w:pPr>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B</w:t>
            </w:r>
          </w:p>
        </w:tc>
        <w:tc>
          <w:tcPr>
            <w:tcW w:w="0" w:type="auto"/>
            <w:hideMark/>
          </w:tcPr>
          <w:p w:rsidR="00BF27FF" w:rsidRPr="00613DEF" w:rsidRDefault="00DD0249" w:rsidP="00DD024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30</w:t>
            </w:r>
          </w:p>
        </w:tc>
        <w:tc>
          <w:tcPr>
            <w:tcW w:w="0" w:type="auto"/>
            <w:hideMark/>
          </w:tcPr>
          <w:p w:rsidR="00BF27FF" w:rsidRPr="00613DEF" w:rsidRDefault="00BF27FF" w:rsidP="00BF27F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-£7.26m</w:t>
            </w:r>
          </w:p>
        </w:tc>
        <w:tc>
          <w:tcPr>
            <w:tcW w:w="0" w:type="auto"/>
            <w:hideMark/>
          </w:tcPr>
          <w:p w:rsidR="00BF27FF" w:rsidRPr="00613DEF" w:rsidRDefault="00BF27FF" w:rsidP="00BF27F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0.758</w:t>
            </w:r>
          </w:p>
        </w:tc>
        <w:tc>
          <w:tcPr>
            <w:tcW w:w="0" w:type="auto"/>
            <w:hideMark/>
          </w:tcPr>
          <w:p w:rsidR="00BF27FF" w:rsidRPr="00613DEF" w:rsidRDefault="00BF27FF" w:rsidP="00BF27F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(Reject)</w:t>
            </w:r>
          </w:p>
        </w:tc>
      </w:tr>
    </w:tbl>
    <w:p w:rsidR="00BF27FF" w:rsidRPr="00DD0249" w:rsidRDefault="00DD0249" w:rsidP="00DD0249">
      <w:pPr>
        <w:spacing w:line="360" w:lineRule="auto"/>
        <w:ind w:left="737" w:right="737"/>
        <w:jc w:val="center"/>
        <w:rPr>
          <w:rFonts w:ascii="Arial" w:hAnsi="Arial" w:cs="Arial"/>
          <w:b/>
          <w:i/>
          <w:sz w:val="24"/>
          <w:szCs w:val="24"/>
          <w:u w:val="single"/>
        </w:rPr>
      </w:pPr>
      <w:r w:rsidRPr="00DD0249">
        <w:rPr>
          <w:rFonts w:ascii="Arial" w:hAnsi="Arial" w:cs="Arial"/>
          <w:b/>
          <w:i/>
          <w:sz w:val="24"/>
          <w:szCs w:val="24"/>
          <w:u w:val="single"/>
        </w:rPr>
        <w:t>Table 4.4: Project Ranking</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w:t>
      </w:r>
      <w:proofErr w:type="spellStart"/>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DD0249" w:rsidRPr="00DD0249" w:rsidRDefault="00DD0249" w:rsidP="00DD0249">
      <w:pPr>
        <w:pStyle w:val="ListParagraph"/>
        <w:spacing w:line="360" w:lineRule="auto"/>
        <w:ind w:left="737" w:right="737"/>
        <w:rPr>
          <w:rFonts w:ascii="Arial" w:hAnsi="Arial" w:cs="Arial"/>
          <w:sz w:val="24"/>
          <w:szCs w:val="24"/>
        </w:rPr>
      </w:pPr>
      <w:r w:rsidRPr="00DD0249">
        <w:rPr>
          <w:rFonts w:ascii="Arial" w:hAnsi="Arial" w:cs="Arial"/>
          <w:sz w:val="24"/>
          <w:szCs w:val="24"/>
        </w:rPr>
        <w:t xml:space="preserve">Decision Path: </w:t>
      </w:r>
    </w:p>
    <w:p w:rsidR="00DD0249" w:rsidRPr="00DD0249" w:rsidRDefault="00DD0249" w:rsidP="00DD0249">
      <w:pPr>
        <w:pStyle w:val="ListParagraph"/>
        <w:spacing w:line="360" w:lineRule="auto"/>
        <w:ind w:left="737" w:right="737"/>
        <w:rPr>
          <w:rFonts w:ascii="Arial" w:hAnsi="Arial" w:cs="Arial"/>
          <w:sz w:val="24"/>
          <w:szCs w:val="24"/>
        </w:rPr>
      </w:pPr>
      <w:r w:rsidRPr="00DD0249">
        <w:rPr>
          <w:rFonts w:ascii="Arial" w:hAnsi="Arial" w:cs="Arial"/>
          <w:sz w:val="24"/>
          <w:szCs w:val="24"/>
        </w:rPr>
        <w:t xml:space="preserve">Approve Project C (Rank 1): They accept the request to invest £50m. </w:t>
      </w:r>
    </w:p>
    <w:p w:rsidR="00DD0249" w:rsidRPr="00DD0249" w:rsidRDefault="00DD0249" w:rsidP="00DD0249">
      <w:pPr>
        <w:pStyle w:val="ListParagraph"/>
        <w:spacing w:line="360" w:lineRule="auto"/>
        <w:ind w:left="737" w:right="737"/>
        <w:rPr>
          <w:rFonts w:ascii="Arial" w:hAnsi="Arial" w:cs="Arial"/>
          <w:sz w:val="24"/>
          <w:szCs w:val="24"/>
        </w:rPr>
      </w:pPr>
      <w:r w:rsidRPr="00DD0249">
        <w:rPr>
          <w:rFonts w:ascii="Arial" w:hAnsi="Arial" w:cs="Arial"/>
          <w:sz w:val="24"/>
          <w:szCs w:val="24"/>
        </w:rPr>
        <w:t xml:space="preserve">Check Remaining Budget: £60m - £50m = £10m. </w:t>
      </w:r>
    </w:p>
    <w:p w:rsidR="00DD0249" w:rsidRPr="00DD0249" w:rsidRDefault="00DD0249" w:rsidP="00DD0249">
      <w:pPr>
        <w:pStyle w:val="ListParagraph"/>
        <w:spacing w:line="360" w:lineRule="auto"/>
        <w:ind w:left="737" w:right="737"/>
        <w:rPr>
          <w:rFonts w:ascii="Arial" w:hAnsi="Arial" w:cs="Arial"/>
          <w:sz w:val="24"/>
          <w:szCs w:val="24"/>
        </w:rPr>
      </w:pPr>
      <w:r w:rsidRPr="00DD0249">
        <w:rPr>
          <w:rFonts w:ascii="Arial" w:hAnsi="Arial" w:cs="Arial"/>
          <w:sz w:val="24"/>
          <w:szCs w:val="24"/>
        </w:rPr>
        <w:t>Project A (Rank 2). This requires £40m, which is significantly greater than the remaining budget of £10m. Thus it is denied. We can't choose both projects C and A.</w:t>
      </w:r>
    </w:p>
    <w:p w:rsidR="00982FEE" w:rsidRDefault="00DD0249" w:rsidP="00DD0249">
      <w:pPr>
        <w:pStyle w:val="ListParagraph"/>
        <w:spacing w:line="360" w:lineRule="auto"/>
        <w:ind w:left="737" w:right="737"/>
        <w:rPr>
          <w:rFonts w:ascii="Arial" w:hAnsi="Arial" w:cs="Arial"/>
          <w:sz w:val="24"/>
          <w:szCs w:val="24"/>
        </w:rPr>
      </w:pPr>
      <w:r w:rsidRPr="00DD0249">
        <w:rPr>
          <w:rFonts w:ascii="Arial" w:hAnsi="Arial" w:cs="Arial"/>
          <w:sz w:val="24"/>
          <w:szCs w:val="24"/>
        </w:rPr>
        <w:t>In this scenario, we cannot combine the two largest projects, A and C, because the total is £90m, which is greater than the £60m budget. 2 final recommendation should be deny project A and only accept project C investment.</w:t>
      </w:r>
    </w:p>
    <w:tbl>
      <w:tblPr>
        <w:tblpPr w:leftFromText="180" w:rightFromText="180" w:vertAnchor="text" w:horzAnchor="margin" w:tblpXSpec="center" w:tblpY="489"/>
        <w:tblW w:w="0" w:type="auto"/>
        <w:tblCellSpacing w:w="15" w:type="dxa"/>
        <w:tblCellMar>
          <w:left w:w="0" w:type="dxa"/>
          <w:right w:w="0" w:type="dxa"/>
        </w:tblCellMar>
        <w:tblLook w:val="04A0" w:firstRow="1" w:lastRow="0" w:firstColumn="1" w:lastColumn="0" w:noHBand="0" w:noVBand="1"/>
      </w:tblPr>
      <w:tblGrid>
        <w:gridCol w:w="1935"/>
        <w:gridCol w:w="2714"/>
        <w:gridCol w:w="2075"/>
      </w:tblGrid>
      <w:tr w:rsidR="00DD0249" w:rsidRPr="00DD0249" w:rsidTr="00DD0249">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DD0249" w:rsidRPr="00DD0249" w:rsidRDefault="00DD0249" w:rsidP="00DD0249">
            <w:pPr>
              <w:spacing w:after="0" w:line="240" w:lineRule="auto"/>
              <w:rPr>
                <w:rFonts w:ascii="Times New Roman" w:eastAsia="Times New Roman" w:hAnsi="Times New Roman" w:cs="Times New Roman"/>
                <w:color w:val="1B1C1D"/>
                <w:sz w:val="24"/>
                <w:szCs w:val="24"/>
              </w:rPr>
            </w:pPr>
            <w:r w:rsidRPr="00DD0249">
              <w:rPr>
                <w:rFonts w:ascii="Times New Roman" w:eastAsia="Times New Roman" w:hAnsi="Times New Roman" w:cs="Times New Roman"/>
                <w:b/>
                <w:bCs/>
                <w:color w:val="1B1C1D"/>
                <w:sz w:val="24"/>
                <w:szCs w:val="24"/>
                <w:bdr w:val="none" w:sz="0" w:space="0" w:color="auto" w:frame="1"/>
              </w:rPr>
              <w:t>Final Portfolio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DD0249" w:rsidRPr="00DD0249" w:rsidRDefault="00DD0249" w:rsidP="00DD0249">
            <w:pPr>
              <w:spacing w:after="0" w:line="240" w:lineRule="auto"/>
              <w:rPr>
                <w:rFonts w:ascii="Times New Roman" w:eastAsia="Times New Roman" w:hAnsi="Times New Roman" w:cs="Times New Roman"/>
                <w:color w:val="1B1C1D"/>
                <w:sz w:val="24"/>
                <w:szCs w:val="24"/>
              </w:rPr>
            </w:pPr>
            <w:r w:rsidRPr="00DD0249">
              <w:rPr>
                <w:rFonts w:ascii="Times New Roman" w:eastAsia="Times New Roman" w:hAnsi="Times New Roman" w:cs="Times New Roman"/>
                <w:b/>
                <w:bCs/>
                <w:color w:val="1B1C1D"/>
                <w:sz w:val="24"/>
                <w:szCs w:val="24"/>
                <w:bdr w:val="none" w:sz="0" w:space="0" w:color="auto" w:frame="1"/>
              </w:rPr>
              <w:t>Total Investment (£m)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DD0249" w:rsidRPr="00DD0249" w:rsidRDefault="00DD0249" w:rsidP="00DD0249">
            <w:pPr>
              <w:spacing w:after="0" w:line="240" w:lineRule="auto"/>
              <w:rPr>
                <w:rFonts w:ascii="Times New Roman" w:eastAsia="Times New Roman" w:hAnsi="Times New Roman" w:cs="Times New Roman"/>
                <w:color w:val="1B1C1D"/>
                <w:sz w:val="24"/>
                <w:szCs w:val="24"/>
              </w:rPr>
            </w:pPr>
            <w:r w:rsidRPr="00DD0249">
              <w:rPr>
                <w:rFonts w:ascii="Times New Roman" w:eastAsia="Times New Roman" w:hAnsi="Times New Roman" w:cs="Times New Roman"/>
                <w:b/>
                <w:bCs/>
                <w:color w:val="1B1C1D"/>
                <w:sz w:val="24"/>
                <w:szCs w:val="24"/>
                <w:bdr w:val="none" w:sz="0" w:space="0" w:color="auto" w:frame="1"/>
              </w:rPr>
              <w:t>Total NPV (£m)</w:t>
            </w:r>
          </w:p>
        </w:tc>
      </w:tr>
      <w:tr w:rsidR="00DD0249" w:rsidRPr="00DD0249" w:rsidTr="00DD0249">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DD0249" w:rsidRPr="00DD0249" w:rsidRDefault="00DD0249" w:rsidP="00DD0249">
            <w:pPr>
              <w:spacing w:after="0" w:line="240" w:lineRule="auto"/>
              <w:rPr>
                <w:rFonts w:ascii="Times New Roman" w:eastAsia="Times New Roman" w:hAnsi="Times New Roman" w:cs="Times New Roman"/>
                <w:color w:val="1B1C1D"/>
                <w:sz w:val="24"/>
                <w:szCs w:val="24"/>
              </w:rPr>
            </w:pPr>
            <w:r w:rsidRPr="00DD0249">
              <w:rPr>
                <w:rFonts w:ascii="Times New Roman" w:eastAsia="Times New Roman" w:hAnsi="Times New Roman" w:cs="Times New Roman"/>
                <w:b/>
                <w:bCs/>
                <w:color w:val="1B1C1D"/>
                <w:sz w:val="24"/>
                <w:szCs w:val="24"/>
                <w:bdr w:val="none" w:sz="0" w:space="0" w:color="auto" w:frame="1"/>
              </w:rPr>
              <w:t>Project 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DD0249" w:rsidRPr="00DD0249" w:rsidRDefault="00DD0249" w:rsidP="00DD0249">
            <w:pPr>
              <w:spacing w:after="0" w:line="240" w:lineRule="auto"/>
              <w:jc w:val="center"/>
              <w:rPr>
                <w:rFonts w:ascii="Times New Roman" w:eastAsia="Times New Roman" w:hAnsi="Times New Roman" w:cs="Times New Roman"/>
                <w:color w:val="1B1C1D"/>
                <w:sz w:val="24"/>
                <w:szCs w:val="24"/>
              </w:rPr>
            </w:pPr>
            <w:r>
              <w:rPr>
                <w:rFonts w:ascii="Times New Roman" w:eastAsia="Times New Roman" w:hAnsi="Times New Roman" w:cs="Times New Roman"/>
                <w:color w:val="1B1C1D"/>
                <w:sz w:val="24"/>
                <w:szCs w:val="24"/>
                <w:bdr w:val="none" w:sz="0" w:space="0" w:color="auto" w:frame="1"/>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DD0249" w:rsidRPr="00DD0249" w:rsidRDefault="00DD0249" w:rsidP="00DD0249">
            <w:pPr>
              <w:spacing w:after="0" w:line="240" w:lineRule="auto"/>
              <w:jc w:val="center"/>
              <w:rPr>
                <w:rFonts w:ascii="Times New Roman" w:eastAsia="Times New Roman" w:hAnsi="Times New Roman" w:cs="Times New Roman"/>
                <w:color w:val="1B1C1D"/>
                <w:sz w:val="24"/>
                <w:szCs w:val="24"/>
              </w:rPr>
            </w:pPr>
            <w:r>
              <w:rPr>
                <w:rFonts w:ascii="Times New Roman" w:eastAsia="Times New Roman" w:hAnsi="Times New Roman" w:cs="Times New Roman"/>
                <w:b/>
                <w:bCs/>
                <w:color w:val="1B1C1D"/>
                <w:sz w:val="24"/>
                <w:szCs w:val="24"/>
                <w:bdr w:val="none" w:sz="0" w:space="0" w:color="auto" w:frame="1"/>
              </w:rPr>
              <w:t>4.23</w:t>
            </w:r>
          </w:p>
        </w:tc>
      </w:tr>
    </w:tbl>
    <w:p w:rsidR="00DD0249" w:rsidRPr="00DD0249" w:rsidRDefault="00DD0249" w:rsidP="00DD0249">
      <w:pPr>
        <w:pStyle w:val="ListParagraph"/>
        <w:spacing w:line="360" w:lineRule="auto"/>
        <w:ind w:left="737" w:right="737"/>
        <w:rPr>
          <w:rFonts w:ascii="Arial" w:hAnsi="Arial" w:cs="Arial"/>
          <w:sz w:val="24"/>
          <w:szCs w:val="24"/>
        </w:rPr>
      </w:pPr>
      <w:r>
        <w:rPr>
          <w:rFonts w:ascii="Arial" w:hAnsi="Arial" w:cs="Arial"/>
          <w:sz w:val="24"/>
          <w:szCs w:val="24"/>
        </w:rPr>
        <w:t xml:space="preserve">So, </w:t>
      </w:r>
      <w:r w:rsidR="004F3AC4" w:rsidRPr="00DD0249">
        <w:rPr>
          <w:rFonts w:ascii="Arial" w:hAnsi="Arial" w:cs="Arial"/>
          <w:sz w:val="24"/>
          <w:szCs w:val="24"/>
        </w:rPr>
        <w:t>the</w:t>
      </w:r>
      <w:r w:rsidRPr="00DD0249">
        <w:rPr>
          <w:rFonts w:ascii="Arial" w:hAnsi="Arial" w:cs="Arial"/>
          <w:sz w:val="24"/>
          <w:szCs w:val="24"/>
        </w:rPr>
        <w:t xml:space="preserve"> final investment recommendation is to accept only Project C</w:t>
      </w:r>
    </w:p>
    <w:p w:rsidR="00753591" w:rsidRDefault="00753591" w:rsidP="00B20337">
      <w:pPr>
        <w:pStyle w:val="ListParagraph"/>
        <w:spacing w:line="360" w:lineRule="auto"/>
        <w:ind w:left="737" w:right="737"/>
        <w:jc w:val="both"/>
        <w:rPr>
          <w:rFonts w:ascii="Arial" w:hAnsi="Arial" w:cs="Arial"/>
          <w:sz w:val="24"/>
          <w:szCs w:val="24"/>
        </w:rPr>
      </w:pPr>
    </w:p>
    <w:p w:rsidR="00DD0249" w:rsidRDefault="00DD0249" w:rsidP="00265524">
      <w:pPr>
        <w:pStyle w:val="ListParagraph"/>
        <w:spacing w:line="360" w:lineRule="auto"/>
        <w:ind w:left="737" w:right="737"/>
        <w:jc w:val="center"/>
        <w:rPr>
          <w:rFonts w:ascii="Arial" w:hAnsi="Arial" w:cs="Arial"/>
          <w:sz w:val="24"/>
          <w:szCs w:val="24"/>
        </w:rPr>
      </w:pPr>
    </w:p>
    <w:p w:rsidR="00DD0249" w:rsidRDefault="00DD0249" w:rsidP="00265524">
      <w:pPr>
        <w:pStyle w:val="ListParagraph"/>
        <w:spacing w:line="360" w:lineRule="auto"/>
        <w:ind w:left="737" w:right="737"/>
        <w:jc w:val="center"/>
        <w:rPr>
          <w:rFonts w:ascii="Arial" w:hAnsi="Arial" w:cs="Arial"/>
          <w:sz w:val="24"/>
          <w:szCs w:val="24"/>
        </w:rPr>
      </w:pPr>
    </w:p>
    <w:p w:rsidR="00DD0249" w:rsidRDefault="00DD0249" w:rsidP="00DD0249">
      <w:pPr>
        <w:spacing w:line="360" w:lineRule="auto"/>
        <w:ind w:left="737" w:right="737"/>
        <w:jc w:val="center"/>
        <w:rPr>
          <w:rFonts w:ascii="Arial" w:hAnsi="Arial" w:cs="Arial"/>
          <w:b/>
          <w:i/>
          <w:sz w:val="24"/>
          <w:szCs w:val="24"/>
          <w:u w:val="single"/>
        </w:rPr>
      </w:pPr>
      <w:r w:rsidRPr="00DD0249">
        <w:rPr>
          <w:rFonts w:ascii="Arial" w:hAnsi="Arial" w:cs="Arial"/>
          <w:b/>
          <w:i/>
          <w:sz w:val="24"/>
          <w:szCs w:val="24"/>
          <w:u w:val="single"/>
        </w:rPr>
        <w:t xml:space="preserve">Table 4.4: </w:t>
      </w:r>
      <w:r>
        <w:rPr>
          <w:rFonts w:ascii="Arial" w:hAnsi="Arial" w:cs="Arial"/>
          <w:b/>
          <w:i/>
          <w:sz w:val="24"/>
          <w:szCs w:val="24"/>
          <w:u w:val="single"/>
        </w:rPr>
        <w:t>Final Recommendation</w:t>
      </w:r>
      <w:r w:rsidR="009D3B0B">
        <w:rPr>
          <w:rFonts w:ascii="Arial" w:hAnsi="Arial" w:cs="Arial"/>
          <w:b/>
          <w:i/>
          <w:sz w:val="24"/>
          <w:szCs w:val="24"/>
          <w:u w:val="single"/>
        </w:rPr>
        <w:t xml:space="preserve"> </w:t>
      </w:r>
      <w:r w:rsidR="009D3B0B">
        <w:rPr>
          <w:rFonts w:ascii="Arial" w:hAnsi="Arial" w:cs="Arial"/>
          <w:b/>
          <w:bCs/>
          <w:i/>
          <w:sz w:val="24"/>
          <w:szCs w:val="24"/>
          <w:u w:val="single"/>
          <w:lang w:val="en-GB"/>
        </w:rPr>
        <w:t>(</w:t>
      </w:r>
      <w:proofErr w:type="spellStart"/>
      <w:r w:rsidR="009D3B0B">
        <w:rPr>
          <w:rFonts w:ascii="Arial" w:hAnsi="Arial" w:cs="Arial"/>
          <w:b/>
          <w:bCs/>
          <w:i/>
          <w:sz w:val="24"/>
          <w:szCs w:val="24"/>
          <w:u w:val="single"/>
          <w:lang w:val="en-GB"/>
        </w:rPr>
        <w:t>Self Sourced</w:t>
      </w:r>
      <w:proofErr w:type="spellEnd"/>
      <w:r w:rsidR="009D3B0B">
        <w:rPr>
          <w:rFonts w:ascii="Arial" w:hAnsi="Arial" w:cs="Arial"/>
          <w:b/>
          <w:bCs/>
          <w:i/>
          <w:sz w:val="24"/>
          <w:szCs w:val="24"/>
          <w:u w:val="single"/>
          <w:lang w:val="en-GB"/>
        </w:rPr>
        <w:t>)</w:t>
      </w:r>
    </w:p>
    <w:p w:rsidR="00170C01" w:rsidRPr="00170C01" w:rsidRDefault="00170C01" w:rsidP="00170C01">
      <w:pPr>
        <w:pStyle w:val="NoSpacing"/>
        <w:spacing w:line="360" w:lineRule="auto"/>
        <w:ind w:left="737" w:right="737"/>
        <w:rPr>
          <w:rFonts w:ascii="Arial" w:hAnsi="Arial" w:cs="Arial"/>
          <w:b/>
          <w:i/>
          <w:sz w:val="24"/>
          <w:u w:val="single"/>
        </w:rPr>
      </w:pPr>
      <w:r w:rsidRPr="00170C01">
        <w:rPr>
          <w:rFonts w:ascii="Arial" w:hAnsi="Arial" w:cs="Arial"/>
          <w:b/>
          <w:sz w:val="24"/>
          <w:u w:val="single"/>
        </w:rPr>
        <w:t>Justification of Recommendation</w:t>
      </w:r>
    </w:p>
    <w:p w:rsidR="00170C01" w:rsidRPr="00170C01" w:rsidRDefault="00170C01" w:rsidP="00170C01">
      <w:pPr>
        <w:pStyle w:val="NoSpacing"/>
        <w:spacing w:line="360" w:lineRule="auto"/>
        <w:ind w:left="737" w:right="737"/>
        <w:rPr>
          <w:rFonts w:ascii="Arial" w:hAnsi="Arial" w:cs="Arial"/>
          <w:sz w:val="24"/>
        </w:rPr>
      </w:pPr>
      <w:r w:rsidRPr="00170C01">
        <w:rPr>
          <w:rFonts w:ascii="Arial" w:hAnsi="Arial" w:cs="Arial"/>
          <w:sz w:val="24"/>
        </w:rPr>
        <w:t>The recommendation to only accept Project C is primarily supported by its superior future value generation, which specifically supports the urgent need to bring General Electronics' profitability and equity base back to life and the lowest risk, given the firm’s troubled liquidity position.</w:t>
      </w:r>
    </w:p>
    <w:p w:rsidR="00170C01" w:rsidRPr="00170C01" w:rsidRDefault="00170C01" w:rsidP="00170C01">
      <w:pPr>
        <w:pStyle w:val="NormalWeb"/>
        <w:spacing w:line="360" w:lineRule="auto"/>
        <w:ind w:left="737" w:right="737"/>
        <w:jc w:val="both"/>
        <w:rPr>
          <w:rFonts w:ascii="Arial" w:hAnsi="Arial" w:cs="Arial"/>
        </w:rPr>
      </w:pPr>
      <w:r w:rsidRPr="00170C01">
        <w:rPr>
          <w:rFonts w:ascii="Arial" w:hAnsi="Arial" w:cs="Arial"/>
        </w:rPr>
        <w:t>Financial Justification (Profitability and solvency are paramount)</w:t>
      </w:r>
    </w:p>
    <w:p w:rsidR="00170C01" w:rsidRPr="00170C01" w:rsidRDefault="00170C01" w:rsidP="00170C01">
      <w:pPr>
        <w:pStyle w:val="NormalWeb"/>
        <w:spacing w:line="360" w:lineRule="auto"/>
        <w:ind w:left="737" w:right="737"/>
        <w:jc w:val="both"/>
        <w:rPr>
          <w:rFonts w:ascii="Arial" w:hAnsi="Arial" w:cs="Arial"/>
        </w:rPr>
      </w:pPr>
      <w:r w:rsidRPr="00170C01">
        <w:rPr>
          <w:rFonts w:ascii="Arial" w:hAnsi="Arial" w:cs="Arial"/>
        </w:rPr>
        <w:lastRenderedPageBreak/>
        <w:t>General Electronics is currently suffering from extreme negative profitability, indicating by the significant negative profit it is generating and an ROE of -14.47%. The company's primary goal must be to maximize future wealth generation.</w:t>
      </w:r>
    </w:p>
    <w:p w:rsidR="00170C01" w:rsidRPr="00170C01" w:rsidRDefault="00170C01" w:rsidP="00170C01">
      <w:pPr>
        <w:pStyle w:val="NormalWeb"/>
        <w:spacing w:line="360" w:lineRule="auto"/>
        <w:ind w:left="737" w:right="737"/>
        <w:jc w:val="both"/>
        <w:rPr>
          <w:rFonts w:ascii="Arial" w:hAnsi="Arial" w:cs="Arial"/>
        </w:rPr>
      </w:pPr>
      <w:r w:rsidRPr="00170C01">
        <w:rPr>
          <w:rFonts w:ascii="Arial" w:hAnsi="Arial" w:cs="Arial"/>
        </w:rPr>
        <w:t>Value Maximized (NPV): Project C has the maximum NPV of £4.23m which is significantly larger than Project A's of £1.32m. As we are working to maximize shareholder wealth, the NPV is the direct ex</w:t>
      </w:r>
      <w:r w:rsidR="004F3AC4">
        <w:rPr>
          <w:rFonts w:ascii="Arial" w:hAnsi="Arial" w:cs="Arial"/>
        </w:rPr>
        <w:t>pected increase in firm value of</w:t>
      </w:r>
      <w:r w:rsidRPr="00170C01">
        <w:rPr>
          <w:rFonts w:ascii="Arial" w:hAnsi="Arial" w:cs="Arial"/>
        </w:rPr>
        <w:t xml:space="preserve"> undertaking a project; therefore selecting Project C has the highest contribution to do away with the previous loss and restore equity as the first most critical step to improving solvency.</w:t>
      </w:r>
    </w:p>
    <w:p w:rsidR="00170C01" w:rsidRPr="00170C01" w:rsidRDefault="00170C01" w:rsidP="00170C01">
      <w:pPr>
        <w:pStyle w:val="NormalWeb"/>
        <w:spacing w:line="360" w:lineRule="auto"/>
        <w:ind w:left="737" w:right="737"/>
        <w:jc w:val="both"/>
        <w:rPr>
          <w:rFonts w:ascii="Arial" w:hAnsi="Arial" w:cs="Arial"/>
        </w:rPr>
      </w:pPr>
      <w:r w:rsidRPr="00170C01">
        <w:rPr>
          <w:rFonts w:ascii="Arial" w:hAnsi="Arial" w:cs="Arial"/>
        </w:rPr>
        <w:t xml:space="preserve">Efficiency of Investment (PI): Project C has the greatest Profitability Index relative to Project </w:t>
      </w:r>
      <w:proofErr w:type="gramStart"/>
      <w:r w:rsidRPr="00170C01">
        <w:rPr>
          <w:rFonts w:ascii="Arial" w:hAnsi="Arial" w:cs="Arial"/>
        </w:rPr>
        <w:t>A</w:t>
      </w:r>
      <w:proofErr w:type="gramEnd"/>
      <w:r w:rsidRPr="00170C01">
        <w:rPr>
          <w:rFonts w:ascii="Arial" w:hAnsi="Arial" w:cs="Arial"/>
        </w:rPr>
        <w:t>, meaning the present value returns £1.085 for every £1 invested in Project C compared to 1.049 for Project A. This is very important in a capital rationing context, where money has to be utilized in the most effective manner.</w:t>
      </w:r>
    </w:p>
    <w:p w:rsidR="00170C01" w:rsidRPr="00170C01" w:rsidRDefault="00170C01" w:rsidP="00170C01">
      <w:pPr>
        <w:pStyle w:val="NormalWeb"/>
        <w:ind w:left="737" w:right="737"/>
        <w:jc w:val="both"/>
        <w:rPr>
          <w:rFonts w:ascii="Arial" w:hAnsi="Arial" w:cs="Arial"/>
          <w:b/>
          <w:u w:val="single"/>
        </w:rPr>
      </w:pPr>
      <w:r w:rsidRPr="00170C01">
        <w:rPr>
          <w:rFonts w:ascii="Arial" w:hAnsi="Arial" w:cs="Arial"/>
          <w:b/>
          <w:u w:val="single"/>
        </w:rPr>
        <w:t>Justification of Liquidity and Risk</w:t>
      </w:r>
      <w:r>
        <w:rPr>
          <w:rFonts w:ascii="Arial" w:hAnsi="Arial" w:cs="Arial"/>
          <w:b/>
          <w:u w:val="single"/>
        </w:rPr>
        <w:t xml:space="preserve"> </w:t>
      </w:r>
    </w:p>
    <w:p w:rsidR="00170C01" w:rsidRPr="00170C01" w:rsidRDefault="00170C01" w:rsidP="00170C01">
      <w:pPr>
        <w:pStyle w:val="ListParagraph"/>
        <w:spacing w:line="360" w:lineRule="auto"/>
        <w:ind w:left="737" w:right="737"/>
        <w:jc w:val="both"/>
        <w:rPr>
          <w:rFonts w:ascii="Arial" w:eastAsia="Times New Roman" w:hAnsi="Arial" w:cs="Arial"/>
          <w:sz w:val="24"/>
          <w:szCs w:val="24"/>
        </w:rPr>
      </w:pPr>
      <w:r w:rsidRPr="00170C01">
        <w:rPr>
          <w:rFonts w:ascii="Arial" w:eastAsia="Times New Roman" w:hAnsi="Arial" w:cs="Arial"/>
          <w:sz w:val="24"/>
          <w:szCs w:val="24"/>
        </w:rPr>
        <w:t xml:space="preserve">General Electronics is currently in a tight liquidity spot, as indicated by a quick ratio of 1.03:1, and is stretching payments with 128.7 Payables Days, meaning it should be cautious of taking on more projects that could strain cash flow or expose the company to significant short-term risk. </w:t>
      </w:r>
      <w:r w:rsidR="004F3AC4">
        <w:rPr>
          <w:rFonts w:ascii="Arial" w:hAnsi="Arial" w:cs="Arial"/>
          <w:color w:val="2C3E50"/>
          <w:sz w:val="23"/>
          <w:szCs w:val="23"/>
          <w:shd w:val="clear" w:color="auto" w:fill="FFFFFF"/>
        </w:rPr>
        <w:t>(IG, 2019)</w:t>
      </w:r>
    </w:p>
    <w:p w:rsidR="00170C01" w:rsidRPr="00170C01" w:rsidRDefault="00170C01" w:rsidP="00170C01">
      <w:pPr>
        <w:pStyle w:val="ListParagraph"/>
        <w:spacing w:line="360" w:lineRule="auto"/>
        <w:ind w:left="737" w:right="737"/>
        <w:jc w:val="both"/>
        <w:rPr>
          <w:rFonts w:ascii="Arial" w:eastAsia="Times New Roman" w:hAnsi="Arial" w:cs="Arial"/>
          <w:sz w:val="24"/>
          <w:szCs w:val="24"/>
        </w:rPr>
      </w:pPr>
      <w:r w:rsidRPr="00170C01">
        <w:rPr>
          <w:rFonts w:ascii="Arial" w:eastAsia="Times New Roman" w:hAnsi="Arial" w:cs="Arial"/>
          <w:sz w:val="24"/>
          <w:szCs w:val="24"/>
        </w:rPr>
        <w:t>Risk Profile (Cash Flow volatility):  Project C cash flows are heavily back loaded in Years 4 and 5 compared with Project A that has steady cash flows. Project A suggested a slightly quicker Payback Period 3.40 years compared with 3.60 years for C, however, the liquidity advantage is immaterial compared with Project C's larger profit. An important note, all option project B is rejected on the grounds of negative NPV, with the £60m capital rationing constraint meaning you can’t accept both project A and project C which is £90m in total. So, it must choose one, and project C maximizes long term value to shareholders C is worth the choice even if it appears the repayment is marginally slower in the payback period.</w:t>
      </w:r>
      <w:r w:rsidR="004F3AC4" w:rsidRPr="004F3AC4">
        <w:rPr>
          <w:rFonts w:ascii="Arial" w:hAnsi="Arial" w:cs="Arial"/>
          <w:color w:val="2C3E50"/>
          <w:sz w:val="23"/>
          <w:szCs w:val="23"/>
          <w:shd w:val="clear" w:color="auto" w:fill="FFFFFF"/>
        </w:rPr>
        <w:t xml:space="preserve"> </w:t>
      </w:r>
      <w:r w:rsidR="004F3AC4">
        <w:rPr>
          <w:rFonts w:ascii="Arial" w:hAnsi="Arial" w:cs="Arial"/>
          <w:color w:val="2C3E50"/>
          <w:sz w:val="23"/>
          <w:szCs w:val="23"/>
          <w:shd w:val="clear" w:color="auto" w:fill="FFFFFF"/>
        </w:rPr>
        <w:t>(IG, 2019)</w:t>
      </w:r>
    </w:p>
    <w:p w:rsidR="009D3B0B" w:rsidRPr="00582432" w:rsidRDefault="00170C01" w:rsidP="00582432">
      <w:pPr>
        <w:pStyle w:val="ListParagraph"/>
        <w:spacing w:line="360" w:lineRule="auto"/>
        <w:ind w:left="737" w:right="737"/>
        <w:jc w:val="both"/>
        <w:rPr>
          <w:rFonts w:ascii="Arial" w:hAnsi="Arial" w:cs="Arial"/>
          <w:sz w:val="24"/>
          <w:szCs w:val="24"/>
        </w:rPr>
      </w:pPr>
      <w:r w:rsidRPr="00170C01">
        <w:rPr>
          <w:rFonts w:ascii="Arial" w:eastAsia="Times New Roman" w:hAnsi="Arial" w:cs="Arial"/>
          <w:sz w:val="24"/>
          <w:szCs w:val="24"/>
        </w:rPr>
        <w:t xml:space="preserve">Budget Constraint: The £60m capital rationing constraint makes a choice between project A and project C necessary. Based on the available capital if project C is accepted the non-released £10m is acceptable as opposed to another decision point of project </w:t>
      </w:r>
      <w:proofErr w:type="gramStart"/>
      <w:r w:rsidRPr="00170C01">
        <w:rPr>
          <w:rFonts w:ascii="Arial" w:eastAsia="Times New Roman" w:hAnsi="Arial" w:cs="Arial"/>
          <w:sz w:val="24"/>
          <w:szCs w:val="24"/>
        </w:rPr>
        <w:t>A</w:t>
      </w:r>
      <w:proofErr w:type="gramEnd"/>
      <w:r w:rsidRPr="00170C01">
        <w:rPr>
          <w:rFonts w:ascii="Arial" w:eastAsia="Times New Roman" w:hAnsi="Arial" w:cs="Arial"/>
          <w:sz w:val="24"/>
          <w:szCs w:val="24"/>
        </w:rPr>
        <w:t xml:space="preserve"> which would be an unutilized £20m. Accepting project c is ideal because project C offers a better total value added benefits than project A.</w:t>
      </w:r>
      <w:r>
        <w:rPr>
          <w:rFonts w:ascii="Arial" w:eastAsia="Times New Roman" w:hAnsi="Arial" w:cs="Arial"/>
          <w:sz w:val="24"/>
          <w:szCs w:val="24"/>
        </w:rPr>
        <w:t xml:space="preserve"> (Self-Source)</w:t>
      </w:r>
    </w:p>
    <w:p w:rsidR="004F5E2F" w:rsidRPr="004F5E2F" w:rsidRDefault="004F5E2F" w:rsidP="00265524">
      <w:pPr>
        <w:pStyle w:val="ListParagraph"/>
        <w:spacing w:line="360" w:lineRule="auto"/>
        <w:ind w:left="737" w:right="737"/>
        <w:jc w:val="center"/>
        <w:rPr>
          <w:rFonts w:ascii="Arial" w:hAnsi="Arial" w:cs="Arial"/>
          <w:b/>
          <w:sz w:val="24"/>
          <w:szCs w:val="24"/>
          <w:u w:val="single"/>
        </w:rPr>
      </w:pPr>
      <w:r w:rsidRPr="004F5E2F">
        <w:rPr>
          <w:rFonts w:ascii="Arial" w:hAnsi="Arial" w:cs="Arial"/>
          <w:b/>
          <w:sz w:val="24"/>
          <w:szCs w:val="24"/>
          <w:u w:val="single"/>
        </w:rPr>
        <w:lastRenderedPageBreak/>
        <w:t>Conclusion</w:t>
      </w:r>
    </w:p>
    <w:p w:rsidR="004F5E2F" w:rsidRPr="0057353B" w:rsidRDefault="004F5E2F" w:rsidP="0057353B">
      <w:pPr>
        <w:pStyle w:val="ListParagraph"/>
        <w:spacing w:line="360" w:lineRule="auto"/>
        <w:ind w:left="737" w:right="737"/>
        <w:jc w:val="both"/>
        <w:rPr>
          <w:rFonts w:ascii="Arial" w:hAnsi="Arial" w:cs="Arial"/>
          <w:sz w:val="24"/>
          <w:szCs w:val="24"/>
        </w:rPr>
      </w:pPr>
      <w:r w:rsidRPr="004F5E2F">
        <w:rPr>
          <w:rFonts w:ascii="Arial" w:hAnsi="Arial" w:cs="Arial"/>
          <w:sz w:val="24"/>
          <w:szCs w:val="24"/>
        </w:rPr>
        <w:t>General Electronics is at a critical but recoverable juncture. All five years of analyzing failed profitability, liquidity, leverage, and Z-Score firmly in the grey suggest the way forward is clear; release cash by improving the cash conversion cycle, and also deleverage the balance sheet through specific divestitures and liability management, while re-establishing disciplines around earnings. Fund project C that has the better NPV/PI and IRR spread, and reject and defer A &amp; B respectively IF you have rationed capital. As part of an overall stage gated funding process hedge or prototype AM with established ethical vendor and workforce protection. Headers that will signal success are - CCC -50 days, positive interest coverage, D/E/0.8, and Z/3.0</w:t>
      </w:r>
      <w:r w:rsidR="0057353B">
        <w:rPr>
          <w:rFonts w:ascii="Arial" w:hAnsi="Arial" w:cs="Arial"/>
          <w:sz w:val="24"/>
          <w:szCs w:val="24"/>
        </w:rPr>
        <w:t xml:space="preserve"> </w:t>
      </w:r>
      <w:r w:rsidRPr="0057353B">
        <w:rPr>
          <w:rFonts w:ascii="Arial" w:hAnsi="Arial" w:cs="Arial"/>
          <w:sz w:val="24"/>
          <w:szCs w:val="24"/>
        </w:rPr>
        <w:t>Through responsible governance and transparency the company can return to solvency and scalability and responsible growth.</w:t>
      </w: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57353B" w:rsidRDefault="0057353B" w:rsidP="00265524">
      <w:pPr>
        <w:pStyle w:val="ListParagraph"/>
        <w:spacing w:line="360" w:lineRule="auto"/>
        <w:ind w:left="737" w:right="737"/>
        <w:jc w:val="center"/>
        <w:rPr>
          <w:rFonts w:ascii="Arial" w:hAnsi="Arial" w:cs="Arial"/>
          <w:sz w:val="24"/>
          <w:szCs w:val="24"/>
        </w:rPr>
      </w:pPr>
    </w:p>
    <w:p w:rsidR="00265524" w:rsidRDefault="00265524" w:rsidP="00265524">
      <w:pPr>
        <w:pStyle w:val="ListParagraph"/>
        <w:spacing w:line="360" w:lineRule="auto"/>
        <w:ind w:left="737" w:right="737"/>
        <w:jc w:val="center"/>
        <w:rPr>
          <w:rFonts w:ascii="Arial" w:hAnsi="Arial" w:cs="Arial"/>
          <w:sz w:val="24"/>
          <w:szCs w:val="24"/>
        </w:rPr>
      </w:pPr>
      <w:r>
        <w:rPr>
          <w:rFonts w:ascii="Arial" w:hAnsi="Arial" w:cs="Arial"/>
          <w:sz w:val="24"/>
          <w:szCs w:val="24"/>
        </w:rPr>
        <w:lastRenderedPageBreak/>
        <w:t>References</w:t>
      </w:r>
    </w:p>
    <w:p w:rsidR="00265524" w:rsidRPr="00265524" w:rsidRDefault="00265524" w:rsidP="00265524">
      <w:pPr>
        <w:pStyle w:val="BodyText"/>
        <w:ind w:left="737" w:right="737"/>
        <w:jc w:val="both"/>
        <w:rPr>
          <w:rFonts w:ascii="Arial" w:hAnsi="Arial" w:cs="Arial"/>
        </w:rPr>
      </w:pPr>
      <w:r w:rsidRPr="00265524">
        <w:rPr>
          <w:rFonts w:ascii="Arial" w:hAnsi="Arial" w:cs="Arial"/>
        </w:rPr>
        <w:t>Fernando, J. (2025). </w:t>
      </w:r>
      <w:r w:rsidRPr="00265524">
        <w:rPr>
          <w:rFonts w:ascii="Arial" w:hAnsi="Arial" w:cs="Arial"/>
          <w:iCs/>
        </w:rPr>
        <w:t>Current Ratio Explained with Formula and Examples</w:t>
      </w:r>
      <w:r w:rsidRPr="00265524">
        <w:rPr>
          <w:rFonts w:ascii="Arial" w:hAnsi="Arial" w:cs="Arial"/>
        </w:rPr>
        <w:t>. [</w:t>
      </w:r>
      <w:proofErr w:type="gramStart"/>
      <w:r w:rsidRPr="00265524">
        <w:rPr>
          <w:rFonts w:ascii="Arial" w:hAnsi="Arial" w:cs="Arial"/>
        </w:rPr>
        <w:t>online</w:t>
      </w:r>
      <w:proofErr w:type="gramEnd"/>
      <w:r w:rsidRPr="00265524">
        <w:rPr>
          <w:rFonts w:ascii="Arial" w:hAnsi="Arial" w:cs="Arial"/>
        </w:rPr>
        <w:t xml:space="preserve">] Investopedia. Available at: </w:t>
      </w:r>
      <w:hyperlink r:id="rId22" w:history="1">
        <w:r w:rsidRPr="00265524">
          <w:rPr>
            <w:rStyle w:val="Hyperlink"/>
            <w:rFonts w:ascii="Arial" w:hAnsi="Arial" w:cs="Arial"/>
          </w:rPr>
          <w:t>https://www.investopedia.com/terms/c/currentratio.asp</w:t>
        </w:r>
      </w:hyperlink>
      <w:r w:rsidRPr="00265524">
        <w:rPr>
          <w:rFonts w:ascii="Arial" w:hAnsi="Arial" w:cs="Arial"/>
        </w:rPr>
        <w:t>.</w:t>
      </w:r>
    </w:p>
    <w:p w:rsidR="00265524" w:rsidRPr="00265524" w:rsidRDefault="00265524" w:rsidP="00265524">
      <w:pPr>
        <w:pStyle w:val="BodyText"/>
        <w:ind w:left="737" w:right="737"/>
        <w:jc w:val="both"/>
        <w:rPr>
          <w:rFonts w:ascii="Arial" w:hAnsi="Arial" w:cs="Arial"/>
        </w:rPr>
      </w:pPr>
    </w:p>
    <w:p w:rsidR="00265524" w:rsidRPr="00265524" w:rsidRDefault="00372BFD" w:rsidP="00265524">
      <w:pPr>
        <w:pStyle w:val="BodyText"/>
        <w:ind w:left="737" w:right="737"/>
        <w:jc w:val="both"/>
        <w:rPr>
          <w:rFonts w:ascii="Arial" w:hAnsi="Arial" w:cs="Arial"/>
        </w:rPr>
      </w:pPr>
      <w:r>
        <w:rPr>
          <w:rFonts w:ascii="Arial" w:hAnsi="Arial" w:cs="Arial"/>
        </w:rPr>
        <w:t>‌</w:t>
      </w:r>
      <w:r w:rsidR="00265524" w:rsidRPr="00265524">
        <w:rPr>
          <w:rFonts w:ascii="Arial" w:hAnsi="Arial" w:cs="Arial"/>
        </w:rPr>
        <w:t>Seth, S. (2025). </w:t>
      </w:r>
      <w:r w:rsidR="00265524" w:rsidRPr="00265524">
        <w:rPr>
          <w:rFonts w:ascii="Arial" w:hAnsi="Arial" w:cs="Arial"/>
          <w:iCs/>
        </w:rPr>
        <w:t>Quick Ratio Formula with Examples, Pros and Cons</w:t>
      </w:r>
      <w:r w:rsidR="00265524" w:rsidRPr="00265524">
        <w:rPr>
          <w:rFonts w:ascii="Arial" w:hAnsi="Arial" w:cs="Arial"/>
        </w:rPr>
        <w:t>. [online] Investopedia. Available at: https://www.investopedia.com/terms/q/quickratio.asp.</w:t>
      </w:r>
    </w:p>
    <w:p w:rsidR="00265524" w:rsidRPr="00265524" w:rsidRDefault="00265524" w:rsidP="00265524">
      <w:pPr>
        <w:pStyle w:val="BodyText"/>
        <w:ind w:left="737" w:right="737"/>
        <w:jc w:val="both"/>
        <w:rPr>
          <w:rFonts w:ascii="Arial" w:hAnsi="Arial" w:cs="Arial"/>
        </w:rPr>
      </w:pPr>
      <w:r w:rsidRPr="00265524">
        <w:rPr>
          <w:rFonts w:ascii="Arial" w:hAnsi="Arial" w:cs="Arial"/>
        </w:rPr>
        <w:t>‌</w:t>
      </w:r>
    </w:p>
    <w:p w:rsidR="00265524" w:rsidRPr="00265524" w:rsidRDefault="00265524" w:rsidP="00265524">
      <w:pPr>
        <w:pStyle w:val="BodyText"/>
        <w:ind w:left="737" w:right="737"/>
        <w:jc w:val="both"/>
        <w:rPr>
          <w:rFonts w:ascii="Arial" w:hAnsi="Arial" w:cs="Arial"/>
        </w:rPr>
      </w:pPr>
      <w:r w:rsidRPr="00265524">
        <w:rPr>
          <w:rFonts w:ascii="Arial" w:hAnsi="Arial" w:cs="Arial"/>
        </w:rPr>
        <w:t>Allianz (2024). </w:t>
      </w:r>
      <w:r w:rsidRPr="00265524">
        <w:rPr>
          <w:rFonts w:ascii="Arial" w:hAnsi="Arial" w:cs="Arial"/>
          <w:iCs/>
        </w:rPr>
        <w:t>Gearing ratio: definition, types &amp; calculation method</w:t>
      </w:r>
      <w:r w:rsidRPr="00265524">
        <w:rPr>
          <w:rFonts w:ascii="Arial" w:hAnsi="Arial" w:cs="Arial"/>
        </w:rPr>
        <w:t>. [</w:t>
      </w:r>
      <w:proofErr w:type="gramStart"/>
      <w:r w:rsidRPr="00265524">
        <w:rPr>
          <w:rFonts w:ascii="Arial" w:hAnsi="Arial" w:cs="Arial"/>
        </w:rPr>
        <w:t>online</w:t>
      </w:r>
      <w:proofErr w:type="gramEnd"/>
      <w:r w:rsidRPr="00265524">
        <w:rPr>
          <w:rFonts w:ascii="Arial" w:hAnsi="Arial" w:cs="Arial"/>
        </w:rPr>
        <w:t>] Corporate. Available at: https://www.allianz-trade.com/en_global/news-insights/business-tips-and-trade-advice/gearing-ratio-definition-types-calculation-method.html.</w:t>
      </w:r>
    </w:p>
    <w:p w:rsidR="00265524" w:rsidRPr="00265524" w:rsidRDefault="00265524" w:rsidP="00265524">
      <w:pPr>
        <w:pStyle w:val="BodyText"/>
        <w:ind w:left="737" w:right="737"/>
        <w:jc w:val="both"/>
        <w:rPr>
          <w:rFonts w:ascii="Arial" w:hAnsi="Arial" w:cs="Arial"/>
        </w:rPr>
      </w:pPr>
      <w:r w:rsidRPr="00265524">
        <w:rPr>
          <w:rFonts w:ascii="Arial" w:hAnsi="Arial" w:cs="Arial"/>
        </w:rPr>
        <w:t>‌</w:t>
      </w:r>
    </w:p>
    <w:p w:rsidR="00265524" w:rsidRPr="00265524" w:rsidRDefault="00265524" w:rsidP="00265524">
      <w:pPr>
        <w:pStyle w:val="BodyText"/>
        <w:ind w:left="737" w:right="737"/>
        <w:jc w:val="both"/>
        <w:rPr>
          <w:rFonts w:ascii="Arial" w:hAnsi="Arial" w:cs="Arial"/>
        </w:rPr>
      </w:pPr>
      <w:r w:rsidRPr="00265524">
        <w:rPr>
          <w:rFonts w:ascii="Arial" w:hAnsi="Arial" w:cs="Arial"/>
        </w:rPr>
        <w:t>Hargrave, M. (2024). </w:t>
      </w:r>
      <w:r w:rsidRPr="00265524">
        <w:rPr>
          <w:rFonts w:ascii="Arial" w:hAnsi="Arial" w:cs="Arial"/>
          <w:iCs/>
        </w:rPr>
        <w:t>Debt-to-Capital Ratio: Definition, Formula, and Example</w:t>
      </w:r>
      <w:r w:rsidRPr="00265524">
        <w:rPr>
          <w:rFonts w:ascii="Arial" w:hAnsi="Arial" w:cs="Arial"/>
        </w:rPr>
        <w:t>. [</w:t>
      </w:r>
      <w:proofErr w:type="gramStart"/>
      <w:r w:rsidRPr="00265524">
        <w:rPr>
          <w:rFonts w:ascii="Arial" w:hAnsi="Arial" w:cs="Arial"/>
        </w:rPr>
        <w:t>online</w:t>
      </w:r>
      <w:proofErr w:type="gramEnd"/>
      <w:r w:rsidRPr="00265524">
        <w:rPr>
          <w:rFonts w:ascii="Arial" w:hAnsi="Arial" w:cs="Arial"/>
        </w:rPr>
        <w:t xml:space="preserve">] Investopedia. Available at: </w:t>
      </w:r>
      <w:hyperlink r:id="rId23" w:history="1">
        <w:r w:rsidRPr="00265524">
          <w:rPr>
            <w:rStyle w:val="Hyperlink"/>
            <w:rFonts w:ascii="Arial" w:hAnsi="Arial" w:cs="Arial"/>
          </w:rPr>
          <w:t>https://www.investopedia.com/terms/d/debt-to-capitalratio.asp</w:t>
        </w:r>
      </w:hyperlink>
      <w:r w:rsidRPr="00265524">
        <w:rPr>
          <w:rFonts w:ascii="Arial" w:hAnsi="Arial" w:cs="Arial"/>
        </w:rPr>
        <w:t>.</w:t>
      </w:r>
    </w:p>
    <w:p w:rsidR="00265524" w:rsidRPr="00265524" w:rsidRDefault="00265524" w:rsidP="00265524">
      <w:pPr>
        <w:pStyle w:val="BodyText"/>
        <w:ind w:left="737" w:right="737"/>
        <w:jc w:val="both"/>
        <w:rPr>
          <w:rFonts w:ascii="Arial" w:hAnsi="Arial" w:cs="Arial"/>
        </w:rPr>
      </w:pPr>
    </w:p>
    <w:p w:rsidR="00265524" w:rsidRPr="00265524" w:rsidRDefault="00265524" w:rsidP="00265524">
      <w:pPr>
        <w:pStyle w:val="BodyText"/>
        <w:ind w:left="737" w:right="737"/>
        <w:jc w:val="both"/>
        <w:rPr>
          <w:rFonts w:ascii="Arial" w:hAnsi="Arial" w:cs="Arial"/>
        </w:rPr>
      </w:pPr>
      <w:r w:rsidRPr="00265524">
        <w:rPr>
          <w:rFonts w:ascii="Arial" w:hAnsi="Arial" w:cs="Arial"/>
        </w:rPr>
        <w:t>‌CFI Team (2023). </w:t>
      </w:r>
      <w:r w:rsidRPr="00265524">
        <w:rPr>
          <w:rFonts w:ascii="Arial" w:hAnsi="Arial" w:cs="Arial"/>
          <w:iCs/>
        </w:rPr>
        <w:t>Altman’s Z-Score Model</w:t>
      </w:r>
      <w:r w:rsidRPr="00265524">
        <w:rPr>
          <w:rFonts w:ascii="Arial" w:hAnsi="Arial" w:cs="Arial"/>
        </w:rPr>
        <w:t>. [</w:t>
      </w:r>
      <w:proofErr w:type="gramStart"/>
      <w:r w:rsidRPr="00265524">
        <w:rPr>
          <w:rFonts w:ascii="Arial" w:hAnsi="Arial" w:cs="Arial"/>
        </w:rPr>
        <w:t>online</w:t>
      </w:r>
      <w:proofErr w:type="gramEnd"/>
      <w:r w:rsidRPr="00265524">
        <w:rPr>
          <w:rFonts w:ascii="Arial" w:hAnsi="Arial" w:cs="Arial"/>
        </w:rPr>
        <w:t xml:space="preserve">] Corporate Finance Institute. Available at: </w:t>
      </w:r>
      <w:hyperlink r:id="rId24" w:history="1">
        <w:r w:rsidRPr="00265524">
          <w:rPr>
            <w:rStyle w:val="Hyperlink"/>
            <w:rFonts w:ascii="Arial" w:hAnsi="Arial" w:cs="Arial"/>
          </w:rPr>
          <w:t>https://corporatefinanceinstitute.com/resources/commercial-lending/altmans-z-score-model/</w:t>
        </w:r>
      </w:hyperlink>
      <w:r w:rsidRPr="00265524">
        <w:rPr>
          <w:rFonts w:ascii="Arial" w:hAnsi="Arial" w:cs="Arial"/>
        </w:rPr>
        <w:t>.</w:t>
      </w:r>
    </w:p>
    <w:p w:rsidR="00265524" w:rsidRPr="00265524" w:rsidRDefault="00265524" w:rsidP="00265524">
      <w:pPr>
        <w:pStyle w:val="BodyText"/>
        <w:ind w:left="737" w:right="737"/>
        <w:jc w:val="both"/>
        <w:rPr>
          <w:rFonts w:ascii="Arial" w:hAnsi="Arial" w:cs="Arial"/>
        </w:rPr>
      </w:pPr>
    </w:p>
    <w:p w:rsidR="00265524" w:rsidRPr="00265524" w:rsidRDefault="00265524" w:rsidP="00265524">
      <w:pPr>
        <w:pStyle w:val="BodyText"/>
        <w:ind w:left="737" w:right="737"/>
        <w:jc w:val="both"/>
        <w:rPr>
          <w:rFonts w:ascii="Arial" w:hAnsi="Arial" w:cs="Arial"/>
        </w:rPr>
      </w:pPr>
      <w:r w:rsidRPr="00265524">
        <w:rPr>
          <w:rFonts w:ascii="Arial" w:hAnsi="Arial" w:cs="Arial"/>
        </w:rPr>
        <w:t>‌ Hayes, A. (2024). </w:t>
      </w:r>
      <w:r w:rsidRPr="00265524">
        <w:rPr>
          <w:rFonts w:ascii="Arial" w:hAnsi="Arial" w:cs="Arial"/>
          <w:iCs/>
        </w:rPr>
        <w:t>Cash Conversion Cycle - CCC</w:t>
      </w:r>
      <w:r w:rsidRPr="00265524">
        <w:rPr>
          <w:rFonts w:ascii="Arial" w:hAnsi="Arial" w:cs="Arial"/>
        </w:rPr>
        <w:t>. [</w:t>
      </w:r>
      <w:proofErr w:type="gramStart"/>
      <w:r w:rsidRPr="00265524">
        <w:rPr>
          <w:rFonts w:ascii="Arial" w:hAnsi="Arial" w:cs="Arial"/>
        </w:rPr>
        <w:t>online</w:t>
      </w:r>
      <w:proofErr w:type="gramEnd"/>
      <w:r w:rsidRPr="00265524">
        <w:rPr>
          <w:rFonts w:ascii="Arial" w:hAnsi="Arial" w:cs="Arial"/>
        </w:rPr>
        <w:t>] Investopedia. Available at: https://www.investopedia.com/terms/c/cashconversioncycle.asp.</w:t>
      </w:r>
    </w:p>
    <w:p w:rsidR="00265524" w:rsidRPr="00265524" w:rsidRDefault="00265524" w:rsidP="00265524">
      <w:pPr>
        <w:pStyle w:val="BodyText"/>
        <w:ind w:left="737" w:right="737"/>
        <w:jc w:val="both"/>
        <w:rPr>
          <w:rFonts w:ascii="Arial" w:hAnsi="Arial" w:cs="Arial"/>
        </w:rPr>
      </w:pPr>
      <w:r w:rsidRPr="00265524">
        <w:rPr>
          <w:rFonts w:ascii="Arial" w:hAnsi="Arial" w:cs="Arial"/>
        </w:rPr>
        <w:t>‌</w:t>
      </w:r>
    </w:p>
    <w:p w:rsidR="00265524" w:rsidRPr="00265524" w:rsidRDefault="00265524" w:rsidP="00265524">
      <w:pPr>
        <w:pStyle w:val="BodyText"/>
        <w:ind w:left="737" w:right="737"/>
        <w:jc w:val="both"/>
        <w:rPr>
          <w:rFonts w:ascii="Arial" w:hAnsi="Arial" w:cs="Arial"/>
        </w:rPr>
      </w:pPr>
      <w:r w:rsidRPr="00265524">
        <w:rPr>
          <w:rFonts w:ascii="Arial" w:hAnsi="Arial" w:cs="Arial"/>
        </w:rPr>
        <w:t>Scirp.org. (2020). </w:t>
      </w:r>
      <w:proofErr w:type="spellStart"/>
      <w:r w:rsidRPr="00265524">
        <w:rPr>
          <w:rFonts w:ascii="Arial" w:hAnsi="Arial" w:cs="Arial"/>
          <w:iCs/>
        </w:rPr>
        <w:t>Brealey</w:t>
      </w:r>
      <w:proofErr w:type="spellEnd"/>
      <w:r w:rsidRPr="00265524">
        <w:rPr>
          <w:rFonts w:ascii="Arial" w:hAnsi="Arial" w:cs="Arial"/>
          <w:iCs/>
        </w:rPr>
        <w:t>, R., Myers, S., &amp; Allen, F. (2020). Principles of Corporate Finance. McGraw-Hill Education. - References - Scientific Research Publishing</w:t>
      </w:r>
      <w:r w:rsidRPr="00265524">
        <w:rPr>
          <w:rFonts w:ascii="Arial" w:hAnsi="Arial" w:cs="Arial"/>
        </w:rPr>
        <w:t>. [</w:t>
      </w:r>
      <w:proofErr w:type="gramStart"/>
      <w:r w:rsidRPr="00265524">
        <w:rPr>
          <w:rFonts w:ascii="Arial" w:hAnsi="Arial" w:cs="Arial"/>
        </w:rPr>
        <w:t>online</w:t>
      </w:r>
      <w:proofErr w:type="gramEnd"/>
      <w:r w:rsidRPr="00265524">
        <w:rPr>
          <w:rFonts w:ascii="Arial" w:hAnsi="Arial" w:cs="Arial"/>
        </w:rPr>
        <w:t>] Available at: https://www.scirp.org/reference/referencespapers?referenceid=3653860.</w:t>
      </w:r>
    </w:p>
    <w:p w:rsidR="00265524" w:rsidRPr="00265524" w:rsidRDefault="00265524" w:rsidP="00265524">
      <w:pPr>
        <w:pStyle w:val="BodyText"/>
        <w:ind w:left="737" w:right="737"/>
        <w:jc w:val="both"/>
        <w:rPr>
          <w:rFonts w:ascii="Arial" w:hAnsi="Arial" w:cs="Arial"/>
        </w:rPr>
      </w:pPr>
      <w:r w:rsidRPr="00265524">
        <w:rPr>
          <w:rFonts w:ascii="Arial" w:hAnsi="Arial" w:cs="Arial"/>
        </w:rPr>
        <w:t>‌</w:t>
      </w:r>
    </w:p>
    <w:p w:rsidR="00265524" w:rsidRPr="00265524" w:rsidRDefault="00265524" w:rsidP="00265524">
      <w:pPr>
        <w:pStyle w:val="BodyText"/>
        <w:ind w:left="737" w:right="737"/>
        <w:jc w:val="both"/>
        <w:rPr>
          <w:rFonts w:ascii="Arial" w:hAnsi="Arial" w:cs="Arial"/>
        </w:rPr>
      </w:pPr>
      <w:r w:rsidRPr="00265524">
        <w:rPr>
          <w:rFonts w:ascii="Arial" w:hAnsi="Arial" w:cs="Arial"/>
        </w:rPr>
        <w:t xml:space="preserve"> Farris, M. T., &amp; Hutchison, P. D. (2002). Physical Distribution and Logistics Management (4th </w:t>
      </w:r>
      <w:proofErr w:type="gramStart"/>
      <w:r w:rsidRPr="00265524">
        <w:rPr>
          <w:rFonts w:ascii="Arial" w:hAnsi="Arial" w:cs="Arial"/>
        </w:rPr>
        <w:t>ed</w:t>
      </w:r>
      <w:proofErr w:type="gramEnd"/>
      <w:r w:rsidRPr="00265524">
        <w:rPr>
          <w:rFonts w:ascii="Arial" w:hAnsi="Arial" w:cs="Arial"/>
        </w:rPr>
        <w:t>.). Pearson Education. (Pertains to Just-in-Time and supply chain management principles).</w:t>
      </w:r>
    </w:p>
    <w:p w:rsidR="00265524" w:rsidRPr="00265524" w:rsidRDefault="00265524" w:rsidP="00265524">
      <w:pPr>
        <w:pStyle w:val="BodyText"/>
        <w:ind w:left="737" w:right="737"/>
        <w:jc w:val="both"/>
        <w:rPr>
          <w:rFonts w:ascii="Arial" w:hAnsi="Arial" w:cs="Arial"/>
        </w:rPr>
      </w:pPr>
    </w:p>
    <w:p w:rsidR="00265524" w:rsidRPr="00265524" w:rsidRDefault="00265524" w:rsidP="00265524">
      <w:pPr>
        <w:pStyle w:val="BodyText"/>
        <w:ind w:left="737" w:right="737"/>
        <w:jc w:val="both"/>
        <w:rPr>
          <w:rFonts w:ascii="Arial" w:hAnsi="Arial" w:cs="Arial"/>
        </w:rPr>
      </w:pPr>
      <w:r w:rsidRPr="00265524">
        <w:rPr>
          <w:rFonts w:ascii="Arial" w:hAnsi="Arial" w:cs="Arial"/>
        </w:rPr>
        <w:t>Lambert, D. M., &amp; Cooper, M. C. (2000). Issues in supply chain management. Industrial Marketing Management, 29(1), 65–83. (Pertains to the strategic importance of supplier relationship management)</w:t>
      </w:r>
    </w:p>
    <w:p w:rsidR="00265524" w:rsidRPr="00265524" w:rsidRDefault="00265524" w:rsidP="00265524">
      <w:pPr>
        <w:pStyle w:val="BodyText"/>
        <w:ind w:left="737" w:right="737"/>
        <w:jc w:val="both"/>
        <w:rPr>
          <w:rFonts w:ascii="Arial" w:hAnsi="Arial" w:cs="Arial"/>
        </w:rPr>
      </w:pPr>
    </w:p>
    <w:p w:rsidR="00265524" w:rsidRPr="00265524" w:rsidRDefault="00265524" w:rsidP="00265524">
      <w:pPr>
        <w:pStyle w:val="BodyText"/>
        <w:ind w:left="737" w:right="737"/>
        <w:jc w:val="both"/>
        <w:rPr>
          <w:rFonts w:ascii="Arial" w:hAnsi="Arial" w:cs="Arial"/>
        </w:rPr>
      </w:pPr>
      <w:r w:rsidRPr="00265524">
        <w:rPr>
          <w:rFonts w:ascii="Arial" w:hAnsi="Arial" w:cs="Arial"/>
        </w:rPr>
        <w:t>Rickman, J. (2023). </w:t>
      </w:r>
      <w:r w:rsidRPr="00265524">
        <w:rPr>
          <w:rFonts w:ascii="Arial" w:hAnsi="Arial" w:cs="Arial"/>
          <w:iCs/>
        </w:rPr>
        <w:t>Short-Term vs Long-Term Financing</w:t>
      </w:r>
      <w:r w:rsidRPr="00265524">
        <w:rPr>
          <w:rFonts w:ascii="Arial" w:hAnsi="Arial" w:cs="Arial"/>
        </w:rPr>
        <w:t>. [</w:t>
      </w:r>
      <w:proofErr w:type="gramStart"/>
      <w:r w:rsidRPr="00265524">
        <w:rPr>
          <w:rFonts w:ascii="Arial" w:hAnsi="Arial" w:cs="Arial"/>
        </w:rPr>
        <w:t>online</w:t>
      </w:r>
      <w:proofErr w:type="gramEnd"/>
      <w:r w:rsidRPr="00265524">
        <w:rPr>
          <w:rFonts w:ascii="Arial" w:hAnsi="Arial" w:cs="Arial"/>
        </w:rPr>
        <w:t>] legalvision.co.uk. Available at: https://legalvision.co.uk/corporations/term-financing/.</w:t>
      </w:r>
    </w:p>
    <w:p w:rsidR="00265524" w:rsidRPr="00265524" w:rsidRDefault="00265524" w:rsidP="00265524">
      <w:pPr>
        <w:pStyle w:val="BodyText"/>
        <w:ind w:left="737" w:right="737"/>
        <w:jc w:val="both"/>
        <w:rPr>
          <w:rFonts w:ascii="Arial" w:hAnsi="Arial" w:cs="Arial"/>
        </w:rPr>
      </w:pPr>
      <w:r w:rsidRPr="00265524">
        <w:rPr>
          <w:rFonts w:ascii="Arial" w:hAnsi="Arial" w:cs="Arial"/>
        </w:rPr>
        <w:t>‌</w:t>
      </w:r>
    </w:p>
    <w:p w:rsidR="00265524" w:rsidRPr="00265524" w:rsidRDefault="00265524" w:rsidP="00265524">
      <w:pPr>
        <w:pStyle w:val="BodyText"/>
        <w:ind w:left="737" w:right="737"/>
        <w:jc w:val="both"/>
        <w:rPr>
          <w:rFonts w:ascii="Arial" w:hAnsi="Arial" w:cs="Arial"/>
          <w:iCs/>
        </w:rPr>
      </w:pPr>
      <w:r w:rsidRPr="00265524">
        <w:rPr>
          <w:rFonts w:ascii="Arial" w:hAnsi="Arial" w:cs="Arial"/>
          <w:iCs/>
        </w:rPr>
        <w:t xml:space="preserve">Kaplan, S. N., &amp; </w:t>
      </w:r>
      <w:proofErr w:type="spellStart"/>
      <w:r w:rsidRPr="00265524">
        <w:rPr>
          <w:rFonts w:ascii="Arial" w:hAnsi="Arial" w:cs="Arial"/>
          <w:iCs/>
        </w:rPr>
        <w:t>Weisbach</w:t>
      </w:r>
      <w:proofErr w:type="spellEnd"/>
      <w:r w:rsidRPr="00265524">
        <w:rPr>
          <w:rFonts w:ascii="Arial" w:hAnsi="Arial" w:cs="Arial"/>
          <w:iCs/>
        </w:rPr>
        <w:t>, M. S. (1992). The Success of Acquisitions: Evidence from Divestiture. The Journal of Finance, 47(1), 107–138. (Pertains to how divestiture can improve a firm's operational focus and financial health).</w:t>
      </w:r>
    </w:p>
    <w:p w:rsidR="00265524" w:rsidRPr="00265524" w:rsidRDefault="00265524" w:rsidP="00265524">
      <w:pPr>
        <w:pStyle w:val="BodyText"/>
        <w:ind w:left="737" w:right="737"/>
        <w:jc w:val="both"/>
        <w:rPr>
          <w:rFonts w:ascii="Arial" w:hAnsi="Arial" w:cs="Arial"/>
          <w:iCs/>
        </w:rPr>
      </w:pPr>
    </w:p>
    <w:p w:rsidR="00265524" w:rsidRPr="00265524" w:rsidRDefault="00265524" w:rsidP="00265524">
      <w:pPr>
        <w:pStyle w:val="BodyText"/>
        <w:ind w:left="737" w:right="737"/>
        <w:jc w:val="both"/>
        <w:rPr>
          <w:rFonts w:ascii="Arial" w:hAnsi="Arial" w:cs="Arial"/>
          <w:iCs/>
        </w:rPr>
      </w:pPr>
      <w:r w:rsidRPr="00265524">
        <w:rPr>
          <w:rFonts w:ascii="Arial" w:hAnsi="Arial" w:cs="Arial"/>
          <w:iCs/>
        </w:rPr>
        <w:t>Herman, A. (2018). Corporate Restructuring: Retrenchment and Revival. Business Expert Press. (Pertains to the strategic use of debt-for-equity swaps during financial distress).</w:t>
      </w:r>
    </w:p>
    <w:p w:rsidR="00265524" w:rsidRPr="00265524" w:rsidRDefault="00265524" w:rsidP="00265524">
      <w:pPr>
        <w:pStyle w:val="BodyText"/>
        <w:ind w:left="737" w:right="737"/>
        <w:jc w:val="both"/>
        <w:rPr>
          <w:rFonts w:ascii="Arial" w:hAnsi="Arial" w:cs="Arial"/>
          <w:iCs/>
        </w:rPr>
      </w:pPr>
    </w:p>
    <w:p w:rsidR="00265524" w:rsidRPr="00265524" w:rsidRDefault="00265524" w:rsidP="00265524">
      <w:pPr>
        <w:pStyle w:val="BodyText"/>
        <w:ind w:left="737" w:right="737"/>
        <w:jc w:val="both"/>
        <w:rPr>
          <w:rFonts w:ascii="Arial" w:hAnsi="Arial" w:cs="Arial"/>
          <w:iCs/>
        </w:rPr>
      </w:pPr>
      <w:proofErr w:type="spellStart"/>
      <w:r w:rsidRPr="00265524">
        <w:rPr>
          <w:rFonts w:ascii="Arial" w:hAnsi="Arial" w:cs="Arial"/>
          <w:iCs/>
        </w:rPr>
        <w:t>Brealey</w:t>
      </w:r>
      <w:proofErr w:type="spellEnd"/>
      <w:r w:rsidRPr="00265524">
        <w:rPr>
          <w:rFonts w:ascii="Arial" w:hAnsi="Arial" w:cs="Arial"/>
          <w:iCs/>
        </w:rPr>
        <w:t xml:space="preserve">, R. A., Myers, S. C., &amp; Allen, F. (2020). Principles of Corporate Finance (13th </w:t>
      </w:r>
      <w:proofErr w:type="gramStart"/>
      <w:r w:rsidRPr="00265524">
        <w:rPr>
          <w:rFonts w:ascii="Arial" w:hAnsi="Arial" w:cs="Arial"/>
          <w:iCs/>
        </w:rPr>
        <w:t>ed</w:t>
      </w:r>
      <w:proofErr w:type="gramEnd"/>
      <w:r w:rsidRPr="00265524">
        <w:rPr>
          <w:rFonts w:ascii="Arial" w:hAnsi="Arial" w:cs="Arial"/>
          <w:iCs/>
        </w:rPr>
        <w:t>.). McGraw-Hill Education. (Pertains to the mechanism and effect of equity issuance on firm value and leverage).</w:t>
      </w:r>
    </w:p>
    <w:p w:rsidR="00265524" w:rsidRPr="00265524" w:rsidRDefault="00265524" w:rsidP="00265524">
      <w:pPr>
        <w:pStyle w:val="BodyText"/>
        <w:ind w:left="737" w:right="737"/>
        <w:jc w:val="both"/>
        <w:rPr>
          <w:rFonts w:ascii="Arial" w:hAnsi="Arial" w:cs="Arial"/>
        </w:rPr>
      </w:pPr>
    </w:p>
    <w:p w:rsidR="00265524" w:rsidRPr="00265524" w:rsidRDefault="00265524" w:rsidP="00265524">
      <w:pPr>
        <w:pStyle w:val="BodyText"/>
        <w:ind w:left="737" w:right="737"/>
        <w:jc w:val="both"/>
        <w:rPr>
          <w:rFonts w:ascii="Arial" w:hAnsi="Arial" w:cs="Arial"/>
        </w:rPr>
      </w:pPr>
      <w:r w:rsidRPr="00265524">
        <w:rPr>
          <w:rFonts w:ascii="Arial" w:hAnsi="Arial" w:cs="Arial"/>
          <w:bCs/>
        </w:rPr>
        <w:t>Myers, S. C.</w:t>
      </w:r>
      <w:r w:rsidRPr="00265524">
        <w:rPr>
          <w:rFonts w:ascii="Arial" w:hAnsi="Arial" w:cs="Arial"/>
        </w:rPr>
        <w:t xml:space="preserve"> (1977). Determinants of Corporate Borrowing. </w:t>
      </w:r>
      <w:r w:rsidRPr="00265524">
        <w:rPr>
          <w:rFonts w:ascii="Arial" w:hAnsi="Arial" w:cs="Arial"/>
          <w:iCs/>
        </w:rPr>
        <w:t>Journal of Financial Economics</w:t>
      </w:r>
      <w:r w:rsidRPr="00265524">
        <w:rPr>
          <w:rFonts w:ascii="Arial" w:hAnsi="Arial" w:cs="Arial"/>
        </w:rPr>
        <w:t xml:space="preserve">, </w:t>
      </w:r>
      <w:r w:rsidRPr="00265524">
        <w:rPr>
          <w:rFonts w:ascii="Arial" w:hAnsi="Arial" w:cs="Arial"/>
          <w:iCs/>
        </w:rPr>
        <w:t>5</w:t>
      </w:r>
      <w:r w:rsidRPr="00265524">
        <w:rPr>
          <w:rFonts w:ascii="Arial" w:hAnsi="Arial" w:cs="Arial"/>
        </w:rPr>
        <w:t>(2), 147–175. (Pertains to the trade-off theory of capital structure and the importance of equity as a cushion against financial distress).</w:t>
      </w:r>
    </w:p>
    <w:p w:rsidR="00265524" w:rsidRPr="00265524" w:rsidRDefault="00265524" w:rsidP="00265524">
      <w:pPr>
        <w:pStyle w:val="BodyText"/>
        <w:ind w:left="737" w:right="737"/>
        <w:jc w:val="both"/>
        <w:rPr>
          <w:rFonts w:ascii="Arial" w:hAnsi="Arial" w:cs="Arial"/>
        </w:rPr>
      </w:pPr>
    </w:p>
    <w:p w:rsidR="00265524" w:rsidRPr="00265524" w:rsidRDefault="00265524" w:rsidP="00265524">
      <w:pPr>
        <w:pStyle w:val="BodyText"/>
        <w:ind w:left="737" w:right="737"/>
        <w:jc w:val="both"/>
        <w:rPr>
          <w:rFonts w:ascii="Arial" w:hAnsi="Arial" w:cs="Arial"/>
        </w:rPr>
      </w:pPr>
      <w:r w:rsidRPr="00265524">
        <w:rPr>
          <w:rFonts w:ascii="Arial" w:hAnsi="Arial" w:cs="Arial"/>
          <w:bCs/>
        </w:rPr>
        <w:t>Jensen, M. C.</w:t>
      </w:r>
      <w:r w:rsidRPr="00265524">
        <w:rPr>
          <w:rFonts w:ascii="Arial" w:hAnsi="Arial" w:cs="Arial"/>
        </w:rPr>
        <w:t xml:space="preserve"> (1986). Agency Costs of Free Cash Flow, Corporate Finance, and Takeovers. </w:t>
      </w:r>
      <w:r w:rsidRPr="00265524">
        <w:rPr>
          <w:rFonts w:ascii="Arial" w:hAnsi="Arial" w:cs="Arial"/>
          <w:iCs/>
        </w:rPr>
        <w:t>The American Economic Review</w:t>
      </w:r>
      <w:r w:rsidRPr="00265524">
        <w:rPr>
          <w:rFonts w:ascii="Arial" w:hAnsi="Arial" w:cs="Arial"/>
        </w:rPr>
        <w:t xml:space="preserve">, </w:t>
      </w:r>
      <w:r w:rsidRPr="00265524">
        <w:rPr>
          <w:rFonts w:ascii="Arial" w:hAnsi="Arial" w:cs="Arial"/>
          <w:iCs/>
        </w:rPr>
        <w:t>76</w:t>
      </w:r>
      <w:r w:rsidRPr="00265524">
        <w:rPr>
          <w:rFonts w:ascii="Arial" w:hAnsi="Arial" w:cs="Arial"/>
        </w:rPr>
        <w:t>(2), 323–329. (Pertains to how eliminating cash-draining non-core assets via divestiture can increase firm focus and shareholder value).</w:t>
      </w:r>
    </w:p>
    <w:p w:rsidR="00265524" w:rsidRPr="00265524" w:rsidRDefault="00265524" w:rsidP="00265524">
      <w:pPr>
        <w:pStyle w:val="BodyText"/>
        <w:ind w:left="737" w:right="737"/>
        <w:jc w:val="both"/>
        <w:rPr>
          <w:rFonts w:ascii="Arial" w:hAnsi="Arial" w:cs="Arial"/>
        </w:rPr>
      </w:pPr>
    </w:p>
    <w:p w:rsidR="00265524" w:rsidRPr="00265524" w:rsidRDefault="00265524" w:rsidP="00265524">
      <w:pPr>
        <w:pStyle w:val="BodyText"/>
        <w:ind w:left="737" w:right="737"/>
        <w:jc w:val="both"/>
        <w:rPr>
          <w:rFonts w:ascii="Arial" w:hAnsi="Arial" w:cs="Arial"/>
          <w:color w:val="131417"/>
          <w:shd w:val="clear" w:color="auto" w:fill="FFFFFF"/>
        </w:rPr>
      </w:pPr>
      <w:r w:rsidRPr="00265524">
        <w:rPr>
          <w:rFonts w:ascii="Arial" w:hAnsi="Arial" w:cs="Arial"/>
          <w:color w:val="131417"/>
          <w:shd w:val="clear" w:color="auto" w:fill="FFFFFF"/>
        </w:rPr>
        <w:t xml:space="preserve">Shleifer, A., &amp; </w:t>
      </w:r>
      <w:proofErr w:type="spellStart"/>
      <w:r w:rsidRPr="00265524">
        <w:rPr>
          <w:rFonts w:ascii="Arial" w:hAnsi="Arial" w:cs="Arial"/>
          <w:color w:val="131417"/>
          <w:shd w:val="clear" w:color="auto" w:fill="FFFFFF"/>
        </w:rPr>
        <w:t>Vishny</w:t>
      </w:r>
      <w:proofErr w:type="spellEnd"/>
      <w:r w:rsidRPr="00265524">
        <w:rPr>
          <w:rFonts w:ascii="Arial" w:hAnsi="Arial" w:cs="Arial"/>
          <w:color w:val="131417"/>
          <w:shd w:val="clear" w:color="auto" w:fill="FFFFFF"/>
        </w:rPr>
        <w:t>, R. W. (1992). Liquidation Values and Debt Capacity: A Market Equilibrium Approach. The Journal of Finance, 47(4), 1343–1366.</w:t>
      </w:r>
    </w:p>
    <w:p w:rsidR="00265524" w:rsidRPr="00265524" w:rsidRDefault="00265524" w:rsidP="00265524">
      <w:pPr>
        <w:pStyle w:val="BodyText"/>
        <w:ind w:left="737" w:right="737"/>
        <w:jc w:val="both"/>
        <w:rPr>
          <w:rFonts w:ascii="Arial" w:hAnsi="Arial" w:cs="Arial"/>
          <w:color w:val="131417"/>
          <w:shd w:val="clear" w:color="auto" w:fill="FFFFFF"/>
        </w:rPr>
      </w:pPr>
    </w:p>
    <w:p w:rsidR="00265524" w:rsidRPr="00265524" w:rsidRDefault="00265524" w:rsidP="00265524">
      <w:pPr>
        <w:pStyle w:val="BodyText"/>
        <w:ind w:left="737" w:right="737"/>
        <w:jc w:val="both"/>
        <w:rPr>
          <w:rFonts w:ascii="Arial" w:hAnsi="Arial" w:cs="Arial"/>
        </w:rPr>
      </w:pPr>
      <w:proofErr w:type="spellStart"/>
      <w:r w:rsidRPr="00265524">
        <w:rPr>
          <w:rFonts w:ascii="Arial" w:hAnsi="Arial" w:cs="Arial"/>
        </w:rPr>
        <w:t>Rochmayasari</w:t>
      </w:r>
      <w:proofErr w:type="spellEnd"/>
      <w:r w:rsidRPr="00265524">
        <w:rPr>
          <w:rFonts w:ascii="Arial" w:hAnsi="Arial" w:cs="Arial"/>
        </w:rPr>
        <w:t>, Y. (2022). Corporate Social Responsibility, Firm Size, Inflation, Interest Rate, and Exchange Rate on Stock Returns. </w:t>
      </w:r>
      <w:r w:rsidRPr="00265524">
        <w:rPr>
          <w:rFonts w:ascii="Arial" w:hAnsi="Arial" w:cs="Arial"/>
          <w:iCs/>
        </w:rPr>
        <w:t>Research Horizon</w:t>
      </w:r>
      <w:r w:rsidRPr="00265524">
        <w:rPr>
          <w:rFonts w:ascii="Arial" w:hAnsi="Arial" w:cs="Arial"/>
        </w:rPr>
        <w:t xml:space="preserve">, 2(2), pp.345–362. </w:t>
      </w:r>
      <w:proofErr w:type="spellStart"/>
      <w:r w:rsidRPr="00265524">
        <w:rPr>
          <w:rFonts w:ascii="Arial" w:hAnsi="Arial" w:cs="Arial"/>
        </w:rPr>
        <w:t>doi:https</w:t>
      </w:r>
      <w:proofErr w:type="spellEnd"/>
      <w:r w:rsidRPr="00265524">
        <w:rPr>
          <w:rFonts w:ascii="Arial" w:hAnsi="Arial" w:cs="Arial"/>
        </w:rPr>
        <w:t>://doi.org/10.54518/rh.2.2.2022.345-362.</w:t>
      </w:r>
    </w:p>
    <w:p w:rsidR="00265524" w:rsidRPr="00265524" w:rsidRDefault="00265524" w:rsidP="00265524">
      <w:pPr>
        <w:pStyle w:val="BodyText"/>
        <w:ind w:left="737" w:right="737"/>
        <w:jc w:val="both"/>
        <w:rPr>
          <w:rFonts w:ascii="Arial" w:hAnsi="Arial" w:cs="Arial"/>
        </w:rPr>
      </w:pPr>
      <w:r w:rsidRPr="00265524">
        <w:rPr>
          <w:rFonts w:ascii="Arial" w:hAnsi="Arial" w:cs="Arial"/>
        </w:rPr>
        <w:t>‌</w:t>
      </w:r>
    </w:p>
    <w:p w:rsidR="004F3AC4" w:rsidRPr="004F3AC4" w:rsidRDefault="004F3AC4" w:rsidP="004F3AC4">
      <w:pPr>
        <w:pStyle w:val="NormalWeb"/>
        <w:spacing w:before="0" w:beforeAutospacing="0" w:after="0" w:afterAutospacing="0" w:line="360" w:lineRule="atLeast"/>
        <w:ind w:left="737" w:right="737"/>
        <w:jc w:val="both"/>
        <w:rPr>
          <w:rFonts w:ascii="Arial" w:hAnsi="Arial" w:cs="Arial"/>
        </w:rPr>
      </w:pPr>
      <w:r w:rsidRPr="004F3AC4">
        <w:rPr>
          <w:rFonts w:ascii="Arial" w:hAnsi="Arial" w:cs="Arial"/>
        </w:rPr>
        <w:t>IG (2019). Investment Appraisal Definition. [</w:t>
      </w:r>
      <w:proofErr w:type="gramStart"/>
      <w:r w:rsidRPr="004F3AC4">
        <w:rPr>
          <w:rFonts w:ascii="Arial" w:hAnsi="Arial" w:cs="Arial"/>
        </w:rPr>
        <w:t>online</w:t>
      </w:r>
      <w:proofErr w:type="gramEnd"/>
      <w:r w:rsidRPr="004F3AC4">
        <w:rPr>
          <w:rFonts w:ascii="Arial" w:hAnsi="Arial" w:cs="Arial"/>
        </w:rPr>
        <w:t>] IG. Available at: https://www.ig.com/uk/glossary-trading-terms/investment-appraisal-definition.</w:t>
      </w:r>
    </w:p>
    <w:p w:rsidR="004F3AC4" w:rsidRDefault="004F3AC4" w:rsidP="004F3AC4">
      <w:pPr>
        <w:pStyle w:val="NormalWeb"/>
        <w:rPr>
          <w:rFonts w:ascii="Calibri" w:hAnsi="Calibri" w:cs="Calibri"/>
          <w:color w:val="000000"/>
          <w:sz w:val="27"/>
          <w:szCs w:val="27"/>
        </w:rPr>
      </w:pPr>
      <w:r>
        <w:rPr>
          <w:rFonts w:ascii="Calibri" w:hAnsi="Calibri" w:cs="Calibri"/>
          <w:color w:val="000000"/>
          <w:sz w:val="27"/>
          <w:szCs w:val="27"/>
        </w:rPr>
        <w:t>‌</w:t>
      </w: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Default="00613DEF" w:rsidP="004F3AC4">
      <w:pPr>
        <w:pStyle w:val="NormalWeb"/>
        <w:rPr>
          <w:rFonts w:ascii="Calibri" w:hAnsi="Calibri" w:cs="Calibri"/>
          <w:color w:val="000000"/>
          <w:sz w:val="27"/>
          <w:szCs w:val="27"/>
        </w:rPr>
      </w:pPr>
    </w:p>
    <w:p w:rsidR="00613DEF" w:rsidRPr="00613DEF" w:rsidRDefault="00613DEF" w:rsidP="00613DEF">
      <w:pPr>
        <w:pStyle w:val="ListParagraph"/>
        <w:spacing w:line="360" w:lineRule="auto"/>
        <w:ind w:left="737" w:right="737"/>
        <w:jc w:val="center"/>
        <w:rPr>
          <w:rFonts w:ascii="Arial" w:hAnsi="Arial" w:cs="Arial"/>
          <w:b/>
          <w:sz w:val="24"/>
          <w:szCs w:val="24"/>
          <w:u w:val="single"/>
        </w:rPr>
      </w:pPr>
      <w:r w:rsidRPr="00613DEF">
        <w:rPr>
          <w:rFonts w:ascii="Arial" w:hAnsi="Arial" w:cs="Arial"/>
          <w:b/>
          <w:sz w:val="24"/>
          <w:szCs w:val="24"/>
          <w:u w:val="single"/>
        </w:rPr>
        <w:lastRenderedPageBreak/>
        <w:t xml:space="preserve">Appendices </w:t>
      </w:r>
    </w:p>
    <w:p w:rsidR="00613DEF" w:rsidRPr="00C02A8D" w:rsidRDefault="00613DEF" w:rsidP="00613DEF">
      <w:pPr>
        <w:pStyle w:val="Heading1"/>
        <w:ind w:left="748"/>
        <w:rPr>
          <w:rFonts w:ascii="Arial" w:hAnsi="Arial" w:cs="Arial"/>
          <w:color w:val="000000" w:themeColor="text1"/>
          <w:sz w:val="24"/>
          <w:szCs w:val="24"/>
        </w:rPr>
      </w:pPr>
      <w:bookmarkStart w:id="4" w:name="_Toc214744191"/>
      <w:bookmarkStart w:id="5" w:name="_Toc214744263"/>
      <w:r w:rsidRPr="00C02A8D">
        <w:rPr>
          <w:rFonts w:ascii="Arial" w:hAnsi="Arial" w:cs="Arial"/>
          <w:b/>
          <w:color w:val="000000" w:themeColor="text1"/>
          <w:sz w:val="24"/>
          <w:szCs w:val="24"/>
        </w:rPr>
        <w:t>Appendices A</w:t>
      </w:r>
      <w:r>
        <w:rPr>
          <w:rFonts w:ascii="Arial" w:hAnsi="Arial" w:cs="Arial"/>
          <w:b/>
          <w:color w:val="000000" w:themeColor="text1"/>
          <w:sz w:val="24"/>
          <w:szCs w:val="24"/>
        </w:rPr>
        <w:t xml:space="preserve">: </w:t>
      </w:r>
      <w:r w:rsidRPr="00C02A8D">
        <w:rPr>
          <w:rFonts w:ascii="Arial" w:hAnsi="Arial" w:cs="Arial"/>
          <w:color w:val="000000" w:themeColor="text1"/>
          <w:sz w:val="24"/>
          <w:szCs w:val="24"/>
        </w:rPr>
        <w:t xml:space="preserve"> </w:t>
      </w:r>
      <w:bookmarkStart w:id="6" w:name="_Toc213103761"/>
      <w:r w:rsidRPr="00C02A8D">
        <w:rPr>
          <w:rFonts w:ascii="Arial" w:hAnsi="Arial" w:cs="Arial"/>
          <w:color w:val="000000" w:themeColor="text1"/>
          <w:sz w:val="24"/>
          <w:szCs w:val="24"/>
        </w:rPr>
        <w:t>Summary of Key Financial Performance Indicators (2020–2024)</w:t>
      </w:r>
      <w:bookmarkEnd w:id="4"/>
      <w:bookmarkEnd w:id="5"/>
      <w:bookmarkEnd w:id="6"/>
    </w:p>
    <w:tbl>
      <w:tblPr>
        <w:tblStyle w:val="GridTable5Dark-Accent4"/>
        <w:tblpPr w:leftFromText="180" w:rightFromText="180" w:vertAnchor="text" w:horzAnchor="margin" w:tblpXSpec="center" w:tblpY="250"/>
        <w:tblW w:w="10348" w:type="dxa"/>
        <w:tblLook w:val="04A0" w:firstRow="1" w:lastRow="0" w:firstColumn="1" w:lastColumn="0" w:noHBand="0" w:noVBand="1"/>
      </w:tblPr>
      <w:tblGrid>
        <w:gridCol w:w="3544"/>
        <w:gridCol w:w="1559"/>
        <w:gridCol w:w="1030"/>
        <w:gridCol w:w="1097"/>
        <w:gridCol w:w="992"/>
        <w:gridCol w:w="1134"/>
        <w:gridCol w:w="992"/>
      </w:tblGrid>
      <w:tr w:rsidR="00613DEF" w:rsidRPr="00C02A8D" w:rsidTr="007625A0">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10348" w:type="dxa"/>
            <w:gridSpan w:val="7"/>
            <w:noWrap/>
            <w:hideMark/>
          </w:tcPr>
          <w:p w:rsidR="00613DEF" w:rsidRPr="00C02A8D" w:rsidRDefault="00613DEF" w:rsidP="007625A0">
            <w:pPr>
              <w:jc w:val="center"/>
              <w:rPr>
                <w:rFonts w:ascii="Arial" w:eastAsia="Times New Roman" w:hAnsi="Arial" w:cs="Arial"/>
                <w:color w:val="000000"/>
                <w:sz w:val="24"/>
                <w:szCs w:val="24"/>
              </w:rPr>
            </w:pPr>
            <w:r w:rsidRPr="00C02A8D">
              <w:rPr>
                <w:rFonts w:ascii="Arial" w:eastAsia="Times New Roman" w:hAnsi="Arial" w:cs="Arial"/>
                <w:color w:val="000000"/>
                <w:sz w:val="24"/>
                <w:szCs w:val="24"/>
              </w:rPr>
              <w:t xml:space="preserve">General Electronics </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30"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trHeight w:val="349"/>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Ratios</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Units</w:t>
            </w:r>
          </w:p>
        </w:tc>
        <w:tc>
          <w:tcPr>
            <w:tcW w:w="1030" w:type="dxa"/>
            <w:noWrap/>
            <w:hideMark/>
          </w:tcPr>
          <w:p w:rsidR="00613DEF" w:rsidRPr="00C02A8D"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2020</w:t>
            </w:r>
          </w:p>
        </w:tc>
        <w:tc>
          <w:tcPr>
            <w:tcW w:w="1097" w:type="dxa"/>
            <w:noWrap/>
            <w:hideMark/>
          </w:tcPr>
          <w:p w:rsidR="00613DEF" w:rsidRPr="00C02A8D"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2021</w:t>
            </w:r>
          </w:p>
        </w:tc>
        <w:tc>
          <w:tcPr>
            <w:tcW w:w="992" w:type="dxa"/>
            <w:noWrap/>
            <w:hideMark/>
          </w:tcPr>
          <w:p w:rsidR="00613DEF" w:rsidRPr="00C02A8D"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2022</w:t>
            </w:r>
          </w:p>
        </w:tc>
        <w:tc>
          <w:tcPr>
            <w:tcW w:w="1134" w:type="dxa"/>
            <w:noWrap/>
            <w:hideMark/>
          </w:tcPr>
          <w:p w:rsidR="00613DEF" w:rsidRPr="00C02A8D"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2023</w:t>
            </w:r>
          </w:p>
        </w:tc>
        <w:tc>
          <w:tcPr>
            <w:tcW w:w="992" w:type="dxa"/>
            <w:noWrap/>
            <w:hideMark/>
          </w:tcPr>
          <w:p w:rsidR="00613DEF" w:rsidRPr="00C02A8D"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2024</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30"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trHeight w:val="349"/>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Profitability:</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 </w:t>
            </w:r>
          </w:p>
        </w:tc>
        <w:tc>
          <w:tcPr>
            <w:tcW w:w="1030"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ROCE</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Percentage</w:t>
            </w:r>
          </w:p>
        </w:tc>
        <w:tc>
          <w:tcPr>
            <w:tcW w:w="1030"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11.27%</w:t>
            </w:r>
          </w:p>
        </w:tc>
        <w:tc>
          <w:tcPr>
            <w:tcW w:w="1097"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7.92%</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5.06%</w:t>
            </w:r>
          </w:p>
        </w:tc>
        <w:tc>
          <w:tcPr>
            <w:tcW w:w="1134"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-43.81%</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-9.27%</w:t>
            </w:r>
          </w:p>
        </w:tc>
      </w:tr>
      <w:tr w:rsidR="00613DEF" w:rsidRPr="00C02A8D" w:rsidTr="007625A0">
        <w:trPr>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Asset Turnover Ratio</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X:1</w:t>
            </w:r>
          </w:p>
        </w:tc>
        <w:tc>
          <w:tcPr>
            <w:tcW w:w="1030"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1.2</w:t>
            </w:r>
          </w:p>
        </w:tc>
        <w:tc>
          <w:tcPr>
            <w:tcW w:w="1097"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1.18</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1.07</w:t>
            </w:r>
          </w:p>
        </w:tc>
        <w:tc>
          <w:tcPr>
            <w:tcW w:w="1134"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0.98</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1.16</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Gross profit margin</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Percentage</w:t>
            </w:r>
          </w:p>
        </w:tc>
        <w:tc>
          <w:tcPr>
            <w:tcW w:w="1030"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28.67</w:t>
            </w:r>
          </w:p>
        </w:tc>
        <w:tc>
          <w:tcPr>
            <w:tcW w:w="1097"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28.76</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28.06</w:t>
            </w:r>
          </w:p>
        </w:tc>
        <w:tc>
          <w:tcPr>
            <w:tcW w:w="1134"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23.2</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28.87</w:t>
            </w:r>
          </w:p>
        </w:tc>
      </w:tr>
      <w:tr w:rsidR="00613DEF" w:rsidRPr="00C02A8D" w:rsidTr="007625A0">
        <w:trPr>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Net profit margin</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Percentage</w:t>
            </w:r>
          </w:p>
        </w:tc>
        <w:tc>
          <w:tcPr>
            <w:tcW w:w="1030"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6.28</w:t>
            </w:r>
          </w:p>
        </w:tc>
        <w:tc>
          <w:tcPr>
            <w:tcW w:w="1097"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0.88</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0.07</w:t>
            </w:r>
          </w:p>
        </w:tc>
        <w:tc>
          <w:tcPr>
            <w:tcW w:w="1134"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-23.36</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-6.09</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30"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trHeight w:val="349"/>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Efficiency:</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 </w:t>
            </w:r>
          </w:p>
        </w:tc>
        <w:tc>
          <w:tcPr>
            <w:tcW w:w="1030"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Non-current asset turnover</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X:1</w:t>
            </w:r>
          </w:p>
        </w:tc>
        <w:tc>
          <w:tcPr>
            <w:tcW w:w="1030"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4.56</w:t>
            </w:r>
          </w:p>
        </w:tc>
        <w:tc>
          <w:tcPr>
            <w:tcW w:w="1097"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4.64</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4.49</w:t>
            </w:r>
          </w:p>
        </w:tc>
        <w:tc>
          <w:tcPr>
            <w:tcW w:w="1134"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3.93</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4.44</w:t>
            </w:r>
          </w:p>
        </w:tc>
      </w:tr>
      <w:tr w:rsidR="00613DEF" w:rsidRPr="00C02A8D" w:rsidTr="007625A0">
        <w:trPr>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Inventory days</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Days</w:t>
            </w:r>
          </w:p>
        </w:tc>
        <w:tc>
          <w:tcPr>
            <w:tcW w:w="1030"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100.3</w:t>
            </w:r>
          </w:p>
        </w:tc>
        <w:tc>
          <w:tcPr>
            <w:tcW w:w="1097"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108.5</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128.4</w:t>
            </w:r>
          </w:p>
        </w:tc>
        <w:tc>
          <w:tcPr>
            <w:tcW w:w="1134"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129.1</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108.9</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30"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trHeight w:val="349"/>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Liquidity:</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 </w:t>
            </w:r>
          </w:p>
        </w:tc>
        <w:tc>
          <w:tcPr>
            <w:tcW w:w="1030"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Current ratio</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X:1</w:t>
            </w:r>
          </w:p>
        </w:tc>
        <w:tc>
          <w:tcPr>
            <w:tcW w:w="1030"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1.82</w:t>
            </w:r>
          </w:p>
        </w:tc>
        <w:tc>
          <w:tcPr>
            <w:tcW w:w="1097"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1.56</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1.56</w:t>
            </w:r>
          </w:p>
        </w:tc>
        <w:tc>
          <w:tcPr>
            <w:tcW w:w="1134"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1.61</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1.53</w:t>
            </w:r>
          </w:p>
        </w:tc>
      </w:tr>
      <w:tr w:rsidR="00613DEF" w:rsidRPr="00C02A8D" w:rsidTr="007625A0">
        <w:trPr>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Quick Ratio</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X:1</w:t>
            </w:r>
          </w:p>
        </w:tc>
        <w:tc>
          <w:tcPr>
            <w:tcW w:w="1030"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1.15</w:t>
            </w:r>
          </w:p>
        </w:tc>
        <w:tc>
          <w:tcPr>
            <w:tcW w:w="1097"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0.93</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0.91</w:t>
            </w:r>
          </w:p>
        </w:tc>
        <w:tc>
          <w:tcPr>
            <w:tcW w:w="1134"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1.06</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1.03</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30"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trHeight w:val="349"/>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Gearing:</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 </w:t>
            </w:r>
          </w:p>
        </w:tc>
        <w:tc>
          <w:tcPr>
            <w:tcW w:w="1030"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Debt to equity</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X:1</w:t>
            </w:r>
          </w:p>
        </w:tc>
        <w:tc>
          <w:tcPr>
            <w:tcW w:w="1030"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0.63</w:t>
            </w:r>
          </w:p>
        </w:tc>
        <w:tc>
          <w:tcPr>
            <w:tcW w:w="1097"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0.85</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0.88</w:t>
            </w:r>
          </w:p>
        </w:tc>
        <w:tc>
          <w:tcPr>
            <w:tcW w:w="1134"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0.99</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1.11</w:t>
            </w:r>
          </w:p>
        </w:tc>
      </w:tr>
      <w:tr w:rsidR="00613DEF" w:rsidRPr="00C02A8D" w:rsidTr="007625A0">
        <w:trPr>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Debt to capital</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Percentage</w:t>
            </w:r>
          </w:p>
        </w:tc>
        <w:tc>
          <w:tcPr>
            <w:tcW w:w="1030"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38.6</w:t>
            </w:r>
          </w:p>
        </w:tc>
        <w:tc>
          <w:tcPr>
            <w:tcW w:w="1097"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45.93</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46.76</w:t>
            </w:r>
          </w:p>
        </w:tc>
        <w:tc>
          <w:tcPr>
            <w:tcW w:w="1134"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49.72</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52.65</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30"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trHeight w:val="349"/>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Investment:</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C02A8D">
              <w:rPr>
                <w:rFonts w:ascii="Arial" w:eastAsia="Times New Roman" w:hAnsi="Arial" w:cs="Arial"/>
                <w:b/>
                <w:bCs/>
                <w:color w:val="000000"/>
                <w:sz w:val="24"/>
                <w:szCs w:val="24"/>
              </w:rPr>
              <w:t> </w:t>
            </w:r>
          </w:p>
        </w:tc>
        <w:tc>
          <w:tcPr>
            <w:tcW w:w="1030"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097"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1134"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c>
          <w:tcPr>
            <w:tcW w:w="992"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 </w:t>
            </w:r>
          </w:p>
        </w:tc>
      </w:tr>
      <w:tr w:rsidR="00613DEF" w:rsidRPr="00C02A8D" w:rsidTr="007625A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Earnings per share (EPS)</w:t>
            </w:r>
          </w:p>
        </w:tc>
        <w:tc>
          <w:tcPr>
            <w:tcW w:w="1559" w:type="dxa"/>
            <w:noWrap/>
            <w:hideMark/>
          </w:tcPr>
          <w:p w:rsidR="00613DEF" w:rsidRPr="00C02A8D"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Percentage</w:t>
            </w:r>
          </w:p>
        </w:tc>
        <w:tc>
          <w:tcPr>
            <w:tcW w:w="1030"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12.31</w:t>
            </w:r>
          </w:p>
        </w:tc>
        <w:tc>
          <w:tcPr>
            <w:tcW w:w="1097"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1.8</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0.15</w:t>
            </w:r>
          </w:p>
        </w:tc>
        <w:tc>
          <w:tcPr>
            <w:tcW w:w="1134"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-43.92</w:t>
            </w:r>
          </w:p>
        </w:tc>
        <w:tc>
          <w:tcPr>
            <w:tcW w:w="992" w:type="dxa"/>
            <w:noWrap/>
            <w:hideMark/>
          </w:tcPr>
          <w:p w:rsidR="00613DEF" w:rsidRPr="00C02A8D" w:rsidRDefault="00613DEF" w:rsidP="007625A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14.47</w:t>
            </w:r>
          </w:p>
        </w:tc>
      </w:tr>
      <w:tr w:rsidR="00613DEF" w:rsidRPr="00C02A8D" w:rsidTr="007625A0">
        <w:trPr>
          <w:trHeight w:val="335"/>
        </w:trPr>
        <w:tc>
          <w:tcPr>
            <w:cnfStyle w:val="001000000000" w:firstRow="0" w:lastRow="0" w:firstColumn="1" w:lastColumn="0" w:oddVBand="0" w:evenVBand="0" w:oddHBand="0" w:evenHBand="0" w:firstRowFirstColumn="0" w:firstRowLastColumn="0" w:lastRowFirstColumn="0" w:lastRowLastColumn="0"/>
            <w:tcW w:w="3544" w:type="dxa"/>
            <w:noWrap/>
            <w:hideMark/>
          </w:tcPr>
          <w:p w:rsidR="00613DEF" w:rsidRPr="00C02A8D" w:rsidRDefault="00613DEF" w:rsidP="007625A0">
            <w:pPr>
              <w:rPr>
                <w:rFonts w:ascii="Arial" w:eastAsia="Times New Roman" w:hAnsi="Arial" w:cs="Arial"/>
                <w:color w:val="000000"/>
                <w:sz w:val="24"/>
                <w:szCs w:val="24"/>
              </w:rPr>
            </w:pPr>
            <w:r w:rsidRPr="00C02A8D">
              <w:rPr>
                <w:rFonts w:ascii="Arial" w:eastAsia="Times New Roman" w:hAnsi="Arial" w:cs="Arial"/>
                <w:color w:val="000000"/>
                <w:sz w:val="24"/>
                <w:szCs w:val="24"/>
              </w:rPr>
              <w:t>Return on Equity</w:t>
            </w:r>
          </w:p>
        </w:tc>
        <w:tc>
          <w:tcPr>
            <w:tcW w:w="1559" w:type="dxa"/>
            <w:noWrap/>
            <w:hideMark/>
          </w:tcPr>
          <w:p w:rsidR="00613DEF" w:rsidRPr="00C02A8D"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£m</w:t>
            </w:r>
          </w:p>
        </w:tc>
        <w:tc>
          <w:tcPr>
            <w:tcW w:w="1030"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2.72</w:t>
            </w:r>
          </w:p>
        </w:tc>
        <w:tc>
          <w:tcPr>
            <w:tcW w:w="1097"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0.39</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0.03</w:t>
            </w:r>
          </w:p>
        </w:tc>
        <w:tc>
          <w:tcPr>
            <w:tcW w:w="1134"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-7.64</w:t>
            </w:r>
          </w:p>
        </w:tc>
        <w:tc>
          <w:tcPr>
            <w:tcW w:w="992" w:type="dxa"/>
            <w:noWrap/>
            <w:hideMark/>
          </w:tcPr>
          <w:p w:rsidR="00613DEF" w:rsidRPr="00C02A8D" w:rsidRDefault="00613DEF" w:rsidP="007625A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C02A8D">
              <w:rPr>
                <w:rFonts w:ascii="Arial" w:eastAsia="Times New Roman" w:hAnsi="Arial" w:cs="Arial"/>
                <w:color w:val="000000"/>
                <w:sz w:val="24"/>
                <w:szCs w:val="24"/>
              </w:rPr>
              <w:t>-1.85</w:t>
            </w:r>
          </w:p>
        </w:tc>
      </w:tr>
    </w:tbl>
    <w:p w:rsidR="00613DEF" w:rsidRDefault="00613DEF" w:rsidP="00613DEF">
      <w:pPr>
        <w:pStyle w:val="ListParagraph"/>
        <w:spacing w:line="360" w:lineRule="auto"/>
        <w:ind w:left="737" w:right="737"/>
        <w:rPr>
          <w:rFonts w:ascii="Arial" w:hAnsi="Arial" w:cs="Arial"/>
          <w:sz w:val="24"/>
          <w:szCs w:val="24"/>
        </w:rPr>
      </w:pPr>
    </w:p>
    <w:p w:rsidR="00613DEF" w:rsidRDefault="00613DEF" w:rsidP="00613DEF">
      <w:pPr>
        <w:pStyle w:val="Heading1"/>
        <w:ind w:left="737"/>
        <w:rPr>
          <w:rFonts w:ascii="Arial" w:hAnsi="Arial" w:cs="Arial"/>
          <w:b/>
          <w:color w:val="000000" w:themeColor="text1"/>
          <w:sz w:val="24"/>
          <w:szCs w:val="24"/>
        </w:rPr>
      </w:pPr>
      <w:bookmarkStart w:id="7" w:name="_Toc214744192"/>
      <w:bookmarkStart w:id="8" w:name="_Toc214744264"/>
      <w:r w:rsidRPr="00C02A8D">
        <w:rPr>
          <w:rFonts w:ascii="Arial" w:hAnsi="Arial" w:cs="Arial"/>
          <w:b/>
          <w:color w:val="000000" w:themeColor="text1"/>
          <w:sz w:val="24"/>
          <w:szCs w:val="24"/>
        </w:rPr>
        <w:t xml:space="preserve">Appendices </w:t>
      </w:r>
      <w:r>
        <w:rPr>
          <w:rFonts w:ascii="Arial" w:hAnsi="Arial" w:cs="Arial"/>
          <w:b/>
          <w:color w:val="000000" w:themeColor="text1"/>
          <w:sz w:val="24"/>
          <w:szCs w:val="24"/>
        </w:rPr>
        <w:t xml:space="preserve">B: </w:t>
      </w:r>
      <w:r w:rsidRPr="00C02A8D">
        <w:rPr>
          <w:rFonts w:ascii="Arial" w:hAnsi="Arial" w:cs="Arial"/>
          <w:color w:val="000000" w:themeColor="text1"/>
          <w:sz w:val="24"/>
          <w:szCs w:val="24"/>
        </w:rPr>
        <w:t xml:space="preserve"> </w:t>
      </w:r>
      <w:r w:rsidRPr="00C02A8D">
        <w:rPr>
          <w:rFonts w:ascii="Arial" w:hAnsi="Arial" w:cs="Arial"/>
          <w:b/>
          <w:color w:val="000000" w:themeColor="text1"/>
          <w:sz w:val="24"/>
          <w:szCs w:val="24"/>
        </w:rPr>
        <w:t>General Electronics - CCC Table (2020-2024)</w:t>
      </w:r>
      <w:bookmarkEnd w:id="7"/>
      <w:bookmarkEnd w:id="8"/>
    </w:p>
    <w:p w:rsidR="00613DEF" w:rsidRPr="00C02A8D" w:rsidRDefault="00613DEF" w:rsidP="00613DEF"/>
    <w:tbl>
      <w:tblPr>
        <w:tblStyle w:val="GridTable4-Accent5"/>
        <w:tblpPr w:leftFromText="180" w:rightFromText="180" w:vertAnchor="text" w:horzAnchor="margin" w:tblpXSpec="center" w:tblpY="19"/>
        <w:tblW w:w="8882" w:type="dxa"/>
        <w:tblLook w:val="04A0" w:firstRow="1" w:lastRow="0" w:firstColumn="1" w:lastColumn="0" w:noHBand="0" w:noVBand="1"/>
      </w:tblPr>
      <w:tblGrid>
        <w:gridCol w:w="750"/>
        <w:gridCol w:w="1866"/>
        <w:gridCol w:w="2499"/>
        <w:gridCol w:w="2099"/>
        <w:gridCol w:w="1668"/>
      </w:tblGrid>
      <w:tr w:rsidR="00613DEF" w:rsidRPr="00DE585B" w:rsidTr="007625A0">
        <w:trPr>
          <w:cnfStyle w:val="100000000000" w:firstRow="1" w:lastRow="0" w:firstColumn="0" w:lastColumn="0" w:oddVBand="0" w:evenVBand="0" w:oddHBand="0"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C02A8D" w:rsidRDefault="00613DEF" w:rsidP="007625A0">
            <w:pPr>
              <w:rPr>
                <w:rFonts w:ascii="Arial" w:eastAsia="Times New Roman" w:hAnsi="Arial" w:cs="Arial"/>
                <w:sz w:val="24"/>
                <w:szCs w:val="24"/>
              </w:rPr>
            </w:pPr>
            <w:r w:rsidRPr="00C02A8D">
              <w:rPr>
                <w:rFonts w:ascii="Arial" w:eastAsia="Times New Roman" w:hAnsi="Arial" w:cs="Arial"/>
                <w:sz w:val="24"/>
                <w:szCs w:val="24"/>
                <w:bdr w:val="none" w:sz="0" w:space="0" w:color="auto" w:frame="1"/>
              </w:rPr>
              <w:t>Year</w:t>
            </w:r>
          </w:p>
        </w:tc>
        <w:tc>
          <w:tcPr>
            <w:tcW w:w="0" w:type="auto"/>
            <w:hideMark/>
          </w:tcPr>
          <w:p w:rsidR="00613DEF" w:rsidRPr="00C02A8D" w:rsidRDefault="00613DEF" w:rsidP="007625A0">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02A8D">
              <w:rPr>
                <w:rFonts w:ascii="Arial" w:eastAsia="Times New Roman" w:hAnsi="Arial" w:cs="Arial"/>
                <w:sz w:val="24"/>
                <w:szCs w:val="24"/>
                <w:bdr w:val="none" w:sz="0" w:space="0" w:color="auto" w:frame="1"/>
              </w:rPr>
              <w:t>Inventory Days</w:t>
            </w:r>
          </w:p>
        </w:tc>
        <w:tc>
          <w:tcPr>
            <w:tcW w:w="0" w:type="auto"/>
            <w:hideMark/>
          </w:tcPr>
          <w:p w:rsidR="00613DEF" w:rsidRPr="00C02A8D" w:rsidRDefault="00613DEF" w:rsidP="007625A0">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02A8D">
              <w:rPr>
                <w:rFonts w:ascii="Arial" w:eastAsia="Times New Roman" w:hAnsi="Arial" w:cs="Arial"/>
                <w:b w:val="0"/>
                <w:bCs w:val="0"/>
                <w:sz w:val="24"/>
                <w:szCs w:val="24"/>
                <w:bdr w:val="none" w:sz="0" w:space="0" w:color="auto" w:frame="1"/>
              </w:rPr>
              <w:t>(</w:t>
            </w:r>
            <w:r w:rsidRPr="00C02A8D">
              <w:rPr>
                <w:rFonts w:ascii="Arial" w:eastAsia="Times New Roman" w:hAnsi="Arial" w:cs="Arial"/>
                <w:sz w:val="24"/>
                <w:szCs w:val="24"/>
                <w:bdr w:val="none" w:sz="0" w:space="0" w:color="auto" w:frame="1"/>
              </w:rPr>
              <w:t>+</w:t>
            </w:r>
            <w:r w:rsidRPr="00C02A8D">
              <w:rPr>
                <w:rFonts w:ascii="Arial" w:eastAsia="Times New Roman" w:hAnsi="Arial" w:cs="Arial"/>
                <w:b w:val="0"/>
                <w:bCs w:val="0"/>
                <w:sz w:val="24"/>
                <w:szCs w:val="24"/>
                <w:bdr w:val="none" w:sz="0" w:space="0" w:color="auto" w:frame="1"/>
              </w:rPr>
              <w:t>)</w:t>
            </w:r>
            <w:r w:rsidRPr="00C02A8D">
              <w:rPr>
                <w:rFonts w:ascii="Arial" w:eastAsia="Times New Roman" w:hAnsi="Arial" w:cs="Arial"/>
                <w:sz w:val="24"/>
                <w:szCs w:val="24"/>
                <w:bdr w:val="none" w:sz="0" w:space="0" w:color="auto" w:frame="1"/>
              </w:rPr>
              <w:t xml:space="preserve"> Receivables Days</w:t>
            </w:r>
          </w:p>
        </w:tc>
        <w:tc>
          <w:tcPr>
            <w:tcW w:w="0" w:type="auto"/>
            <w:hideMark/>
          </w:tcPr>
          <w:p w:rsidR="00613DEF" w:rsidRPr="00C02A8D" w:rsidRDefault="00613DEF" w:rsidP="007625A0">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02A8D">
              <w:rPr>
                <w:rFonts w:ascii="Arial" w:eastAsia="Times New Roman" w:hAnsi="Arial" w:cs="Arial"/>
                <w:b w:val="0"/>
                <w:bCs w:val="0"/>
                <w:sz w:val="24"/>
                <w:szCs w:val="24"/>
                <w:bdr w:val="none" w:sz="0" w:space="0" w:color="auto" w:frame="1"/>
              </w:rPr>
              <w:t>(-)</w:t>
            </w:r>
            <w:r w:rsidRPr="00C02A8D">
              <w:rPr>
                <w:rFonts w:ascii="Arial" w:eastAsia="Times New Roman" w:hAnsi="Arial" w:cs="Arial"/>
                <w:sz w:val="24"/>
                <w:szCs w:val="24"/>
                <w:bdr w:val="none" w:sz="0" w:space="0" w:color="auto" w:frame="1"/>
              </w:rPr>
              <w:t xml:space="preserve"> Payables Days</w:t>
            </w:r>
          </w:p>
        </w:tc>
        <w:tc>
          <w:tcPr>
            <w:tcW w:w="0" w:type="auto"/>
            <w:hideMark/>
          </w:tcPr>
          <w:p w:rsidR="00613DEF" w:rsidRPr="00C02A8D" w:rsidRDefault="00613DEF" w:rsidP="007625A0">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02A8D">
              <w:rPr>
                <w:rFonts w:ascii="Arial" w:eastAsia="Times New Roman" w:hAnsi="Arial" w:cs="Arial"/>
                <w:sz w:val="24"/>
                <w:szCs w:val="24"/>
                <w:bdr w:val="none" w:sz="0" w:space="0" w:color="auto" w:frame="1"/>
              </w:rPr>
              <w:t>= COC (Days)</w:t>
            </w:r>
          </w:p>
        </w:tc>
      </w:tr>
      <w:tr w:rsidR="00613DEF" w:rsidRPr="00DE585B" w:rsidTr="007625A0">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DE585B" w:rsidRDefault="00613DEF" w:rsidP="007625A0">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2024</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108.9</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88.8</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128.7</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69.0</w:t>
            </w:r>
          </w:p>
        </w:tc>
      </w:tr>
      <w:tr w:rsidR="00613DEF" w:rsidRPr="00DE585B" w:rsidTr="007625A0">
        <w:trPr>
          <w:trHeight w:val="680"/>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DE585B" w:rsidRDefault="00613DEF" w:rsidP="007625A0">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2023</w:t>
            </w:r>
          </w:p>
        </w:tc>
        <w:tc>
          <w:tcPr>
            <w:tcW w:w="0" w:type="auto"/>
            <w:hideMark/>
          </w:tcPr>
          <w:p w:rsidR="00613DEF" w:rsidRPr="00DE585B"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129.1</w:t>
            </w:r>
          </w:p>
        </w:tc>
        <w:tc>
          <w:tcPr>
            <w:tcW w:w="0" w:type="auto"/>
            <w:hideMark/>
          </w:tcPr>
          <w:p w:rsidR="00613DEF" w:rsidRPr="00DE585B"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94.7</w:t>
            </w:r>
          </w:p>
        </w:tc>
        <w:tc>
          <w:tcPr>
            <w:tcW w:w="0" w:type="auto"/>
            <w:hideMark/>
          </w:tcPr>
          <w:p w:rsidR="00613DEF" w:rsidRPr="00DE585B"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132.3</w:t>
            </w:r>
          </w:p>
        </w:tc>
        <w:tc>
          <w:tcPr>
            <w:tcW w:w="0" w:type="auto"/>
            <w:hideMark/>
          </w:tcPr>
          <w:p w:rsidR="00613DEF" w:rsidRPr="00DE585B"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91.5</w:t>
            </w:r>
          </w:p>
        </w:tc>
      </w:tr>
      <w:tr w:rsidR="00613DEF" w:rsidRPr="00DE585B" w:rsidTr="007625A0">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DE585B" w:rsidRDefault="00613DEF" w:rsidP="007625A0">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lastRenderedPageBreak/>
              <w:t>2022</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128.4</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80.1</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126.0</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82.5</w:t>
            </w:r>
          </w:p>
        </w:tc>
      </w:tr>
      <w:tr w:rsidR="00613DEF" w:rsidRPr="00DE585B" w:rsidTr="007625A0">
        <w:trPr>
          <w:trHeight w:val="710"/>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DE585B" w:rsidRDefault="00613DEF" w:rsidP="007625A0">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2021</w:t>
            </w:r>
          </w:p>
        </w:tc>
        <w:tc>
          <w:tcPr>
            <w:tcW w:w="0" w:type="auto"/>
            <w:hideMark/>
          </w:tcPr>
          <w:p w:rsidR="00613DEF" w:rsidRPr="00DE585B"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108.5</w:t>
            </w:r>
          </w:p>
        </w:tc>
        <w:tc>
          <w:tcPr>
            <w:tcW w:w="0" w:type="auto"/>
            <w:hideMark/>
          </w:tcPr>
          <w:p w:rsidR="00613DEF" w:rsidRPr="00DE585B"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72.5</w:t>
            </w:r>
          </w:p>
        </w:tc>
        <w:tc>
          <w:tcPr>
            <w:tcW w:w="0" w:type="auto"/>
            <w:hideMark/>
          </w:tcPr>
          <w:p w:rsidR="00613DEF" w:rsidRPr="00DE585B"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103.4</w:t>
            </w:r>
          </w:p>
        </w:tc>
        <w:tc>
          <w:tcPr>
            <w:tcW w:w="0" w:type="auto"/>
            <w:hideMark/>
          </w:tcPr>
          <w:p w:rsidR="00613DEF" w:rsidRPr="00DE585B"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77.6</w:t>
            </w:r>
          </w:p>
        </w:tc>
      </w:tr>
      <w:tr w:rsidR="00613DEF" w:rsidRPr="00DE585B" w:rsidTr="007625A0">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DE585B" w:rsidRDefault="00613DEF" w:rsidP="007625A0">
            <w:pPr>
              <w:jc w:val="center"/>
              <w:rPr>
                <w:rFonts w:ascii="Arial" w:eastAsia="Times New Roman" w:hAnsi="Arial" w:cs="Arial"/>
                <w:color w:val="1B1C1D"/>
                <w:sz w:val="24"/>
                <w:szCs w:val="24"/>
              </w:rPr>
            </w:pPr>
            <w:r w:rsidRPr="00DE585B">
              <w:rPr>
                <w:rFonts w:ascii="Arial" w:eastAsia="Times New Roman" w:hAnsi="Arial" w:cs="Arial"/>
                <w:color w:val="1B1C1D"/>
                <w:sz w:val="24"/>
                <w:szCs w:val="24"/>
                <w:bdr w:val="none" w:sz="0" w:space="0" w:color="auto" w:frame="1"/>
              </w:rPr>
              <w:t>2020</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100.3</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 xml:space="preserve"> 71.5</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color w:val="1B1C1D"/>
                <w:sz w:val="24"/>
                <w:szCs w:val="24"/>
              </w:rPr>
              <w:t>90.0</w:t>
            </w:r>
          </w:p>
        </w:tc>
        <w:tc>
          <w:tcPr>
            <w:tcW w:w="0" w:type="auto"/>
            <w:hideMark/>
          </w:tcPr>
          <w:p w:rsidR="00613DEF" w:rsidRPr="00DE585B"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DE585B">
              <w:rPr>
                <w:rFonts w:ascii="Arial" w:eastAsia="Times New Roman" w:hAnsi="Arial" w:cs="Arial"/>
                <w:b/>
                <w:bCs/>
                <w:color w:val="1B1C1D"/>
                <w:sz w:val="24"/>
                <w:szCs w:val="24"/>
                <w:bdr w:val="none" w:sz="0" w:space="0" w:color="auto" w:frame="1"/>
              </w:rPr>
              <w:t>81.7</w:t>
            </w:r>
          </w:p>
        </w:tc>
      </w:tr>
    </w:tbl>
    <w:p w:rsidR="00613DEF" w:rsidRDefault="00613DEF" w:rsidP="00613DEF">
      <w:pPr>
        <w:pStyle w:val="ListParagraph"/>
        <w:spacing w:line="360" w:lineRule="auto"/>
        <w:ind w:left="737" w:right="737"/>
        <w:rPr>
          <w:rFonts w:ascii="Arial" w:hAnsi="Arial" w:cs="Arial"/>
          <w:sz w:val="24"/>
          <w:szCs w:val="24"/>
        </w:rPr>
      </w:pPr>
    </w:p>
    <w:p w:rsidR="00613DEF" w:rsidRDefault="00613DEF" w:rsidP="00613DEF">
      <w:pPr>
        <w:pStyle w:val="ListParagraph"/>
        <w:spacing w:line="360" w:lineRule="auto"/>
        <w:ind w:left="737" w:right="737"/>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Heading1"/>
        <w:ind w:left="737"/>
        <w:rPr>
          <w:rFonts w:ascii="Arial" w:hAnsi="Arial" w:cs="Arial"/>
          <w:sz w:val="24"/>
          <w:szCs w:val="24"/>
        </w:rPr>
      </w:pPr>
      <w:bookmarkStart w:id="9" w:name="_Toc214744193"/>
      <w:bookmarkStart w:id="10" w:name="_Toc214744265"/>
      <w:r w:rsidRPr="00C02A8D">
        <w:rPr>
          <w:rFonts w:ascii="Arial" w:hAnsi="Arial" w:cs="Arial"/>
          <w:b/>
          <w:color w:val="000000" w:themeColor="text1"/>
          <w:sz w:val="24"/>
          <w:szCs w:val="24"/>
        </w:rPr>
        <w:t xml:space="preserve">Appendices </w:t>
      </w:r>
      <w:r>
        <w:rPr>
          <w:rFonts w:ascii="Arial" w:hAnsi="Arial" w:cs="Arial"/>
          <w:b/>
          <w:color w:val="000000" w:themeColor="text1"/>
          <w:sz w:val="24"/>
          <w:szCs w:val="24"/>
        </w:rPr>
        <w:t xml:space="preserve">C: </w:t>
      </w:r>
      <w:r w:rsidRPr="00C02A8D">
        <w:rPr>
          <w:rFonts w:ascii="Arial" w:hAnsi="Arial" w:cs="Arial"/>
          <w:color w:val="000000" w:themeColor="text1"/>
          <w:sz w:val="24"/>
          <w:szCs w:val="24"/>
        </w:rPr>
        <w:t xml:space="preserve"> </w:t>
      </w:r>
      <w:r w:rsidRPr="00C02A8D">
        <w:rPr>
          <w:rFonts w:ascii="Arial" w:hAnsi="Arial" w:cs="Arial"/>
          <w:b/>
          <w:color w:val="000000" w:themeColor="text1"/>
          <w:sz w:val="24"/>
          <w:szCs w:val="24"/>
        </w:rPr>
        <w:t>General Electronics – Investment Appraisal Results</w:t>
      </w:r>
      <w:bookmarkEnd w:id="9"/>
      <w:bookmarkEnd w:id="10"/>
    </w:p>
    <w:tbl>
      <w:tblPr>
        <w:tblStyle w:val="PlainTable1"/>
        <w:tblpPr w:leftFromText="180" w:rightFromText="180" w:vertAnchor="text" w:horzAnchor="page" w:tblpX="1627" w:tblpY="492"/>
        <w:tblW w:w="8392" w:type="dxa"/>
        <w:tblLook w:val="04A0" w:firstRow="1" w:lastRow="0" w:firstColumn="1" w:lastColumn="0" w:noHBand="0" w:noVBand="1"/>
      </w:tblPr>
      <w:tblGrid>
        <w:gridCol w:w="922"/>
        <w:gridCol w:w="1732"/>
        <w:gridCol w:w="903"/>
        <w:gridCol w:w="822"/>
        <w:gridCol w:w="1519"/>
        <w:gridCol w:w="762"/>
        <w:gridCol w:w="1732"/>
      </w:tblGrid>
      <w:tr w:rsidR="00613DEF" w:rsidRPr="001D55FF" w:rsidTr="007625A0">
        <w:trPr>
          <w:cnfStyle w:val="100000000000" w:firstRow="1" w:lastRow="0" w:firstColumn="0" w:lastColumn="0" w:oddVBand="0" w:evenVBand="0" w:oddHBand="0" w:evenHBand="0" w:firstRowFirstColumn="0" w:firstRowLastColumn="0" w:lastRowFirstColumn="0" w:lastRowLastColumn="0"/>
          <w:trHeight w:val="1036"/>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1D55FF" w:rsidRDefault="00613DEF" w:rsidP="007625A0">
            <w:pPr>
              <w:jc w:val="center"/>
            </w:pPr>
            <w:r w:rsidRPr="001D55FF">
              <w:t>Project</w:t>
            </w:r>
          </w:p>
        </w:tc>
        <w:tc>
          <w:tcPr>
            <w:tcW w:w="0" w:type="auto"/>
            <w:hideMark/>
          </w:tcPr>
          <w:p w:rsidR="00613DEF" w:rsidRPr="001D55FF" w:rsidRDefault="00613DEF" w:rsidP="007625A0">
            <w:pPr>
              <w:jc w:val="center"/>
              <w:cnfStyle w:val="100000000000" w:firstRow="1" w:lastRow="0" w:firstColumn="0" w:lastColumn="0" w:oddVBand="0" w:evenVBand="0" w:oddHBand="0" w:evenHBand="0" w:firstRowFirstColumn="0" w:firstRowLastColumn="0" w:lastRowFirstColumn="0" w:lastRowLastColumn="0"/>
            </w:pPr>
            <w:r w:rsidRPr="001D55FF">
              <w:t>Initial Investment (£m)</w:t>
            </w:r>
          </w:p>
        </w:tc>
        <w:tc>
          <w:tcPr>
            <w:tcW w:w="0" w:type="auto"/>
            <w:hideMark/>
          </w:tcPr>
          <w:p w:rsidR="00613DEF" w:rsidRPr="001D55FF" w:rsidRDefault="00613DEF" w:rsidP="007625A0">
            <w:pPr>
              <w:jc w:val="center"/>
              <w:cnfStyle w:val="100000000000" w:firstRow="1" w:lastRow="0" w:firstColumn="0" w:lastColumn="0" w:oddVBand="0" w:evenVBand="0" w:oddHBand="0" w:evenHBand="0" w:firstRowFirstColumn="0" w:firstRowLastColumn="0" w:lastRowFirstColumn="0" w:lastRowLastColumn="0"/>
            </w:pPr>
            <w:r w:rsidRPr="001D55FF">
              <w:t>NPV (£m)</w:t>
            </w:r>
          </w:p>
        </w:tc>
        <w:tc>
          <w:tcPr>
            <w:tcW w:w="0" w:type="auto"/>
            <w:hideMark/>
          </w:tcPr>
          <w:p w:rsidR="00613DEF" w:rsidRPr="001D55FF" w:rsidRDefault="00613DEF" w:rsidP="007625A0">
            <w:pPr>
              <w:jc w:val="center"/>
              <w:cnfStyle w:val="100000000000" w:firstRow="1" w:lastRow="0" w:firstColumn="0" w:lastColumn="0" w:oddVBand="0" w:evenVBand="0" w:oddHBand="0" w:evenHBand="0" w:firstRowFirstColumn="0" w:firstRowLastColumn="0" w:lastRowFirstColumn="0" w:lastRowLastColumn="0"/>
            </w:pPr>
            <w:r w:rsidRPr="001D55FF">
              <w:t>IRR (%)</w:t>
            </w:r>
          </w:p>
        </w:tc>
        <w:tc>
          <w:tcPr>
            <w:tcW w:w="0" w:type="auto"/>
            <w:hideMark/>
          </w:tcPr>
          <w:p w:rsidR="00613DEF" w:rsidRPr="001D55FF" w:rsidRDefault="00613DEF" w:rsidP="007625A0">
            <w:pPr>
              <w:jc w:val="center"/>
              <w:cnfStyle w:val="100000000000" w:firstRow="1" w:lastRow="0" w:firstColumn="0" w:lastColumn="0" w:oddVBand="0" w:evenVBand="0" w:oddHBand="0" w:evenHBand="0" w:firstRowFirstColumn="0" w:firstRowLastColumn="0" w:lastRowFirstColumn="0" w:lastRowLastColumn="0"/>
            </w:pPr>
            <w:r w:rsidRPr="001D55FF">
              <w:t>Payback Period (Years)</w:t>
            </w:r>
          </w:p>
        </w:tc>
        <w:tc>
          <w:tcPr>
            <w:tcW w:w="0" w:type="auto"/>
            <w:hideMark/>
          </w:tcPr>
          <w:p w:rsidR="00613DEF" w:rsidRPr="001D55FF" w:rsidRDefault="00613DEF" w:rsidP="007625A0">
            <w:pPr>
              <w:jc w:val="center"/>
              <w:cnfStyle w:val="100000000000" w:firstRow="1" w:lastRow="0" w:firstColumn="0" w:lastColumn="0" w:oddVBand="0" w:evenVBand="0" w:oddHBand="0" w:evenHBand="0" w:firstRowFirstColumn="0" w:firstRowLastColumn="0" w:lastRowFirstColumn="0" w:lastRowLastColumn="0"/>
            </w:pPr>
            <w:r w:rsidRPr="001D55FF">
              <w:t>ARR (%)</w:t>
            </w:r>
          </w:p>
        </w:tc>
        <w:tc>
          <w:tcPr>
            <w:tcW w:w="0" w:type="auto"/>
            <w:hideMark/>
          </w:tcPr>
          <w:p w:rsidR="00613DEF" w:rsidRPr="001D55FF" w:rsidRDefault="00613DEF" w:rsidP="007625A0">
            <w:pPr>
              <w:jc w:val="center"/>
              <w:cnfStyle w:val="100000000000" w:firstRow="1" w:lastRow="0" w:firstColumn="0" w:lastColumn="0" w:oddVBand="0" w:evenVBand="0" w:oddHBand="0" w:evenHBand="0" w:firstRowFirstColumn="0" w:firstRowLastColumn="0" w:lastRowFirstColumn="0" w:lastRowLastColumn="0"/>
            </w:pPr>
            <w:r w:rsidRPr="001D55FF">
              <w:t>Profitability Index (PI)</w:t>
            </w:r>
          </w:p>
        </w:tc>
      </w:tr>
      <w:tr w:rsidR="00613DEF" w:rsidRPr="001D55FF" w:rsidTr="007625A0">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1D55FF" w:rsidRDefault="00613DEF" w:rsidP="007625A0">
            <w:pPr>
              <w:jc w:val="center"/>
            </w:pPr>
            <w:r w:rsidRPr="001D55FF">
              <w:t>A</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sidRPr="001D55FF">
              <w:t>40</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1.306</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11.33</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3.40</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14</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1.03</w:t>
            </w:r>
          </w:p>
        </w:tc>
      </w:tr>
      <w:tr w:rsidR="00613DEF" w:rsidRPr="001D55FF" w:rsidTr="007625A0">
        <w:trPr>
          <w:trHeight w:val="518"/>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1D55FF" w:rsidRDefault="00613DEF" w:rsidP="007625A0">
            <w:pPr>
              <w:jc w:val="center"/>
            </w:pPr>
            <w:r w:rsidRPr="001D55FF">
              <w:t>B</w:t>
            </w:r>
          </w:p>
        </w:tc>
        <w:tc>
          <w:tcPr>
            <w:tcW w:w="0" w:type="auto"/>
            <w:hideMark/>
          </w:tcPr>
          <w:p w:rsidR="00613DEF" w:rsidRPr="001D55FF" w:rsidRDefault="00613DEF" w:rsidP="007625A0">
            <w:pPr>
              <w:jc w:val="center"/>
              <w:cnfStyle w:val="000000000000" w:firstRow="0" w:lastRow="0" w:firstColumn="0" w:lastColumn="0" w:oddVBand="0" w:evenVBand="0" w:oddHBand="0" w:evenHBand="0" w:firstRowFirstColumn="0" w:firstRowLastColumn="0" w:lastRowFirstColumn="0" w:lastRowLastColumn="0"/>
            </w:pPr>
            <w:r w:rsidRPr="001D55FF">
              <w:t>30</w:t>
            </w:r>
          </w:p>
        </w:tc>
        <w:tc>
          <w:tcPr>
            <w:tcW w:w="0" w:type="auto"/>
            <w:hideMark/>
          </w:tcPr>
          <w:p w:rsidR="00613DEF" w:rsidRPr="001D55FF" w:rsidRDefault="00613DEF" w:rsidP="007625A0">
            <w:pPr>
              <w:jc w:val="center"/>
              <w:cnfStyle w:val="000000000000" w:firstRow="0" w:lastRow="0" w:firstColumn="0" w:lastColumn="0" w:oddVBand="0" w:evenVBand="0" w:oddHBand="0" w:evenHBand="0" w:firstRowFirstColumn="0" w:firstRowLastColumn="0" w:lastRowFirstColumn="0" w:lastRowLastColumn="0"/>
            </w:pPr>
            <w:r>
              <w:rPr>
                <w:b/>
                <w:bCs/>
              </w:rPr>
              <w:t>-7.266</w:t>
            </w:r>
          </w:p>
        </w:tc>
        <w:tc>
          <w:tcPr>
            <w:tcW w:w="0" w:type="auto"/>
            <w:hideMark/>
          </w:tcPr>
          <w:p w:rsidR="00613DEF" w:rsidRPr="001D55FF" w:rsidRDefault="00613DEF" w:rsidP="007625A0">
            <w:pPr>
              <w:jc w:val="center"/>
              <w:cnfStyle w:val="000000000000" w:firstRow="0" w:lastRow="0" w:firstColumn="0" w:lastColumn="0" w:oddVBand="0" w:evenVBand="0" w:oddHBand="0" w:evenHBand="0" w:firstRowFirstColumn="0" w:firstRowLastColumn="0" w:lastRowFirstColumn="0" w:lastRowLastColumn="0"/>
            </w:pPr>
            <w:r>
              <w:rPr>
                <w:b/>
                <w:bCs/>
              </w:rPr>
              <w:t>0.0</w:t>
            </w:r>
          </w:p>
        </w:tc>
        <w:tc>
          <w:tcPr>
            <w:tcW w:w="0" w:type="auto"/>
            <w:hideMark/>
          </w:tcPr>
          <w:p w:rsidR="00613DEF" w:rsidRPr="001D55FF" w:rsidRDefault="00613DEF" w:rsidP="007625A0">
            <w:pPr>
              <w:jc w:val="center"/>
              <w:cnfStyle w:val="000000000000" w:firstRow="0" w:lastRow="0" w:firstColumn="0" w:lastColumn="0" w:oddVBand="0" w:evenVBand="0" w:oddHBand="0" w:evenHBand="0" w:firstRowFirstColumn="0" w:firstRowLastColumn="0" w:lastRowFirstColumn="0" w:lastRowLastColumn="0"/>
            </w:pPr>
            <w:r>
              <w:rPr>
                <w:b/>
                <w:bCs/>
              </w:rPr>
              <w:t>5</w:t>
            </w:r>
          </w:p>
        </w:tc>
        <w:tc>
          <w:tcPr>
            <w:tcW w:w="0" w:type="auto"/>
            <w:hideMark/>
          </w:tcPr>
          <w:p w:rsidR="00613DEF" w:rsidRPr="001D55FF" w:rsidRDefault="00613DEF" w:rsidP="007625A0">
            <w:pPr>
              <w:jc w:val="center"/>
              <w:cnfStyle w:val="000000000000" w:firstRow="0" w:lastRow="0" w:firstColumn="0" w:lastColumn="0" w:oddVBand="0" w:evenVBand="0" w:oddHBand="0" w:evenHBand="0" w:firstRowFirstColumn="0" w:firstRowLastColumn="0" w:lastRowFirstColumn="0" w:lastRowLastColumn="0"/>
            </w:pPr>
            <w:r w:rsidRPr="001D55FF">
              <w:rPr>
                <w:b/>
                <w:bCs/>
              </w:rPr>
              <w:t>0</w:t>
            </w:r>
          </w:p>
        </w:tc>
        <w:tc>
          <w:tcPr>
            <w:tcW w:w="0" w:type="auto"/>
            <w:hideMark/>
          </w:tcPr>
          <w:p w:rsidR="00613DEF" w:rsidRPr="001D55FF" w:rsidRDefault="00613DEF" w:rsidP="007625A0">
            <w:pPr>
              <w:jc w:val="center"/>
              <w:cnfStyle w:val="000000000000" w:firstRow="0" w:lastRow="0" w:firstColumn="0" w:lastColumn="0" w:oddVBand="0" w:evenVBand="0" w:oddHBand="0" w:evenHBand="0" w:firstRowFirstColumn="0" w:firstRowLastColumn="0" w:lastRowFirstColumn="0" w:lastRowLastColumn="0"/>
            </w:pPr>
            <w:r>
              <w:rPr>
                <w:b/>
                <w:bCs/>
              </w:rPr>
              <w:t>0.758</w:t>
            </w:r>
          </w:p>
        </w:tc>
      </w:tr>
      <w:tr w:rsidR="00613DEF" w:rsidRPr="001D55FF" w:rsidTr="007625A0">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1D55FF" w:rsidRDefault="00613DEF" w:rsidP="007625A0">
            <w:pPr>
              <w:jc w:val="center"/>
            </w:pPr>
            <w:r w:rsidRPr="001D55FF">
              <w:t>C</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sidRPr="001D55FF">
              <w:t>50</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4.2</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12.37</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3.60</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20</w:t>
            </w:r>
          </w:p>
        </w:tc>
        <w:tc>
          <w:tcPr>
            <w:tcW w:w="0" w:type="auto"/>
            <w:hideMark/>
          </w:tcPr>
          <w:p w:rsidR="00613DEF" w:rsidRPr="001D55FF" w:rsidRDefault="00613DEF" w:rsidP="007625A0">
            <w:pPr>
              <w:jc w:val="center"/>
              <w:cnfStyle w:val="000000100000" w:firstRow="0" w:lastRow="0" w:firstColumn="0" w:lastColumn="0" w:oddVBand="0" w:evenVBand="0" w:oddHBand="1" w:evenHBand="0" w:firstRowFirstColumn="0" w:firstRowLastColumn="0" w:lastRowFirstColumn="0" w:lastRowLastColumn="0"/>
            </w:pPr>
            <w:r>
              <w:rPr>
                <w:b/>
                <w:bCs/>
              </w:rPr>
              <w:t>1.085</w:t>
            </w:r>
          </w:p>
        </w:tc>
      </w:tr>
    </w:tbl>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tbl>
      <w:tblPr>
        <w:tblStyle w:val="GridTable5Dark-Accent4"/>
        <w:tblpPr w:leftFromText="180" w:rightFromText="180" w:vertAnchor="text" w:horzAnchor="margin" w:tblpXSpec="center" w:tblpY="91"/>
        <w:tblW w:w="8398" w:type="dxa"/>
        <w:tblLook w:val="04A0" w:firstRow="1" w:lastRow="0" w:firstColumn="1" w:lastColumn="0" w:noHBand="0" w:noVBand="1"/>
      </w:tblPr>
      <w:tblGrid>
        <w:gridCol w:w="1291"/>
        <w:gridCol w:w="2463"/>
        <w:gridCol w:w="1609"/>
        <w:gridCol w:w="1025"/>
        <w:gridCol w:w="2010"/>
      </w:tblGrid>
      <w:tr w:rsidR="00613DEF" w:rsidRPr="00BF27FF" w:rsidTr="007625A0">
        <w:trPr>
          <w:cnfStyle w:val="100000000000" w:firstRow="1" w:lastRow="0" w:firstColumn="0" w:lastColumn="0" w:oddVBand="0" w:evenVBand="0" w:oddHBand="0"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613DEF" w:rsidRDefault="00613DEF" w:rsidP="007625A0">
            <w:pPr>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Project</w:t>
            </w:r>
          </w:p>
        </w:tc>
        <w:tc>
          <w:tcPr>
            <w:tcW w:w="0" w:type="auto"/>
            <w:hideMark/>
          </w:tcPr>
          <w:p w:rsidR="00613DEF" w:rsidRPr="00613DEF" w:rsidRDefault="00613DEF" w:rsidP="007625A0">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b w:val="0"/>
                <w:bCs w:val="0"/>
                <w:color w:val="1B1C1D"/>
                <w:sz w:val="24"/>
                <w:szCs w:val="24"/>
                <w:bdr w:val="none" w:sz="0" w:space="0" w:color="auto" w:frame="1"/>
              </w:rPr>
              <w:t xml:space="preserve">Investment </w:t>
            </w:r>
            <w:r w:rsidRPr="00613DEF">
              <w:rPr>
                <w:rFonts w:ascii="Arial" w:eastAsia="Times New Roman" w:hAnsi="Arial" w:cs="Arial"/>
                <w:color w:val="1B1C1D"/>
                <w:sz w:val="24"/>
                <w:szCs w:val="24"/>
                <w:bdr w:val="none" w:sz="0" w:space="0" w:color="auto" w:frame="1"/>
              </w:rPr>
              <w:t>(£m)</w:t>
            </w:r>
          </w:p>
        </w:tc>
        <w:tc>
          <w:tcPr>
            <w:tcW w:w="0" w:type="auto"/>
            <w:hideMark/>
          </w:tcPr>
          <w:p w:rsidR="00613DEF" w:rsidRPr="00613DEF" w:rsidRDefault="00613DEF" w:rsidP="007625A0">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NPV (£m)</w:t>
            </w:r>
          </w:p>
        </w:tc>
        <w:tc>
          <w:tcPr>
            <w:tcW w:w="0" w:type="auto"/>
            <w:hideMark/>
          </w:tcPr>
          <w:p w:rsidR="00613DEF" w:rsidRPr="00613DEF" w:rsidRDefault="00613DEF" w:rsidP="007625A0">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PI</w:t>
            </w:r>
          </w:p>
        </w:tc>
        <w:tc>
          <w:tcPr>
            <w:tcW w:w="0" w:type="auto"/>
            <w:hideMark/>
          </w:tcPr>
          <w:p w:rsidR="00613DEF" w:rsidRPr="00613DEF" w:rsidRDefault="00613DEF" w:rsidP="007625A0">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Rank (by PI)</w:t>
            </w:r>
          </w:p>
        </w:tc>
      </w:tr>
      <w:tr w:rsidR="00613DEF" w:rsidRPr="00BF27FF" w:rsidTr="007625A0">
        <w:trPr>
          <w:cnfStyle w:val="000000100000" w:firstRow="0" w:lastRow="0" w:firstColumn="0" w:lastColumn="0" w:oddVBand="0" w:evenVBand="0" w:oddHBand="1"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613DEF" w:rsidRDefault="00613DEF" w:rsidP="007625A0">
            <w:pPr>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C</w:t>
            </w:r>
          </w:p>
        </w:tc>
        <w:tc>
          <w:tcPr>
            <w:tcW w:w="0" w:type="auto"/>
            <w:hideMark/>
          </w:tcPr>
          <w:p w:rsidR="00613DEF" w:rsidRPr="00613DEF"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50</w:t>
            </w:r>
          </w:p>
        </w:tc>
        <w:tc>
          <w:tcPr>
            <w:tcW w:w="0" w:type="auto"/>
            <w:hideMark/>
          </w:tcPr>
          <w:p w:rsidR="00613DEF" w:rsidRPr="00613DEF"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£4.23m</w:t>
            </w:r>
          </w:p>
        </w:tc>
        <w:tc>
          <w:tcPr>
            <w:tcW w:w="0" w:type="auto"/>
            <w:hideMark/>
          </w:tcPr>
          <w:p w:rsidR="00613DEF" w:rsidRPr="00613DEF"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b/>
                <w:bCs/>
                <w:color w:val="1B1C1D"/>
                <w:sz w:val="24"/>
                <w:szCs w:val="24"/>
                <w:bdr w:val="none" w:sz="0" w:space="0" w:color="auto" w:frame="1"/>
              </w:rPr>
              <w:t>1.085</w:t>
            </w:r>
          </w:p>
        </w:tc>
        <w:tc>
          <w:tcPr>
            <w:tcW w:w="0" w:type="auto"/>
            <w:hideMark/>
          </w:tcPr>
          <w:p w:rsidR="00613DEF" w:rsidRPr="00613DEF"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1</w:t>
            </w:r>
          </w:p>
        </w:tc>
      </w:tr>
      <w:tr w:rsidR="00613DEF" w:rsidRPr="00BF27FF" w:rsidTr="007625A0">
        <w:trPr>
          <w:trHeight w:val="810"/>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613DEF" w:rsidRDefault="00613DEF" w:rsidP="007625A0">
            <w:pPr>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A</w:t>
            </w:r>
          </w:p>
        </w:tc>
        <w:tc>
          <w:tcPr>
            <w:tcW w:w="0" w:type="auto"/>
            <w:hideMark/>
          </w:tcPr>
          <w:p w:rsidR="00613DEF" w:rsidRPr="00613DEF" w:rsidRDefault="00613DEF" w:rsidP="007625A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40</w:t>
            </w:r>
          </w:p>
        </w:tc>
        <w:tc>
          <w:tcPr>
            <w:tcW w:w="0" w:type="auto"/>
            <w:hideMark/>
          </w:tcPr>
          <w:p w:rsidR="00613DEF" w:rsidRPr="00613DEF"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£1.32m</w:t>
            </w:r>
          </w:p>
        </w:tc>
        <w:tc>
          <w:tcPr>
            <w:tcW w:w="0" w:type="auto"/>
            <w:hideMark/>
          </w:tcPr>
          <w:p w:rsidR="00613DEF" w:rsidRPr="00613DEF"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b/>
                <w:bCs/>
                <w:color w:val="1B1C1D"/>
                <w:sz w:val="24"/>
                <w:szCs w:val="24"/>
                <w:bdr w:val="none" w:sz="0" w:space="0" w:color="auto" w:frame="1"/>
              </w:rPr>
              <w:t>1.033</w:t>
            </w:r>
          </w:p>
        </w:tc>
        <w:tc>
          <w:tcPr>
            <w:tcW w:w="0" w:type="auto"/>
            <w:hideMark/>
          </w:tcPr>
          <w:p w:rsidR="00613DEF" w:rsidRPr="00613DEF" w:rsidRDefault="00613DEF" w:rsidP="007625A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2</w:t>
            </w:r>
          </w:p>
        </w:tc>
      </w:tr>
      <w:tr w:rsidR="00613DEF" w:rsidRPr="00BF27FF" w:rsidTr="007625A0">
        <w:trPr>
          <w:cnfStyle w:val="000000100000" w:firstRow="0" w:lastRow="0" w:firstColumn="0" w:lastColumn="0" w:oddVBand="0" w:evenVBand="0" w:oddHBand="1"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0" w:type="auto"/>
            <w:hideMark/>
          </w:tcPr>
          <w:p w:rsidR="00613DEF" w:rsidRPr="00613DEF" w:rsidRDefault="00613DEF" w:rsidP="007625A0">
            <w:pPr>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B</w:t>
            </w:r>
          </w:p>
        </w:tc>
        <w:tc>
          <w:tcPr>
            <w:tcW w:w="0" w:type="auto"/>
            <w:hideMark/>
          </w:tcPr>
          <w:p w:rsidR="00613DEF" w:rsidRPr="00613DEF" w:rsidRDefault="00613DEF" w:rsidP="007625A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30</w:t>
            </w:r>
          </w:p>
        </w:tc>
        <w:tc>
          <w:tcPr>
            <w:tcW w:w="0" w:type="auto"/>
            <w:hideMark/>
          </w:tcPr>
          <w:p w:rsidR="00613DEF" w:rsidRPr="00613DEF"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-£7.26m</w:t>
            </w:r>
          </w:p>
        </w:tc>
        <w:tc>
          <w:tcPr>
            <w:tcW w:w="0" w:type="auto"/>
            <w:hideMark/>
          </w:tcPr>
          <w:p w:rsidR="00613DEF" w:rsidRPr="00613DEF"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bdr w:val="none" w:sz="0" w:space="0" w:color="auto" w:frame="1"/>
              </w:rPr>
              <w:t>0.758</w:t>
            </w:r>
          </w:p>
        </w:tc>
        <w:tc>
          <w:tcPr>
            <w:tcW w:w="0" w:type="auto"/>
            <w:hideMark/>
          </w:tcPr>
          <w:p w:rsidR="00613DEF" w:rsidRPr="00613DEF" w:rsidRDefault="00613DEF" w:rsidP="007625A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B1C1D"/>
                <w:sz w:val="24"/>
                <w:szCs w:val="24"/>
              </w:rPr>
            </w:pPr>
            <w:r w:rsidRPr="00613DEF">
              <w:rPr>
                <w:rFonts w:ascii="Arial" w:eastAsia="Times New Roman" w:hAnsi="Arial" w:cs="Arial"/>
                <w:color w:val="1B1C1D"/>
                <w:sz w:val="24"/>
                <w:szCs w:val="24"/>
              </w:rPr>
              <w:t>(Reject)</w:t>
            </w:r>
          </w:p>
        </w:tc>
      </w:tr>
    </w:tbl>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Default="00613DEF" w:rsidP="00613DEF">
      <w:pPr>
        <w:pStyle w:val="ListParagraph"/>
        <w:spacing w:line="360" w:lineRule="auto"/>
        <w:ind w:left="737" w:right="737"/>
        <w:jc w:val="center"/>
        <w:rPr>
          <w:rFonts w:ascii="Arial" w:hAnsi="Arial" w:cs="Arial"/>
          <w:sz w:val="24"/>
          <w:szCs w:val="24"/>
        </w:rPr>
      </w:pPr>
    </w:p>
    <w:p w:rsidR="00613DEF" w:rsidRPr="00582432" w:rsidRDefault="00613DEF" w:rsidP="00582432">
      <w:pPr>
        <w:spacing w:line="360" w:lineRule="auto"/>
        <w:ind w:right="737"/>
        <w:rPr>
          <w:rFonts w:ascii="Arial" w:hAnsi="Arial" w:cs="Arial"/>
          <w:sz w:val="24"/>
          <w:szCs w:val="24"/>
        </w:rPr>
      </w:pPr>
      <w:bookmarkStart w:id="11" w:name="_GoBack"/>
      <w:bookmarkEnd w:id="11"/>
    </w:p>
    <w:p w:rsidR="00613DEF" w:rsidRDefault="00613DEF" w:rsidP="004F3AC4">
      <w:pPr>
        <w:pStyle w:val="NormalWeb"/>
        <w:rPr>
          <w:rFonts w:ascii="Calibri" w:hAnsi="Calibri" w:cs="Calibri"/>
          <w:color w:val="000000"/>
          <w:sz w:val="27"/>
          <w:szCs w:val="27"/>
        </w:rPr>
      </w:pPr>
    </w:p>
    <w:p w:rsidR="00265524" w:rsidRPr="00265524" w:rsidRDefault="00265524" w:rsidP="00265524">
      <w:pPr>
        <w:pStyle w:val="ListParagraph"/>
        <w:spacing w:line="360" w:lineRule="auto"/>
        <w:ind w:left="737" w:right="737"/>
        <w:rPr>
          <w:rFonts w:ascii="Arial" w:hAnsi="Arial" w:cs="Arial"/>
          <w:sz w:val="24"/>
          <w:szCs w:val="24"/>
        </w:rPr>
      </w:pPr>
    </w:p>
    <w:sectPr w:rsidR="00265524" w:rsidRPr="00265524" w:rsidSect="006C32D0">
      <w:footerReference w:type="default" r:id="rId25"/>
      <w:pgSz w:w="12240" w:h="15840"/>
      <w:pgMar w:top="851" w:right="737" w:bottom="851" w:left="737"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54BF" w:rsidRDefault="003754BF" w:rsidP="0087114C">
      <w:pPr>
        <w:spacing w:after="0" w:line="240" w:lineRule="auto"/>
      </w:pPr>
      <w:r>
        <w:separator/>
      </w:r>
    </w:p>
  </w:endnote>
  <w:endnote w:type="continuationSeparator" w:id="0">
    <w:p w:rsidR="003754BF" w:rsidRDefault="003754BF" w:rsidP="00871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DEF" w:rsidRPr="00613DEF" w:rsidRDefault="00613DEF">
    <w:pPr>
      <w:pStyle w:val="Footer"/>
      <w:tabs>
        <w:tab w:val="clear" w:pos="4680"/>
        <w:tab w:val="clear" w:pos="9360"/>
      </w:tabs>
      <w:jc w:val="center"/>
      <w:rPr>
        <w:rFonts w:ascii="Arial" w:hAnsi="Arial" w:cs="Arial"/>
        <w:caps/>
        <w:noProof/>
        <w:color w:val="5B9BD5" w:themeColor="accent1"/>
        <w:sz w:val="24"/>
      </w:rPr>
    </w:pPr>
    <w:r w:rsidRPr="00613DEF">
      <w:rPr>
        <w:rFonts w:ascii="Arial" w:hAnsi="Arial" w:cs="Arial"/>
        <w:caps/>
        <w:color w:val="5B9BD5" w:themeColor="accent1"/>
        <w:sz w:val="24"/>
      </w:rPr>
      <w:fldChar w:fldCharType="begin"/>
    </w:r>
    <w:r w:rsidRPr="00613DEF">
      <w:rPr>
        <w:rFonts w:ascii="Arial" w:hAnsi="Arial" w:cs="Arial"/>
        <w:caps/>
        <w:color w:val="5B9BD5" w:themeColor="accent1"/>
        <w:sz w:val="24"/>
      </w:rPr>
      <w:instrText xml:space="preserve"> PAGE   \* MERGEFORMAT </w:instrText>
    </w:r>
    <w:r w:rsidRPr="00613DEF">
      <w:rPr>
        <w:rFonts w:ascii="Arial" w:hAnsi="Arial" w:cs="Arial"/>
        <w:caps/>
        <w:color w:val="5B9BD5" w:themeColor="accent1"/>
        <w:sz w:val="24"/>
      </w:rPr>
      <w:fldChar w:fldCharType="separate"/>
    </w:r>
    <w:r w:rsidR="00582432">
      <w:rPr>
        <w:rFonts w:ascii="Arial" w:hAnsi="Arial" w:cs="Arial"/>
        <w:caps/>
        <w:noProof/>
        <w:color w:val="5B9BD5" w:themeColor="accent1"/>
        <w:sz w:val="24"/>
      </w:rPr>
      <w:t>38</w:t>
    </w:r>
    <w:r w:rsidRPr="00613DEF">
      <w:rPr>
        <w:rFonts w:ascii="Arial" w:hAnsi="Arial" w:cs="Arial"/>
        <w:caps/>
        <w:noProof/>
        <w:color w:val="5B9BD5" w:themeColor="accent1"/>
        <w:sz w:val="24"/>
      </w:rPr>
      <w:fldChar w:fldCharType="end"/>
    </w:r>
  </w:p>
  <w:p w:rsidR="00613DEF" w:rsidRDefault="00613D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54BF" w:rsidRDefault="003754BF" w:rsidP="0087114C">
      <w:pPr>
        <w:spacing w:after="0" w:line="240" w:lineRule="auto"/>
      </w:pPr>
      <w:r>
        <w:separator/>
      </w:r>
    </w:p>
  </w:footnote>
  <w:footnote w:type="continuationSeparator" w:id="0">
    <w:p w:rsidR="003754BF" w:rsidRDefault="003754BF" w:rsidP="008711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62365"/>
    <w:multiLevelType w:val="multilevel"/>
    <w:tmpl w:val="37C03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7B3DB2"/>
    <w:multiLevelType w:val="hybridMultilevel"/>
    <w:tmpl w:val="A77CB254"/>
    <w:lvl w:ilvl="0" w:tplc="0409000B">
      <w:start w:val="1"/>
      <w:numFmt w:val="bullet"/>
      <w:lvlText w:val=""/>
      <w:lvlJc w:val="left"/>
      <w:pPr>
        <w:ind w:left="1817" w:hanging="360"/>
      </w:pPr>
      <w:rPr>
        <w:rFonts w:ascii="Wingdings" w:hAnsi="Wingdings" w:hint="default"/>
      </w:rPr>
    </w:lvl>
    <w:lvl w:ilvl="1" w:tplc="04090003" w:tentative="1">
      <w:start w:val="1"/>
      <w:numFmt w:val="bullet"/>
      <w:lvlText w:val="o"/>
      <w:lvlJc w:val="left"/>
      <w:pPr>
        <w:ind w:left="2537" w:hanging="360"/>
      </w:pPr>
      <w:rPr>
        <w:rFonts w:ascii="Courier New" w:hAnsi="Courier New" w:cs="Courier New" w:hint="default"/>
      </w:rPr>
    </w:lvl>
    <w:lvl w:ilvl="2" w:tplc="04090005" w:tentative="1">
      <w:start w:val="1"/>
      <w:numFmt w:val="bullet"/>
      <w:lvlText w:val=""/>
      <w:lvlJc w:val="left"/>
      <w:pPr>
        <w:ind w:left="3257" w:hanging="360"/>
      </w:pPr>
      <w:rPr>
        <w:rFonts w:ascii="Wingdings" w:hAnsi="Wingdings" w:hint="default"/>
      </w:rPr>
    </w:lvl>
    <w:lvl w:ilvl="3" w:tplc="04090001" w:tentative="1">
      <w:start w:val="1"/>
      <w:numFmt w:val="bullet"/>
      <w:lvlText w:val=""/>
      <w:lvlJc w:val="left"/>
      <w:pPr>
        <w:ind w:left="3977" w:hanging="360"/>
      </w:pPr>
      <w:rPr>
        <w:rFonts w:ascii="Symbol" w:hAnsi="Symbol" w:hint="default"/>
      </w:rPr>
    </w:lvl>
    <w:lvl w:ilvl="4" w:tplc="04090003" w:tentative="1">
      <w:start w:val="1"/>
      <w:numFmt w:val="bullet"/>
      <w:lvlText w:val="o"/>
      <w:lvlJc w:val="left"/>
      <w:pPr>
        <w:ind w:left="4697" w:hanging="360"/>
      </w:pPr>
      <w:rPr>
        <w:rFonts w:ascii="Courier New" w:hAnsi="Courier New" w:cs="Courier New" w:hint="default"/>
      </w:rPr>
    </w:lvl>
    <w:lvl w:ilvl="5" w:tplc="04090005" w:tentative="1">
      <w:start w:val="1"/>
      <w:numFmt w:val="bullet"/>
      <w:lvlText w:val=""/>
      <w:lvlJc w:val="left"/>
      <w:pPr>
        <w:ind w:left="5417" w:hanging="360"/>
      </w:pPr>
      <w:rPr>
        <w:rFonts w:ascii="Wingdings" w:hAnsi="Wingdings" w:hint="default"/>
      </w:rPr>
    </w:lvl>
    <w:lvl w:ilvl="6" w:tplc="04090001" w:tentative="1">
      <w:start w:val="1"/>
      <w:numFmt w:val="bullet"/>
      <w:lvlText w:val=""/>
      <w:lvlJc w:val="left"/>
      <w:pPr>
        <w:ind w:left="6137" w:hanging="360"/>
      </w:pPr>
      <w:rPr>
        <w:rFonts w:ascii="Symbol" w:hAnsi="Symbol" w:hint="default"/>
      </w:rPr>
    </w:lvl>
    <w:lvl w:ilvl="7" w:tplc="04090003" w:tentative="1">
      <w:start w:val="1"/>
      <w:numFmt w:val="bullet"/>
      <w:lvlText w:val="o"/>
      <w:lvlJc w:val="left"/>
      <w:pPr>
        <w:ind w:left="6857" w:hanging="360"/>
      </w:pPr>
      <w:rPr>
        <w:rFonts w:ascii="Courier New" w:hAnsi="Courier New" w:cs="Courier New" w:hint="default"/>
      </w:rPr>
    </w:lvl>
    <w:lvl w:ilvl="8" w:tplc="04090005" w:tentative="1">
      <w:start w:val="1"/>
      <w:numFmt w:val="bullet"/>
      <w:lvlText w:val=""/>
      <w:lvlJc w:val="left"/>
      <w:pPr>
        <w:ind w:left="7577" w:hanging="360"/>
      </w:pPr>
      <w:rPr>
        <w:rFonts w:ascii="Wingdings" w:hAnsi="Wingdings" w:hint="default"/>
      </w:rPr>
    </w:lvl>
  </w:abstractNum>
  <w:abstractNum w:abstractNumId="2" w15:restartNumberingAfterBreak="0">
    <w:nsid w:val="17571EE8"/>
    <w:multiLevelType w:val="multilevel"/>
    <w:tmpl w:val="C1940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DB3655"/>
    <w:multiLevelType w:val="hybridMultilevel"/>
    <w:tmpl w:val="54EA0FAA"/>
    <w:lvl w:ilvl="0" w:tplc="04090015">
      <w:start w:val="1"/>
      <w:numFmt w:val="upperLetter"/>
      <w:lvlText w:val="%1."/>
      <w:lvlJc w:val="left"/>
      <w:pPr>
        <w:ind w:left="2177" w:hanging="360"/>
      </w:pPr>
    </w:lvl>
    <w:lvl w:ilvl="1" w:tplc="04090019" w:tentative="1">
      <w:start w:val="1"/>
      <w:numFmt w:val="lowerLetter"/>
      <w:lvlText w:val="%2."/>
      <w:lvlJc w:val="left"/>
      <w:pPr>
        <w:ind w:left="2897" w:hanging="360"/>
      </w:pPr>
    </w:lvl>
    <w:lvl w:ilvl="2" w:tplc="0409001B" w:tentative="1">
      <w:start w:val="1"/>
      <w:numFmt w:val="lowerRoman"/>
      <w:lvlText w:val="%3."/>
      <w:lvlJc w:val="right"/>
      <w:pPr>
        <w:ind w:left="3617" w:hanging="180"/>
      </w:pPr>
    </w:lvl>
    <w:lvl w:ilvl="3" w:tplc="0409000F" w:tentative="1">
      <w:start w:val="1"/>
      <w:numFmt w:val="decimal"/>
      <w:lvlText w:val="%4."/>
      <w:lvlJc w:val="left"/>
      <w:pPr>
        <w:ind w:left="4337" w:hanging="360"/>
      </w:pPr>
    </w:lvl>
    <w:lvl w:ilvl="4" w:tplc="04090019" w:tentative="1">
      <w:start w:val="1"/>
      <w:numFmt w:val="lowerLetter"/>
      <w:lvlText w:val="%5."/>
      <w:lvlJc w:val="left"/>
      <w:pPr>
        <w:ind w:left="5057" w:hanging="360"/>
      </w:pPr>
    </w:lvl>
    <w:lvl w:ilvl="5" w:tplc="0409001B" w:tentative="1">
      <w:start w:val="1"/>
      <w:numFmt w:val="lowerRoman"/>
      <w:lvlText w:val="%6."/>
      <w:lvlJc w:val="right"/>
      <w:pPr>
        <w:ind w:left="5777" w:hanging="180"/>
      </w:pPr>
    </w:lvl>
    <w:lvl w:ilvl="6" w:tplc="0409000F" w:tentative="1">
      <w:start w:val="1"/>
      <w:numFmt w:val="decimal"/>
      <w:lvlText w:val="%7."/>
      <w:lvlJc w:val="left"/>
      <w:pPr>
        <w:ind w:left="6497" w:hanging="360"/>
      </w:pPr>
    </w:lvl>
    <w:lvl w:ilvl="7" w:tplc="04090019" w:tentative="1">
      <w:start w:val="1"/>
      <w:numFmt w:val="lowerLetter"/>
      <w:lvlText w:val="%8."/>
      <w:lvlJc w:val="left"/>
      <w:pPr>
        <w:ind w:left="7217" w:hanging="360"/>
      </w:pPr>
    </w:lvl>
    <w:lvl w:ilvl="8" w:tplc="0409001B" w:tentative="1">
      <w:start w:val="1"/>
      <w:numFmt w:val="lowerRoman"/>
      <w:lvlText w:val="%9."/>
      <w:lvlJc w:val="right"/>
      <w:pPr>
        <w:ind w:left="7937" w:hanging="180"/>
      </w:pPr>
    </w:lvl>
  </w:abstractNum>
  <w:abstractNum w:abstractNumId="4" w15:restartNumberingAfterBreak="0">
    <w:nsid w:val="251F56FC"/>
    <w:multiLevelType w:val="hybridMultilevel"/>
    <w:tmpl w:val="AB0A4248"/>
    <w:lvl w:ilvl="0" w:tplc="04090019">
      <w:start w:val="1"/>
      <w:numFmt w:val="lowerLetter"/>
      <w:lvlText w:val="%1."/>
      <w:lvlJc w:val="left"/>
      <w:pPr>
        <w:ind w:left="1817" w:hanging="360"/>
      </w:pPr>
    </w:lvl>
    <w:lvl w:ilvl="1" w:tplc="04090019" w:tentative="1">
      <w:start w:val="1"/>
      <w:numFmt w:val="lowerLetter"/>
      <w:lvlText w:val="%2."/>
      <w:lvlJc w:val="left"/>
      <w:pPr>
        <w:ind w:left="2537" w:hanging="360"/>
      </w:pPr>
    </w:lvl>
    <w:lvl w:ilvl="2" w:tplc="0409001B" w:tentative="1">
      <w:start w:val="1"/>
      <w:numFmt w:val="lowerRoman"/>
      <w:lvlText w:val="%3."/>
      <w:lvlJc w:val="right"/>
      <w:pPr>
        <w:ind w:left="3257" w:hanging="180"/>
      </w:pPr>
    </w:lvl>
    <w:lvl w:ilvl="3" w:tplc="0409000F" w:tentative="1">
      <w:start w:val="1"/>
      <w:numFmt w:val="decimal"/>
      <w:lvlText w:val="%4."/>
      <w:lvlJc w:val="left"/>
      <w:pPr>
        <w:ind w:left="3977" w:hanging="360"/>
      </w:pPr>
    </w:lvl>
    <w:lvl w:ilvl="4" w:tplc="04090019" w:tentative="1">
      <w:start w:val="1"/>
      <w:numFmt w:val="lowerLetter"/>
      <w:lvlText w:val="%5."/>
      <w:lvlJc w:val="left"/>
      <w:pPr>
        <w:ind w:left="4697" w:hanging="360"/>
      </w:pPr>
    </w:lvl>
    <w:lvl w:ilvl="5" w:tplc="0409001B" w:tentative="1">
      <w:start w:val="1"/>
      <w:numFmt w:val="lowerRoman"/>
      <w:lvlText w:val="%6."/>
      <w:lvlJc w:val="right"/>
      <w:pPr>
        <w:ind w:left="5417" w:hanging="180"/>
      </w:pPr>
    </w:lvl>
    <w:lvl w:ilvl="6" w:tplc="0409000F" w:tentative="1">
      <w:start w:val="1"/>
      <w:numFmt w:val="decimal"/>
      <w:lvlText w:val="%7."/>
      <w:lvlJc w:val="left"/>
      <w:pPr>
        <w:ind w:left="6137" w:hanging="360"/>
      </w:pPr>
    </w:lvl>
    <w:lvl w:ilvl="7" w:tplc="04090019" w:tentative="1">
      <w:start w:val="1"/>
      <w:numFmt w:val="lowerLetter"/>
      <w:lvlText w:val="%8."/>
      <w:lvlJc w:val="left"/>
      <w:pPr>
        <w:ind w:left="6857" w:hanging="360"/>
      </w:pPr>
    </w:lvl>
    <w:lvl w:ilvl="8" w:tplc="0409001B" w:tentative="1">
      <w:start w:val="1"/>
      <w:numFmt w:val="lowerRoman"/>
      <w:lvlText w:val="%9."/>
      <w:lvlJc w:val="right"/>
      <w:pPr>
        <w:ind w:left="7577" w:hanging="180"/>
      </w:pPr>
    </w:lvl>
  </w:abstractNum>
  <w:abstractNum w:abstractNumId="5" w15:restartNumberingAfterBreak="0">
    <w:nsid w:val="27D6657B"/>
    <w:multiLevelType w:val="hybridMultilevel"/>
    <w:tmpl w:val="3136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4407E"/>
    <w:multiLevelType w:val="hybridMultilevel"/>
    <w:tmpl w:val="DD66571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6E49D1"/>
    <w:multiLevelType w:val="hybridMultilevel"/>
    <w:tmpl w:val="CD7EEFC0"/>
    <w:lvl w:ilvl="0" w:tplc="D1927040">
      <w:start w:val="1"/>
      <w:numFmt w:val="lowerLetter"/>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8" w15:restartNumberingAfterBreak="0">
    <w:nsid w:val="31490AF5"/>
    <w:multiLevelType w:val="multilevel"/>
    <w:tmpl w:val="16FE5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4871E2"/>
    <w:multiLevelType w:val="hybridMultilevel"/>
    <w:tmpl w:val="EE46B7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446D42"/>
    <w:multiLevelType w:val="hybridMultilevel"/>
    <w:tmpl w:val="80A2324A"/>
    <w:lvl w:ilvl="0" w:tplc="04090017">
      <w:start w:val="1"/>
      <w:numFmt w:val="lowerLetter"/>
      <w:lvlText w:val="%1)"/>
      <w:lvlJc w:val="left"/>
      <w:pPr>
        <w:ind w:left="1817" w:hanging="360"/>
      </w:pPr>
    </w:lvl>
    <w:lvl w:ilvl="1" w:tplc="04090019" w:tentative="1">
      <w:start w:val="1"/>
      <w:numFmt w:val="lowerLetter"/>
      <w:lvlText w:val="%2."/>
      <w:lvlJc w:val="left"/>
      <w:pPr>
        <w:ind w:left="2537" w:hanging="360"/>
      </w:pPr>
    </w:lvl>
    <w:lvl w:ilvl="2" w:tplc="0409001B" w:tentative="1">
      <w:start w:val="1"/>
      <w:numFmt w:val="lowerRoman"/>
      <w:lvlText w:val="%3."/>
      <w:lvlJc w:val="right"/>
      <w:pPr>
        <w:ind w:left="3257" w:hanging="180"/>
      </w:pPr>
    </w:lvl>
    <w:lvl w:ilvl="3" w:tplc="0409000F" w:tentative="1">
      <w:start w:val="1"/>
      <w:numFmt w:val="decimal"/>
      <w:lvlText w:val="%4."/>
      <w:lvlJc w:val="left"/>
      <w:pPr>
        <w:ind w:left="3977" w:hanging="360"/>
      </w:pPr>
    </w:lvl>
    <w:lvl w:ilvl="4" w:tplc="04090019" w:tentative="1">
      <w:start w:val="1"/>
      <w:numFmt w:val="lowerLetter"/>
      <w:lvlText w:val="%5."/>
      <w:lvlJc w:val="left"/>
      <w:pPr>
        <w:ind w:left="4697" w:hanging="360"/>
      </w:pPr>
    </w:lvl>
    <w:lvl w:ilvl="5" w:tplc="0409001B" w:tentative="1">
      <w:start w:val="1"/>
      <w:numFmt w:val="lowerRoman"/>
      <w:lvlText w:val="%6."/>
      <w:lvlJc w:val="right"/>
      <w:pPr>
        <w:ind w:left="5417" w:hanging="180"/>
      </w:pPr>
    </w:lvl>
    <w:lvl w:ilvl="6" w:tplc="0409000F" w:tentative="1">
      <w:start w:val="1"/>
      <w:numFmt w:val="decimal"/>
      <w:lvlText w:val="%7."/>
      <w:lvlJc w:val="left"/>
      <w:pPr>
        <w:ind w:left="6137" w:hanging="360"/>
      </w:pPr>
    </w:lvl>
    <w:lvl w:ilvl="7" w:tplc="04090019" w:tentative="1">
      <w:start w:val="1"/>
      <w:numFmt w:val="lowerLetter"/>
      <w:lvlText w:val="%8."/>
      <w:lvlJc w:val="left"/>
      <w:pPr>
        <w:ind w:left="6857" w:hanging="360"/>
      </w:pPr>
    </w:lvl>
    <w:lvl w:ilvl="8" w:tplc="0409001B" w:tentative="1">
      <w:start w:val="1"/>
      <w:numFmt w:val="lowerRoman"/>
      <w:lvlText w:val="%9."/>
      <w:lvlJc w:val="right"/>
      <w:pPr>
        <w:ind w:left="7577" w:hanging="180"/>
      </w:pPr>
    </w:lvl>
  </w:abstractNum>
  <w:abstractNum w:abstractNumId="11" w15:restartNumberingAfterBreak="0">
    <w:nsid w:val="3E976CAA"/>
    <w:multiLevelType w:val="hybridMultilevel"/>
    <w:tmpl w:val="120A635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0B65318"/>
    <w:multiLevelType w:val="hybridMultilevel"/>
    <w:tmpl w:val="18304554"/>
    <w:lvl w:ilvl="0" w:tplc="5CAA7E1A">
      <w:start w:val="1"/>
      <w:numFmt w:val="lowerLetter"/>
      <w:lvlText w:val="%1)"/>
      <w:lvlJc w:val="left"/>
      <w:pPr>
        <w:ind w:left="1457" w:hanging="360"/>
      </w:pPr>
      <w:rPr>
        <w:rFonts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13" w15:restartNumberingAfterBreak="0">
    <w:nsid w:val="517F3486"/>
    <w:multiLevelType w:val="hybridMultilevel"/>
    <w:tmpl w:val="4BB828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681239"/>
    <w:multiLevelType w:val="hybridMultilevel"/>
    <w:tmpl w:val="8E002A8A"/>
    <w:lvl w:ilvl="0" w:tplc="04090017">
      <w:start w:val="1"/>
      <w:numFmt w:val="lowerLetter"/>
      <w:lvlText w:val="%1)"/>
      <w:lvlJc w:val="left"/>
      <w:pPr>
        <w:ind w:left="1817" w:hanging="360"/>
      </w:pPr>
    </w:lvl>
    <w:lvl w:ilvl="1" w:tplc="04090019" w:tentative="1">
      <w:start w:val="1"/>
      <w:numFmt w:val="lowerLetter"/>
      <w:lvlText w:val="%2."/>
      <w:lvlJc w:val="left"/>
      <w:pPr>
        <w:ind w:left="2537" w:hanging="360"/>
      </w:pPr>
    </w:lvl>
    <w:lvl w:ilvl="2" w:tplc="0409001B" w:tentative="1">
      <w:start w:val="1"/>
      <w:numFmt w:val="lowerRoman"/>
      <w:lvlText w:val="%3."/>
      <w:lvlJc w:val="right"/>
      <w:pPr>
        <w:ind w:left="3257" w:hanging="180"/>
      </w:pPr>
    </w:lvl>
    <w:lvl w:ilvl="3" w:tplc="0409000F" w:tentative="1">
      <w:start w:val="1"/>
      <w:numFmt w:val="decimal"/>
      <w:lvlText w:val="%4."/>
      <w:lvlJc w:val="left"/>
      <w:pPr>
        <w:ind w:left="3977" w:hanging="360"/>
      </w:pPr>
    </w:lvl>
    <w:lvl w:ilvl="4" w:tplc="04090019" w:tentative="1">
      <w:start w:val="1"/>
      <w:numFmt w:val="lowerLetter"/>
      <w:lvlText w:val="%5."/>
      <w:lvlJc w:val="left"/>
      <w:pPr>
        <w:ind w:left="4697" w:hanging="360"/>
      </w:pPr>
    </w:lvl>
    <w:lvl w:ilvl="5" w:tplc="0409001B" w:tentative="1">
      <w:start w:val="1"/>
      <w:numFmt w:val="lowerRoman"/>
      <w:lvlText w:val="%6."/>
      <w:lvlJc w:val="right"/>
      <w:pPr>
        <w:ind w:left="5417" w:hanging="180"/>
      </w:pPr>
    </w:lvl>
    <w:lvl w:ilvl="6" w:tplc="0409000F" w:tentative="1">
      <w:start w:val="1"/>
      <w:numFmt w:val="decimal"/>
      <w:lvlText w:val="%7."/>
      <w:lvlJc w:val="left"/>
      <w:pPr>
        <w:ind w:left="6137" w:hanging="360"/>
      </w:pPr>
    </w:lvl>
    <w:lvl w:ilvl="7" w:tplc="04090019" w:tentative="1">
      <w:start w:val="1"/>
      <w:numFmt w:val="lowerLetter"/>
      <w:lvlText w:val="%8."/>
      <w:lvlJc w:val="left"/>
      <w:pPr>
        <w:ind w:left="6857" w:hanging="360"/>
      </w:pPr>
    </w:lvl>
    <w:lvl w:ilvl="8" w:tplc="0409001B" w:tentative="1">
      <w:start w:val="1"/>
      <w:numFmt w:val="lowerRoman"/>
      <w:lvlText w:val="%9."/>
      <w:lvlJc w:val="right"/>
      <w:pPr>
        <w:ind w:left="7577" w:hanging="180"/>
      </w:pPr>
    </w:lvl>
  </w:abstractNum>
  <w:abstractNum w:abstractNumId="15" w15:restartNumberingAfterBreak="0">
    <w:nsid w:val="608348E4"/>
    <w:multiLevelType w:val="hybridMultilevel"/>
    <w:tmpl w:val="B98240C2"/>
    <w:lvl w:ilvl="0" w:tplc="D98447C2">
      <w:start w:val="1"/>
      <w:numFmt w:val="upperLetter"/>
      <w:lvlText w:val="%1."/>
      <w:lvlJc w:val="left"/>
      <w:pPr>
        <w:ind w:left="1457" w:hanging="360"/>
      </w:pPr>
      <w:rPr>
        <w:i w:val="0"/>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16" w15:restartNumberingAfterBreak="0">
    <w:nsid w:val="613C7679"/>
    <w:multiLevelType w:val="hybridMultilevel"/>
    <w:tmpl w:val="EECA6D04"/>
    <w:lvl w:ilvl="0" w:tplc="4E0450B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7" w15:restartNumberingAfterBreak="0">
    <w:nsid w:val="637437F3"/>
    <w:multiLevelType w:val="hybridMultilevel"/>
    <w:tmpl w:val="532EA61E"/>
    <w:lvl w:ilvl="0" w:tplc="5E8CBE0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342C34"/>
    <w:multiLevelType w:val="hybridMultilevel"/>
    <w:tmpl w:val="F9B681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A9E007F"/>
    <w:multiLevelType w:val="hybridMultilevel"/>
    <w:tmpl w:val="58B8F876"/>
    <w:lvl w:ilvl="0" w:tplc="E4B6CE6A">
      <w:start w:val="1"/>
      <w:numFmt w:val="lowerLetter"/>
      <w:lvlText w:val="%1)"/>
      <w:lvlJc w:val="left"/>
      <w:pPr>
        <w:ind w:left="1457" w:hanging="360"/>
      </w:pPr>
      <w:rPr>
        <w:rFonts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0" w15:restartNumberingAfterBreak="0">
    <w:nsid w:val="6EFA3EB7"/>
    <w:multiLevelType w:val="hybridMultilevel"/>
    <w:tmpl w:val="62B2E40C"/>
    <w:lvl w:ilvl="0" w:tplc="0409001B">
      <w:start w:val="1"/>
      <w:numFmt w:val="lowerRoman"/>
      <w:lvlText w:val="%1."/>
      <w:lvlJc w:val="righ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21" w15:restartNumberingAfterBreak="0">
    <w:nsid w:val="756B5937"/>
    <w:multiLevelType w:val="hybridMultilevel"/>
    <w:tmpl w:val="00C252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654CF2"/>
    <w:multiLevelType w:val="hybridMultilevel"/>
    <w:tmpl w:val="6D443EB0"/>
    <w:lvl w:ilvl="0" w:tplc="0409001B">
      <w:start w:val="1"/>
      <w:numFmt w:val="lowerRoman"/>
      <w:lvlText w:val="%1."/>
      <w:lvlJc w:val="right"/>
      <w:pPr>
        <w:ind w:left="1817" w:hanging="360"/>
      </w:pPr>
    </w:lvl>
    <w:lvl w:ilvl="1" w:tplc="04090019" w:tentative="1">
      <w:start w:val="1"/>
      <w:numFmt w:val="lowerLetter"/>
      <w:lvlText w:val="%2."/>
      <w:lvlJc w:val="left"/>
      <w:pPr>
        <w:ind w:left="2537" w:hanging="360"/>
      </w:pPr>
    </w:lvl>
    <w:lvl w:ilvl="2" w:tplc="0409001B" w:tentative="1">
      <w:start w:val="1"/>
      <w:numFmt w:val="lowerRoman"/>
      <w:lvlText w:val="%3."/>
      <w:lvlJc w:val="right"/>
      <w:pPr>
        <w:ind w:left="3257" w:hanging="180"/>
      </w:pPr>
    </w:lvl>
    <w:lvl w:ilvl="3" w:tplc="0409000F" w:tentative="1">
      <w:start w:val="1"/>
      <w:numFmt w:val="decimal"/>
      <w:lvlText w:val="%4."/>
      <w:lvlJc w:val="left"/>
      <w:pPr>
        <w:ind w:left="3977" w:hanging="360"/>
      </w:pPr>
    </w:lvl>
    <w:lvl w:ilvl="4" w:tplc="04090019" w:tentative="1">
      <w:start w:val="1"/>
      <w:numFmt w:val="lowerLetter"/>
      <w:lvlText w:val="%5."/>
      <w:lvlJc w:val="left"/>
      <w:pPr>
        <w:ind w:left="4697" w:hanging="360"/>
      </w:pPr>
    </w:lvl>
    <w:lvl w:ilvl="5" w:tplc="0409001B" w:tentative="1">
      <w:start w:val="1"/>
      <w:numFmt w:val="lowerRoman"/>
      <w:lvlText w:val="%6."/>
      <w:lvlJc w:val="right"/>
      <w:pPr>
        <w:ind w:left="5417" w:hanging="180"/>
      </w:pPr>
    </w:lvl>
    <w:lvl w:ilvl="6" w:tplc="0409000F" w:tentative="1">
      <w:start w:val="1"/>
      <w:numFmt w:val="decimal"/>
      <w:lvlText w:val="%7."/>
      <w:lvlJc w:val="left"/>
      <w:pPr>
        <w:ind w:left="6137" w:hanging="360"/>
      </w:pPr>
    </w:lvl>
    <w:lvl w:ilvl="7" w:tplc="04090019" w:tentative="1">
      <w:start w:val="1"/>
      <w:numFmt w:val="lowerLetter"/>
      <w:lvlText w:val="%8."/>
      <w:lvlJc w:val="left"/>
      <w:pPr>
        <w:ind w:left="6857" w:hanging="360"/>
      </w:pPr>
    </w:lvl>
    <w:lvl w:ilvl="8" w:tplc="0409001B" w:tentative="1">
      <w:start w:val="1"/>
      <w:numFmt w:val="lowerRoman"/>
      <w:lvlText w:val="%9."/>
      <w:lvlJc w:val="right"/>
      <w:pPr>
        <w:ind w:left="7577" w:hanging="180"/>
      </w:pPr>
    </w:lvl>
  </w:abstractNum>
  <w:num w:numId="1">
    <w:abstractNumId w:val="16"/>
  </w:num>
  <w:num w:numId="2">
    <w:abstractNumId w:val="10"/>
  </w:num>
  <w:num w:numId="3">
    <w:abstractNumId w:val="14"/>
  </w:num>
  <w:num w:numId="4">
    <w:abstractNumId w:val="15"/>
  </w:num>
  <w:num w:numId="5">
    <w:abstractNumId w:val="13"/>
  </w:num>
  <w:num w:numId="6">
    <w:abstractNumId w:val="17"/>
  </w:num>
  <w:num w:numId="7">
    <w:abstractNumId w:val="19"/>
  </w:num>
  <w:num w:numId="8">
    <w:abstractNumId w:val="9"/>
  </w:num>
  <w:num w:numId="9">
    <w:abstractNumId w:val="3"/>
  </w:num>
  <w:num w:numId="10">
    <w:abstractNumId w:val="12"/>
  </w:num>
  <w:num w:numId="11">
    <w:abstractNumId w:val="21"/>
  </w:num>
  <w:num w:numId="12">
    <w:abstractNumId w:val="7"/>
  </w:num>
  <w:num w:numId="13">
    <w:abstractNumId w:val="2"/>
  </w:num>
  <w:num w:numId="14">
    <w:abstractNumId w:val="5"/>
  </w:num>
  <w:num w:numId="15">
    <w:abstractNumId w:val="18"/>
  </w:num>
  <w:num w:numId="16">
    <w:abstractNumId w:val="11"/>
  </w:num>
  <w:num w:numId="17">
    <w:abstractNumId w:val="1"/>
  </w:num>
  <w:num w:numId="18">
    <w:abstractNumId w:val="20"/>
  </w:num>
  <w:num w:numId="19">
    <w:abstractNumId w:val="4"/>
  </w:num>
  <w:num w:numId="20">
    <w:abstractNumId w:val="6"/>
  </w:num>
  <w:num w:numId="21">
    <w:abstractNumId w:val="22"/>
  </w:num>
  <w:num w:numId="22">
    <w:abstractNumId w:val="8"/>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14C"/>
    <w:rsid w:val="000C2922"/>
    <w:rsid w:val="000F5DA5"/>
    <w:rsid w:val="0010050B"/>
    <w:rsid w:val="00167EF9"/>
    <w:rsid w:val="00170C01"/>
    <w:rsid w:val="001869EC"/>
    <w:rsid w:val="001D0E46"/>
    <w:rsid w:val="00201CB1"/>
    <w:rsid w:val="00265524"/>
    <w:rsid w:val="00271BE2"/>
    <w:rsid w:val="00323C95"/>
    <w:rsid w:val="00363F8E"/>
    <w:rsid w:val="00370157"/>
    <w:rsid w:val="00372BFD"/>
    <w:rsid w:val="003754BF"/>
    <w:rsid w:val="00386068"/>
    <w:rsid w:val="00395624"/>
    <w:rsid w:val="00490ACE"/>
    <w:rsid w:val="004A0992"/>
    <w:rsid w:val="004D6020"/>
    <w:rsid w:val="004E4A98"/>
    <w:rsid w:val="004F3AC4"/>
    <w:rsid w:val="004F5E2F"/>
    <w:rsid w:val="00520684"/>
    <w:rsid w:val="00541F26"/>
    <w:rsid w:val="0057353B"/>
    <w:rsid w:val="00582432"/>
    <w:rsid w:val="005E7DEB"/>
    <w:rsid w:val="00613DEF"/>
    <w:rsid w:val="00650801"/>
    <w:rsid w:val="006C32D0"/>
    <w:rsid w:val="007367D1"/>
    <w:rsid w:val="00753591"/>
    <w:rsid w:val="007978DD"/>
    <w:rsid w:val="0087114C"/>
    <w:rsid w:val="00874034"/>
    <w:rsid w:val="008A6F39"/>
    <w:rsid w:val="009028AB"/>
    <w:rsid w:val="00957D9D"/>
    <w:rsid w:val="00982FEE"/>
    <w:rsid w:val="00991EC6"/>
    <w:rsid w:val="009D3B0B"/>
    <w:rsid w:val="009E2782"/>
    <w:rsid w:val="00A417B9"/>
    <w:rsid w:val="00AA118F"/>
    <w:rsid w:val="00AC783F"/>
    <w:rsid w:val="00B01E79"/>
    <w:rsid w:val="00B15891"/>
    <w:rsid w:val="00B20337"/>
    <w:rsid w:val="00B26BE8"/>
    <w:rsid w:val="00B4524C"/>
    <w:rsid w:val="00B90F4C"/>
    <w:rsid w:val="00BB64A1"/>
    <w:rsid w:val="00BF27FF"/>
    <w:rsid w:val="00C02A8D"/>
    <w:rsid w:val="00C853CC"/>
    <w:rsid w:val="00CA578F"/>
    <w:rsid w:val="00CE2763"/>
    <w:rsid w:val="00D34161"/>
    <w:rsid w:val="00D55092"/>
    <w:rsid w:val="00D60836"/>
    <w:rsid w:val="00DC5558"/>
    <w:rsid w:val="00DD0249"/>
    <w:rsid w:val="00DE585B"/>
    <w:rsid w:val="00E31538"/>
    <w:rsid w:val="00E8035C"/>
    <w:rsid w:val="00EC38DC"/>
    <w:rsid w:val="00EC5EBE"/>
    <w:rsid w:val="00F25D9C"/>
    <w:rsid w:val="00F770C5"/>
    <w:rsid w:val="00FD3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57A6DA7-46C9-4FA3-9AAD-CCDCAFE1A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02A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C292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autoRedefine/>
    <w:uiPriority w:val="9"/>
    <w:unhideWhenUsed/>
    <w:qFormat/>
    <w:rsid w:val="00B4524C"/>
    <w:pPr>
      <w:keepNext/>
      <w:keepLines/>
      <w:spacing w:before="40" w:after="0" w:line="360" w:lineRule="auto"/>
      <w:jc w:val="both"/>
      <w:outlineLvl w:val="2"/>
    </w:pPr>
    <w:rPr>
      <w:rFonts w:ascii="Times New Roman" w:eastAsiaTheme="majorEastAsia" w:hAnsi="Times New Roman" w:cstheme="majorBidi"/>
      <w:b/>
      <w:i/>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11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114C"/>
  </w:style>
  <w:style w:type="paragraph" w:styleId="Footer">
    <w:name w:val="footer"/>
    <w:basedOn w:val="Normal"/>
    <w:link w:val="FooterChar"/>
    <w:uiPriority w:val="99"/>
    <w:unhideWhenUsed/>
    <w:rsid w:val="008711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14C"/>
  </w:style>
  <w:style w:type="paragraph" w:styleId="ListParagraph">
    <w:name w:val="List Paragraph"/>
    <w:basedOn w:val="Normal"/>
    <w:uiPriority w:val="34"/>
    <w:qFormat/>
    <w:rsid w:val="009E2782"/>
    <w:pPr>
      <w:ind w:left="720"/>
      <w:contextualSpacing/>
    </w:pPr>
  </w:style>
  <w:style w:type="character" w:customStyle="1" w:styleId="math-inline">
    <w:name w:val="math-inline"/>
    <w:basedOn w:val="DefaultParagraphFont"/>
    <w:rsid w:val="00AC783F"/>
  </w:style>
  <w:style w:type="table" w:styleId="GridTable4-Accent5">
    <w:name w:val="Grid Table 4 Accent 5"/>
    <w:basedOn w:val="TableNormal"/>
    <w:uiPriority w:val="49"/>
    <w:rsid w:val="00AC783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semiHidden/>
    <w:unhideWhenUsed/>
    <w:rsid w:val="00BB64A1"/>
    <w:pPr>
      <w:spacing w:before="100" w:beforeAutospacing="1" w:after="100" w:afterAutospacing="1" w:line="240" w:lineRule="auto"/>
    </w:pPr>
    <w:rPr>
      <w:rFonts w:ascii="Times New Roman" w:eastAsia="Times New Roman" w:hAnsi="Times New Roman" w:cs="Times New Roman"/>
      <w:sz w:val="24"/>
      <w:szCs w:val="24"/>
    </w:rPr>
  </w:style>
  <w:style w:type="table" w:styleId="GridTable4-Accent6">
    <w:name w:val="Grid Table 4 Accent 6"/>
    <w:basedOn w:val="TableNormal"/>
    <w:uiPriority w:val="49"/>
    <w:rsid w:val="008A6F3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Strong">
    <w:name w:val="Strong"/>
    <w:basedOn w:val="DefaultParagraphFont"/>
    <w:uiPriority w:val="22"/>
    <w:qFormat/>
    <w:rsid w:val="00C853CC"/>
    <w:rPr>
      <w:b/>
      <w:bCs/>
    </w:rPr>
  </w:style>
  <w:style w:type="character" w:customStyle="1" w:styleId="diff-highlight">
    <w:name w:val="diff-highlight"/>
    <w:basedOn w:val="DefaultParagraphFont"/>
    <w:rsid w:val="00991EC6"/>
  </w:style>
  <w:style w:type="table" w:styleId="GridTable5Dark-Accent6">
    <w:name w:val="Grid Table 5 Dark Accent 6"/>
    <w:basedOn w:val="TableNormal"/>
    <w:uiPriority w:val="50"/>
    <w:rsid w:val="00991EC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m5tqyf">
    <w:name w:val="m5tqyf"/>
    <w:basedOn w:val="DefaultParagraphFont"/>
    <w:rsid w:val="00386068"/>
  </w:style>
  <w:style w:type="table" w:styleId="GridTable4-Accent2">
    <w:name w:val="Grid Table 4 Accent 2"/>
    <w:basedOn w:val="TableNormal"/>
    <w:uiPriority w:val="49"/>
    <w:rsid w:val="00271BE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7Colorful-Accent4">
    <w:name w:val="Grid Table 7 Colorful Accent 4"/>
    <w:basedOn w:val="TableNormal"/>
    <w:uiPriority w:val="52"/>
    <w:rsid w:val="001869EC"/>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2-Accent6">
    <w:name w:val="Grid Table 2 Accent 6"/>
    <w:basedOn w:val="TableNormal"/>
    <w:uiPriority w:val="47"/>
    <w:rsid w:val="00E8035C"/>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PlainTable5">
    <w:name w:val="Plain Table 5"/>
    <w:basedOn w:val="TableNormal"/>
    <w:uiPriority w:val="45"/>
    <w:rsid w:val="00363F8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3Char">
    <w:name w:val="Heading 3 Char"/>
    <w:basedOn w:val="DefaultParagraphFont"/>
    <w:link w:val="Heading3"/>
    <w:uiPriority w:val="9"/>
    <w:rsid w:val="00B4524C"/>
    <w:rPr>
      <w:rFonts w:ascii="Times New Roman" w:eastAsiaTheme="majorEastAsia" w:hAnsi="Times New Roman" w:cstheme="majorBidi"/>
      <w:b/>
      <w:i/>
      <w:kern w:val="2"/>
      <w:sz w:val="24"/>
      <w:szCs w:val="24"/>
      <w14:ligatures w14:val="standardContextual"/>
    </w:rPr>
  </w:style>
  <w:style w:type="paragraph" w:styleId="Caption">
    <w:name w:val="caption"/>
    <w:basedOn w:val="Normal"/>
    <w:next w:val="Normal"/>
    <w:uiPriority w:val="35"/>
    <w:unhideWhenUsed/>
    <w:qFormat/>
    <w:rsid w:val="00B4524C"/>
    <w:pPr>
      <w:spacing w:after="200" w:line="240" w:lineRule="auto"/>
      <w:jc w:val="both"/>
    </w:pPr>
    <w:rPr>
      <w:rFonts w:ascii="Times New Roman" w:hAnsi="Times New Roman"/>
      <w:i/>
      <w:iCs/>
      <w:color w:val="44546A" w:themeColor="text2"/>
      <w:kern w:val="2"/>
      <w:sz w:val="18"/>
      <w:szCs w:val="18"/>
      <w14:ligatures w14:val="standardContextual"/>
    </w:rPr>
  </w:style>
  <w:style w:type="table" w:styleId="GridTable1Light-Accent6">
    <w:name w:val="Grid Table 1 Light Accent 6"/>
    <w:basedOn w:val="TableNormal"/>
    <w:uiPriority w:val="46"/>
    <w:rsid w:val="00EC5EB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0F5DA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TableGrid">
    <w:name w:val="Table Grid"/>
    <w:basedOn w:val="TableNormal"/>
    <w:uiPriority w:val="39"/>
    <w:rsid w:val="000F5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D608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Heading2Char">
    <w:name w:val="Heading 2 Char"/>
    <w:basedOn w:val="DefaultParagraphFont"/>
    <w:link w:val="Heading2"/>
    <w:uiPriority w:val="9"/>
    <w:semiHidden/>
    <w:rsid w:val="000C2922"/>
    <w:rPr>
      <w:rFonts w:asciiTheme="majorHAnsi" w:eastAsiaTheme="majorEastAsia" w:hAnsiTheme="majorHAnsi" w:cstheme="majorBidi"/>
      <w:color w:val="2E74B5" w:themeColor="accent1" w:themeShade="BF"/>
      <w:sz w:val="26"/>
      <w:szCs w:val="26"/>
    </w:rPr>
  </w:style>
  <w:style w:type="table" w:styleId="GridTable6Colorful-Accent6">
    <w:name w:val="Grid Table 6 Colorful Accent 6"/>
    <w:basedOn w:val="TableNormal"/>
    <w:uiPriority w:val="51"/>
    <w:rsid w:val="00CE276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odyText">
    <w:name w:val="Body Text"/>
    <w:basedOn w:val="Normal"/>
    <w:link w:val="BodyTextChar"/>
    <w:uiPriority w:val="1"/>
    <w:qFormat/>
    <w:rsid w:val="00265524"/>
    <w:pPr>
      <w:widowControl w:val="0"/>
      <w:autoSpaceDE w:val="0"/>
      <w:autoSpaceDN w:val="0"/>
      <w:spacing w:after="0" w:line="240" w:lineRule="auto"/>
      <w:ind w:left="23"/>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265524"/>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65524"/>
    <w:rPr>
      <w:color w:val="0563C1" w:themeColor="hyperlink"/>
      <w:u w:val="single"/>
    </w:rPr>
  </w:style>
  <w:style w:type="table" w:styleId="GridTable5Dark-Accent1">
    <w:name w:val="Grid Table 5 Dark Accent 1"/>
    <w:basedOn w:val="TableNormal"/>
    <w:uiPriority w:val="50"/>
    <w:rsid w:val="0087403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5">
    <w:name w:val="Grid Table 5 Dark Accent 5"/>
    <w:basedOn w:val="TableNormal"/>
    <w:uiPriority w:val="50"/>
    <w:rsid w:val="007978D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4">
    <w:name w:val="Grid Table 5 Dark Accent 4"/>
    <w:basedOn w:val="TableNormal"/>
    <w:uiPriority w:val="50"/>
    <w:rsid w:val="00DD024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NoSpacing">
    <w:name w:val="No Spacing"/>
    <w:uiPriority w:val="1"/>
    <w:qFormat/>
    <w:rsid w:val="00170C01"/>
    <w:pPr>
      <w:spacing w:after="0" w:line="240" w:lineRule="auto"/>
    </w:pPr>
  </w:style>
  <w:style w:type="character" w:customStyle="1" w:styleId="Heading1Char">
    <w:name w:val="Heading 1 Char"/>
    <w:basedOn w:val="DefaultParagraphFont"/>
    <w:link w:val="Heading1"/>
    <w:uiPriority w:val="9"/>
    <w:rsid w:val="00C02A8D"/>
    <w:rPr>
      <w:rFonts w:asciiTheme="majorHAnsi" w:eastAsiaTheme="majorEastAsia" w:hAnsiTheme="majorHAnsi" w:cstheme="majorBidi"/>
      <w:color w:val="2E74B5" w:themeColor="accent1" w:themeShade="BF"/>
      <w:sz w:val="32"/>
      <w:szCs w:val="32"/>
    </w:rPr>
  </w:style>
  <w:style w:type="table" w:styleId="PlainTable1">
    <w:name w:val="Plain Table 1"/>
    <w:basedOn w:val="TableNormal"/>
    <w:uiPriority w:val="41"/>
    <w:rsid w:val="00C02A8D"/>
    <w:pPr>
      <w:spacing w:after="0" w:line="240" w:lineRule="auto"/>
    </w:pPr>
    <w:rPr>
      <w:kern w:val="2"/>
      <w:sz w:val="24"/>
      <w:szCs w:val="24"/>
      <w:lang w:val="en-GB"/>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1D0E46"/>
    <w:pPr>
      <w:tabs>
        <w:tab w:val="right" w:leader="dot" w:pos="10756"/>
      </w:tabs>
      <w:spacing w:after="100"/>
    </w:pPr>
  </w:style>
  <w:style w:type="paragraph" w:styleId="TOCHeading">
    <w:name w:val="TOC Heading"/>
    <w:basedOn w:val="Heading1"/>
    <w:next w:val="Normal"/>
    <w:uiPriority w:val="39"/>
    <w:unhideWhenUsed/>
    <w:qFormat/>
    <w:rsid w:val="009D3B0B"/>
    <w:pPr>
      <w:outlineLvl w:val="9"/>
    </w:pPr>
  </w:style>
  <w:style w:type="paragraph" w:styleId="TOC2">
    <w:name w:val="toc 2"/>
    <w:basedOn w:val="Normal"/>
    <w:next w:val="Normal"/>
    <w:autoRedefine/>
    <w:uiPriority w:val="39"/>
    <w:unhideWhenUsed/>
    <w:rsid w:val="001D0E46"/>
    <w:pPr>
      <w:spacing w:before="120" w:after="100" w:line="240" w:lineRule="auto"/>
      <w:ind w:left="240"/>
      <w:jc w:val="both"/>
    </w:pPr>
    <w:rPr>
      <w:rFonts w:ascii="Times New Roman" w:hAnsi="Times New Roman"/>
      <w:kern w:val="2"/>
      <w:sz w:val="24"/>
      <w:szCs w:val="24"/>
      <w:lang w:val="en-IN"/>
      <w14:ligatures w14:val="standardContextual"/>
    </w:rPr>
  </w:style>
  <w:style w:type="paragraph" w:styleId="TOC3">
    <w:name w:val="toc 3"/>
    <w:basedOn w:val="Normal"/>
    <w:next w:val="Normal"/>
    <w:autoRedefine/>
    <w:uiPriority w:val="39"/>
    <w:unhideWhenUsed/>
    <w:rsid w:val="004F5E2F"/>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35305">
      <w:bodyDiv w:val="1"/>
      <w:marLeft w:val="0"/>
      <w:marRight w:val="0"/>
      <w:marTop w:val="0"/>
      <w:marBottom w:val="0"/>
      <w:divBdr>
        <w:top w:val="none" w:sz="0" w:space="0" w:color="auto"/>
        <w:left w:val="none" w:sz="0" w:space="0" w:color="auto"/>
        <w:bottom w:val="none" w:sz="0" w:space="0" w:color="auto"/>
        <w:right w:val="none" w:sz="0" w:space="0" w:color="auto"/>
      </w:divBdr>
    </w:div>
    <w:div w:id="59254180">
      <w:bodyDiv w:val="1"/>
      <w:marLeft w:val="0"/>
      <w:marRight w:val="0"/>
      <w:marTop w:val="0"/>
      <w:marBottom w:val="0"/>
      <w:divBdr>
        <w:top w:val="none" w:sz="0" w:space="0" w:color="auto"/>
        <w:left w:val="none" w:sz="0" w:space="0" w:color="auto"/>
        <w:bottom w:val="none" w:sz="0" w:space="0" w:color="auto"/>
        <w:right w:val="none" w:sz="0" w:space="0" w:color="auto"/>
      </w:divBdr>
    </w:div>
    <w:div w:id="67582098">
      <w:bodyDiv w:val="1"/>
      <w:marLeft w:val="0"/>
      <w:marRight w:val="0"/>
      <w:marTop w:val="0"/>
      <w:marBottom w:val="0"/>
      <w:divBdr>
        <w:top w:val="none" w:sz="0" w:space="0" w:color="auto"/>
        <w:left w:val="none" w:sz="0" w:space="0" w:color="auto"/>
        <w:bottom w:val="none" w:sz="0" w:space="0" w:color="auto"/>
        <w:right w:val="none" w:sz="0" w:space="0" w:color="auto"/>
      </w:divBdr>
    </w:div>
    <w:div w:id="97533037">
      <w:bodyDiv w:val="1"/>
      <w:marLeft w:val="0"/>
      <w:marRight w:val="0"/>
      <w:marTop w:val="0"/>
      <w:marBottom w:val="0"/>
      <w:divBdr>
        <w:top w:val="none" w:sz="0" w:space="0" w:color="auto"/>
        <w:left w:val="none" w:sz="0" w:space="0" w:color="auto"/>
        <w:bottom w:val="none" w:sz="0" w:space="0" w:color="auto"/>
        <w:right w:val="none" w:sz="0" w:space="0" w:color="auto"/>
      </w:divBdr>
    </w:div>
    <w:div w:id="124272599">
      <w:bodyDiv w:val="1"/>
      <w:marLeft w:val="0"/>
      <w:marRight w:val="0"/>
      <w:marTop w:val="0"/>
      <w:marBottom w:val="0"/>
      <w:divBdr>
        <w:top w:val="none" w:sz="0" w:space="0" w:color="auto"/>
        <w:left w:val="none" w:sz="0" w:space="0" w:color="auto"/>
        <w:bottom w:val="none" w:sz="0" w:space="0" w:color="auto"/>
        <w:right w:val="none" w:sz="0" w:space="0" w:color="auto"/>
      </w:divBdr>
    </w:div>
    <w:div w:id="127743942">
      <w:bodyDiv w:val="1"/>
      <w:marLeft w:val="0"/>
      <w:marRight w:val="0"/>
      <w:marTop w:val="0"/>
      <w:marBottom w:val="0"/>
      <w:divBdr>
        <w:top w:val="none" w:sz="0" w:space="0" w:color="auto"/>
        <w:left w:val="none" w:sz="0" w:space="0" w:color="auto"/>
        <w:bottom w:val="none" w:sz="0" w:space="0" w:color="auto"/>
        <w:right w:val="none" w:sz="0" w:space="0" w:color="auto"/>
      </w:divBdr>
    </w:div>
    <w:div w:id="133716539">
      <w:bodyDiv w:val="1"/>
      <w:marLeft w:val="0"/>
      <w:marRight w:val="0"/>
      <w:marTop w:val="0"/>
      <w:marBottom w:val="0"/>
      <w:divBdr>
        <w:top w:val="none" w:sz="0" w:space="0" w:color="auto"/>
        <w:left w:val="none" w:sz="0" w:space="0" w:color="auto"/>
        <w:bottom w:val="none" w:sz="0" w:space="0" w:color="auto"/>
        <w:right w:val="none" w:sz="0" w:space="0" w:color="auto"/>
      </w:divBdr>
    </w:div>
    <w:div w:id="192960765">
      <w:bodyDiv w:val="1"/>
      <w:marLeft w:val="0"/>
      <w:marRight w:val="0"/>
      <w:marTop w:val="0"/>
      <w:marBottom w:val="0"/>
      <w:divBdr>
        <w:top w:val="none" w:sz="0" w:space="0" w:color="auto"/>
        <w:left w:val="none" w:sz="0" w:space="0" w:color="auto"/>
        <w:bottom w:val="none" w:sz="0" w:space="0" w:color="auto"/>
        <w:right w:val="none" w:sz="0" w:space="0" w:color="auto"/>
      </w:divBdr>
      <w:divsChild>
        <w:div w:id="524295187">
          <w:marLeft w:val="0"/>
          <w:marRight w:val="0"/>
          <w:marTop w:val="0"/>
          <w:marBottom w:val="0"/>
          <w:divBdr>
            <w:top w:val="none" w:sz="0" w:space="0" w:color="auto"/>
            <w:left w:val="none" w:sz="0" w:space="0" w:color="auto"/>
            <w:bottom w:val="none" w:sz="0" w:space="0" w:color="auto"/>
            <w:right w:val="none" w:sz="0" w:space="0" w:color="auto"/>
          </w:divBdr>
        </w:div>
      </w:divsChild>
    </w:div>
    <w:div w:id="233976662">
      <w:bodyDiv w:val="1"/>
      <w:marLeft w:val="0"/>
      <w:marRight w:val="0"/>
      <w:marTop w:val="0"/>
      <w:marBottom w:val="0"/>
      <w:divBdr>
        <w:top w:val="none" w:sz="0" w:space="0" w:color="auto"/>
        <w:left w:val="none" w:sz="0" w:space="0" w:color="auto"/>
        <w:bottom w:val="none" w:sz="0" w:space="0" w:color="auto"/>
        <w:right w:val="none" w:sz="0" w:space="0" w:color="auto"/>
      </w:divBdr>
    </w:div>
    <w:div w:id="258875438">
      <w:bodyDiv w:val="1"/>
      <w:marLeft w:val="0"/>
      <w:marRight w:val="0"/>
      <w:marTop w:val="0"/>
      <w:marBottom w:val="0"/>
      <w:divBdr>
        <w:top w:val="none" w:sz="0" w:space="0" w:color="auto"/>
        <w:left w:val="none" w:sz="0" w:space="0" w:color="auto"/>
        <w:bottom w:val="none" w:sz="0" w:space="0" w:color="auto"/>
        <w:right w:val="none" w:sz="0" w:space="0" w:color="auto"/>
      </w:divBdr>
    </w:div>
    <w:div w:id="277883477">
      <w:bodyDiv w:val="1"/>
      <w:marLeft w:val="0"/>
      <w:marRight w:val="0"/>
      <w:marTop w:val="0"/>
      <w:marBottom w:val="0"/>
      <w:divBdr>
        <w:top w:val="none" w:sz="0" w:space="0" w:color="auto"/>
        <w:left w:val="none" w:sz="0" w:space="0" w:color="auto"/>
        <w:bottom w:val="none" w:sz="0" w:space="0" w:color="auto"/>
        <w:right w:val="none" w:sz="0" w:space="0" w:color="auto"/>
      </w:divBdr>
    </w:div>
    <w:div w:id="358044072">
      <w:bodyDiv w:val="1"/>
      <w:marLeft w:val="0"/>
      <w:marRight w:val="0"/>
      <w:marTop w:val="0"/>
      <w:marBottom w:val="0"/>
      <w:divBdr>
        <w:top w:val="none" w:sz="0" w:space="0" w:color="auto"/>
        <w:left w:val="none" w:sz="0" w:space="0" w:color="auto"/>
        <w:bottom w:val="none" w:sz="0" w:space="0" w:color="auto"/>
        <w:right w:val="none" w:sz="0" w:space="0" w:color="auto"/>
      </w:divBdr>
      <w:divsChild>
        <w:div w:id="1363365593">
          <w:marLeft w:val="0"/>
          <w:marRight w:val="0"/>
          <w:marTop w:val="0"/>
          <w:marBottom w:val="0"/>
          <w:divBdr>
            <w:top w:val="none" w:sz="0" w:space="0" w:color="auto"/>
            <w:left w:val="none" w:sz="0" w:space="0" w:color="auto"/>
            <w:bottom w:val="none" w:sz="0" w:space="0" w:color="auto"/>
            <w:right w:val="none" w:sz="0" w:space="0" w:color="auto"/>
          </w:divBdr>
          <w:divsChild>
            <w:div w:id="1246962305">
              <w:marLeft w:val="0"/>
              <w:marRight w:val="0"/>
              <w:marTop w:val="0"/>
              <w:marBottom w:val="0"/>
              <w:divBdr>
                <w:top w:val="none" w:sz="0" w:space="0" w:color="auto"/>
                <w:left w:val="none" w:sz="0" w:space="0" w:color="auto"/>
                <w:bottom w:val="none" w:sz="0" w:space="0" w:color="auto"/>
                <w:right w:val="none" w:sz="0" w:space="0" w:color="auto"/>
              </w:divBdr>
            </w:div>
          </w:divsChild>
        </w:div>
        <w:div w:id="2124569032">
          <w:marLeft w:val="0"/>
          <w:marRight w:val="0"/>
          <w:marTop w:val="0"/>
          <w:marBottom w:val="0"/>
          <w:divBdr>
            <w:top w:val="none" w:sz="0" w:space="0" w:color="auto"/>
            <w:left w:val="none" w:sz="0" w:space="0" w:color="auto"/>
            <w:bottom w:val="none" w:sz="0" w:space="0" w:color="auto"/>
            <w:right w:val="none" w:sz="0" w:space="0" w:color="auto"/>
          </w:divBdr>
          <w:divsChild>
            <w:div w:id="100926801">
              <w:marLeft w:val="0"/>
              <w:marRight w:val="0"/>
              <w:marTop w:val="0"/>
              <w:marBottom w:val="0"/>
              <w:divBdr>
                <w:top w:val="none" w:sz="0" w:space="0" w:color="auto"/>
                <w:left w:val="none" w:sz="0" w:space="0" w:color="auto"/>
                <w:bottom w:val="none" w:sz="0" w:space="0" w:color="auto"/>
                <w:right w:val="none" w:sz="0" w:space="0" w:color="auto"/>
              </w:divBdr>
            </w:div>
          </w:divsChild>
        </w:div>
        <w:div w:id="917208110">
          <w:marLeft w:val="0"/>
          <w:marRight w:val="0"/>
          <w:marTop w:val="0"/>
          <w:marBottom w:val="0"/>
          <w:divBdr>
            <w:top w:val="none" w:sz="0" w:space="0" w:color="auto"/>
            <w:left w:val="none" w:sz="0" w:space="0" w:color="auto"/>
            <w:bottom w:val="none" w:sz="0" w:space="0" w:color="auto"/>
            <w:right w:val="none" w:sz="0" w:space="0" w:color="auto"/>
          </w:divBdr>
          <w:divsChild>
            <w:div w:id="2069107224">
              <w:marLeft w:val="0"/>
              <w:marRight w:val="0"/>
              <w:marTop w:val="0"/>
              <w:marBottom w:val="0"/>
              <w:divBdr>
                <w:top w:val="none" w:sz="0" w:space="0" w:color="auto"/>
                <w:left w:val="none" w:sz="0" w:space="0" w:color="auto"/>
                <w:bottom w:val="none" w:sz="0" w:space="0" w:color="auto"/>
                <w:right w:val="none" w:sz="0" w:space="0" w:color="auto"/>
              </w:divBdr>
            </w:div>
          </w:divsChild>
        </w:div>
        <w:div w:id="179861307">
          <w:marLeft w:val="0"/>
          <w:marRight w:val="0"/>
          <w:marTop w:val="0"/>
          <w:marBottom w:val="0"/>
          <w:divBdr>
            <w:top w:val="none" w:sz="0" w:space="0" w:color="auto"/>
            <w:left w:val="none" w:sz="0" w:space="0" w:color="auto"/>
            <w:bottom w:val="none" w:sz="0" w:space="0" w:color="auto"/>
            <w:right w:val="none" w:sz="0" w:space="0" w:color="auto"/>
          </w:divBdr>
          <w:divsChild>
            <w:div w:id="774717955">
              <w:marLeft w:val="0"/>
              <w:marRight w:val="0"/>
              <w:marTop w:val="0"/>
              <w:marBottom w:val="0"/>
              <w:divBdr>
                <w:top w:val="none" w:sz="0" w:space="0" w:color="auto"/>
                <w:left w:val="none" w:sz="0" w:space="0" w:color="auto"/>
                <w:bottom w:val="none" w:sz="0" w:space="0" w:color="auto"/>
                <w:right w:val="none" w:sz="0" w:space="0" w:color="auto"/>
              </w:divBdr>
            </w:div>
          </w:divsChild>
        </w:div>
        <w:div w:id="634987105">
          <w:marLeft w:val="0"/>
          <w:marRight w:val="0"/>
          <w:marTop w:val="0"/>
          <w:marBottom w:val="0"/>
          <w:divBdr>
            <w:top w:val="none" w:sz="0" w:space="0" w:color="auto"/>
            <w:left w:val="none" w:sz="0" w:space="0" w:color="auto"/>
            <w:bottom w:val="none" w:sz="0" w:space="0" w:color="auto"/>
            <w:right w:val="none" w:sz="0" w:space="0" w:color="auto"/>
          </w:divBdr>
          <w:divsChild>
            <w:div w:id="112422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14739">
      <w:bodyDiv w:val="1"/>
      <w:marLeft w:val="0"/>
      <w:marRight w:val="0"/>
      <w:marTop w:val="0"/>
      <w:marBottom w:val="0"/>
      <w:divBdr>
        <w:top w:val="none" w:sz="0" w:space="0" w:color="auto"/>
        <w:left w:val="none" w:sz="0" w:space="0" w:color="auto"/>
        <w:bottom w:val="none" w:sz="0" w:space="0" w:color="auto"/>
        <w:right w:val="none" w:sz="0" w:space="0" w:color="auto"/>
      </w:divBdr>
    </w:div>
    <w:div w:id="529074616">
      <w:bodyDiv w:val="1"/>
      <w:marLeft w:val="0"/>
      <w:marRight w:val="0"/>
      <w:marTop w:val="0"/>
      <w:marBottom w:val="0"/>
      <w:divBdr>
        <w:top w:val="none" w:sz="0" w:space="0" w:color="auto"/>
        <w:left w:val="none" w:sz="0" w:space="0" w:color="auto"/>
        <w:bottom w:val="none" w:sz="0" w:space="0" w:color="auto"/>
        <w:right w:val="none" w:sz="0" w:space="0" w:color="auto"/>
      </w:divBdr>
    </w:div>
    <w:div w:id="697858289">
      <w:bodyDiv w:val="1"/>
      <w:marLeft w:val="0"/>
      <w:marRight w:val="0"/>
      <w:marTop w:val="0"/>
      <w:marBottom w:val="0"/>
      <w:divBdr>
        <w:top w:val="none" w:sz="0" w:space="0" w:color="auto"/>
        <w:left w:val="none" w:sz="0" w:space="0" w:color="auto"/>
        <w:bottom w:val="none" w:sz="0" w:space="0" w:color="auto"/>
        <w:right w:val="none" w:sz="0" w:space="0" w:color="auto"/>
      </w:divBdr>
    </w:div>
    <w:div w:id="707418572">
      <w:bodyDiv w:val="1"/>
      <w:marLeft w:val="0"/>
      <w:marRight w:val="0"/>
      <w:marTop w:val="0"/>
      <w:marBottom w:val="0"/>
      <w:divBdr>
        <w:top w:val="none" w:sz="0" w:space="0" w:color="auto"/>
        <w:left w:val="none" w:sz="0" w:space="0" w:color="auto"/>
        <w:bottom w:val="none" w:sz="0" w:space="0" w:color="auto"/>
        <w:right w:val="none" w:sz="0" w:space="0" w:color="auto"/>
      </w:divBdr>
    </w:div>
    <w:div w:id="719940475">
      <w:bodyDiv w:val="1"/>
      <w:marLeft w:val="0"/>
      <w:marRight w:val="0"/>
      <w:marTop w:val="0"/>
      <w:marBottom w:val="0"/>
      <w:divBdr>
        <w:top w:val="none" w:sz="0" w:space="0" w:color="auto"/>
        <w:left w:val="none" w:sz="0" w:space="0" w:color="auto"/>
        <w:bottom w:val="none" w:sz="0" w:space="0" w:color="auto"/>
        <w:right w:val="none" w:sz="0" w:space="0" w:color="auto"/>
      </w:divBdr>
    </w:div>
    <w:div w:id="730420537">
      <w:bodyDiv w:val="1"/>
      <w:marLeft w:val="0"/>
      <w:marRight w:val="0"/>
      <w:marTop w:val="0"/>
      <w:marBottom w:val="0"/>
      <w:divBdr>
        <w:top w:val="none" w:sz="0" w:space="0" w:color="auto"/>
        <w:left w:val="none" w:sz="0" w:space="0" w:color="auto"/>
        <w:bottom w:val="none" w:sz="0" w:space="0" w:color="auto"/>
        <w:right w:val="none" w:sz="0" w:space="0" w:color="auto"/>
      </w:divBdr>
    </w:div>
    <w:div w:id="800155390">
      <w:bodyDiv w:val="1"/>
      <w:marLeft w:val="0"/>
      <w:marRight w:val="0"/>
      <w:marTop w:val="0"/>
      <w:marBottom w:val="0"/>
      <w:divBdr>
        <w:top w:val="none" w:sz="0" w:space="0" w:color="auto"/>
        <w:left w:val="none" w:sz="0" w:space="0" w:color="auto"/>
        <w:bottom w:val="none" w:sz="0" w:space="0" w:color="auto"/>
        <w:right w:val="none" w:sz="0" w:space="0" w:color="auto"/>
      </w:divBdr>
    </w:div>
    <w:div w:id="891114267">
      <w:bodyDiv w:val="1"/>
      <w:marLeft w:val="0"/>
      <w:marRight w:val="0"/>
      <w:marTop w:val="0"/>
      <w:marBottom w:val="0"/>
      <w:divBdr>
        <w:top w:val="none" w:sz="0" w:space="0" w:color="auto"/>
        <w:left w:val="none" w:sz="0" w:space="0" w:color="auto"/>
        <w:bottom w:val="none" w:sz="0" w:space="0" w:color="auto"/>
        <w:right w:val="none" w:sz="0" w:space="0" w:color="auto"/>
      </w:divBdr>
    </w:div>
    <w:div w:id="892891503">
      <w:bodyDiv w:val="1"/>
      <w:marLeft w:val="0"/>
      <w:marRight w:val="0"/>
      <w:marTop w:val="0"/>
      <w:marBottom w:val="0"/>
      <w:divBdr>
        <w:top w:val="none" w:sz="0" w:space="0" w:color="auto"/>
        <w:left w:val="none" w:sz="0" w:space="0" w:color="auto"/>
        <w:bottom w:val="none" w:sz="0" w:space="0" w:color="auto"/>
        <w:right w:val="none" w:sz="0" w:space="0" w:color="auto"/>
      </w:divBdr>
    </w:div>
    <w:div w:id="995569280">
      <w:bodyDiv w:val="1"/>
      <w:marLeft w:val="0"/>
      <w:marRight w:val="0"/>
      <w:marTop w:val="0"/>
      <w:marBottom w:val="0"/>
      <w:divBdr>
        <w:top w:val="none" w:sz="0" w:space="0" w:color="auto"/>
        <w:left w:val="none" w:sz="0" w:space="0" w:color="auto"/>
        <w:bottom w:val="none" w:sz="0" w:space="0" w:color="auto"/>
        <w:right w:val="none" w:sz="0" w:space="0" w:color="auto"/>
      </w:divBdr>
    </w:div>
    <w:div w:id="1000620185">
      <w:bodyDiv w:val="1"/>
      <w:marLeft w:val="0"/>
      <w:marRight w:val="0"/>
      <w:marTop w:val="0"/>
      <w:marBottom w:val="0"/>
      <w:divBdr>
        <w:top w:val="none" w:sz="0" w:space="0" w:color="auto"/>
        <w:left w:val="none" w:sz="0" w:space="0" w:color="auto"/>
        <w:bottom w:val="none" w:sz="0" w:space="0" w:color="auto"/>
        <w:right w:val="none" w:sz="0" w:space="0" w:color="auto"/>
      </w:divBdr>
    </w:div>
    <w:div w:id="1038236794">
      <w:bodyDiv w:val="1"/>
      <w:marLeft w:val="0"/>
      <w:marRight w:val="0"/>
      <w:marTop w:val="0"/>
      <w:marBottom w:val="0"/>
      <w:divBdr>
        <w:top w:val="none" w:sz="0" w:space="0" w:color="auto"/>
        <w:left w:val="none" w:sz="0" w:space="0" w:color="auto"/>
        <w:bottom w:val="none" w:sz="0" w:space="0" w:color="auto"/>
        <w:right w:val="none" w:sz="0" w:space="0" w:color="auto"/>
      </w:divBdr>
    </w:div>
    <w:div w:id="1114835647">
      <w:bodyDiv w:val="1"/>
      <w:marLeft w:val="0"/>
      <w:marRight w:val="0"/>
      <w:marTop w:val="0"/>
      <w:marBottom w:val="0"/>
      <w:divBdr>
        <w:top w:val="none" w:sz="0" w:space="0" w:color="auto"/>
        <w:left w:val="none" w:sz="0" w:space="0" w:color="auto"/>
        <w:bottom w:val="none" w:sz="0" w:space="0" w:color="auto"/>
        <w:right w:val="none" w:sz="0" w:space="0" w:color="auto"/>
      </w:divBdr>
    </w:div>
    <w:div w:id="1120034255">
      <w:bodyDiv w:val="1"/>
      <w:marLeft w:val="0"/>
      <w:marRight w:val="0"/>
      <w:marTop w:val="0"/>
      <w:marBottom w:val="0"/>
      <w:divBdr>
        <w:top w:val="none" w:sz="0" w:space="0" w:color="auto"/>
        <w:left w:val="none" w:sz="0" w:space="0" w:color="auto"/>
        <w:bottom w:val="none" w:sz="0" w:space="0" w:color="auto"/>
        <w:right w:val="none" w:sz="0" w:space="0" w:color="auto"/>
      </w:divBdr>
    </w:div>
    <w:div w:id="1202668096">
      <w:bodyDiv w:val="1"/>
      <w:marLeft w:val="0"/>
      <w:marRight w:val="0"/>
      <w:marTop w:val="0"/>
      <w:marBottom w:val="0"/>
      <w:divBdr>
        <w:top w:val="none" w:sz="0" w:space="0" w:color="auto"/>
        <w:left w:val="none" w:sz="0" w:space="0" w:color="auto"/>
        <w:bottom w:val="none" w:sz="0" w:space="0" w:color="auto"/>
        <w:right w:val="none" w:sz="0" w:space="0" w:color="auto"/>
      </w:divBdr>
    </w:div>
    <w:div w:id="1259214098">
      <w:bodyDiv w:val="1"/>
      <w:marLeft w:val="0"/>
      <w:marRight w:val="0"/>
      <w:marTop w:val="0"/>
      <w:marBottom w:val="0"/>
      <w:divBdr>
        <w:top w:val="none" w:sz="0" w:space="0" w:color="auto"/>
        <w:left w:val="none" w:sz="0" w:space="0" w:color="auto"/>
        <w:bottom w:val="none" w:sz="0" w:space="0" w:color="auto"/>
        <w:right w:val="none" w:sz="0" w:space="0" w:color="auto"/>
      </w:divBdr>
    </w:div>
    <w:div w:id="1284120702">
      <w:bodyDiv w:val="1"/>
      <w:marLeft w:val="0"/>
      <w:marRight w:val="0"/>
      <w:marTop w:val="0"/>
      <w:marBottom w:val="0"/>
      <w:divBdr>
        <w:top w:val="none" w:sz="0" w:space="0" w:color="auto"/>
        <w:left w:val="none" w:sz="0" w:space="0" w:color="auto"/>
        <w:bottom w:val="none" w:sz="0" w:space="0" w:color="auto"/>
        <w:right w:val="none" w:sz="0" w:space="0" w:color="auto"/>
      </w:divBdr>
    </w:div>
    <w:div w:id="1288585037">
      <w:bodyDiv w:val="1"/>
      <w:marLeft w:val="0"/>
      <w:marRight w:val="0"/>
      <w:marTop w:val="0"/>
      <w:marBottom w:val="0"/>
      <w:divBdr>
        <w:top w:val="none" w:sz="0" w:space="0" w:color="auto"/>
        <w:left w:val="none" w:sz="0" w:space="0" w:color="auto"/>
        <w:bottom w:val="none" w:sz="0" w:space="0" w:color="auto"/>
        <w:right w:val="none" w:sz="0" w:space="0" w:color="auto"/>
      </w:divBdr>
    </w:div>
    <w:div w:id="1302538629">
      <w:bodyDiv w:val="1"/>
      <w:marLeft w:val="0"/>
      <w:marRight w:val="0"/>
      <w:marTop w:val="0"/>
      <w:marBottom w:val="0"/>
      <w:divBdr>
        <w:top w:val="none" w:sz="0" w:space="0" w:color="auto"/>
        <w:left w:val="none" w:sz="0" w:space="0" w:color="auto"/>
        <w:bottom w:val="none" w:sz="0" w:space="0" w:color="auto"/>
        <w:right w:val="none" w:sz="0" w:space="0" w:color="auto"/>
      </w:divBdr>
    </w:div>
    <w:div w:id="1438671382">
      <w:bodyDiv w:val="1"/>
      <w:marLeft w:val="0"/>
      <w:marRight w:val="0"/>
      <w:marTop w:val="0"/>
      <w:marBottom w:val="0"/>
      <w:divBdr>
        <w:top w:val="none" w:sz="0" w:space="0" w:color="auto"/>
        <w:left w:val="none" w:sz="0" w:space="0" w:color="auto"/>
        <w:bottom w:val="none" w:sz="0" w:space="0" w:color="auto"/>
        <w:right w:val="none" w:sz="0" w:space="0" w:color="auto"/>
      </w:divBdr>
    </w:div>
    <w:div w:id="1475565295">
      <w:bodyDiv w:val="1"/>
      <w:marLeft w:val="0"/>
      <w:marRight w:val="0"/>
      <w:marTop w:val="0"/>
      <w:marBottom w:val="0"/>
      <w:divBdr>
        <w:top w:val="none" w:sz="0" w:space="0" w:color="auto"/>
        <w:left w:val="none" w:sz="0" w:space="0" w:color="auto"/>
        <w:bottom w:val="none" w:sz="0" w:space="0" w:color="auto"/>
        <w:right w:val="none" w:sz="0" w:space="0" w:color="auto"/>
      </w:divBdr>
    </w:div>
    <w:div w:id="1480802712">
      <w:bodyDiv w:val="1"/>
      <w:marLeft w:val="0"/>
      <w:marRight w:val="0"/>
      <w:marTop w:val="0"/>
      <w:marBottom w:val="0"/>
      <w:divBdr>
        <w:top w:val="none" w:sz="0" w:space="0" w:color="auto"/>
        <w:left w:val="none" w:sz="0" w:space="0" w:color="auto"/>
        <w:bottom w:val="none" w:sz="0" w:space="0" w:color="auto"/>
        <w:right w:val="none" w:sz="0" w:space="0" w:color="auto"/>
      </w:divBdr>
      <w:divsChild>
        <w:div w:id="985935708">
          <w:marLeft w:val="0"/>
          <w:marRight w:val="0"/>
          <w:marTop w:val="0"/>
          <w:marBottom w:val="0"/>
          <w:divBdr>
            <w:top w:val="none" w:sz="0" w:space="0" w:color="auto"/>
            <w:left w:val="none" w:sz="0" w:space="0" w:color="auto"/>
            <w:bottom w:val="none" w:sz="0" w:space="0" w:color="auto"/>
            <w:right w:val="none" w:sz="0" w:space="0" w:color="auto"/>
          </w:divBdr>
          <w:divsChild>
            <w:div w:id="925386768">
              <w:marLeft w:val="0"/>
              <w:marRight w:val="0"/>
              <w:marTop w:val="0"/>
              <w:marBottom w:val="0"/>
              <w:divBdr>
                <w:top w:val="none" w:sz="0" w:space="0" w:color="auto"/>
                <w:left w:val="none" w:sz="0" w:space="0" w:color="auto"/>
                <w:bottom w:val="none" w:sz="0" w:space="0" w:color="auto"/>
                <w:right w:val="none" w:sz="0" w:space="0" w:color="auto"/>
              </w:divBdr>
              <w:divsChild>
                <w:div w:id="572157124">
                  <w:marLeft w:val="0"/>
                  <w:marRight w:val="0"/>
                  <w:marTop w:val="0"/>
                  <w:marBottom w:val="0"/>
                  <w:divBdr>
                    <w:top w:val="none" w:sz="0" w:space="0" w:color="auto"/>
                    <w:left w:val="none" w:sz="0" w:space="0" w:color="auto"/>
                    <w:bottom w:val="none" w:sz="0" w:space="0" w:color="auto"/>
                    <w:right w:val="none" w:sz="0" w:space="0" w:color="auto"/>
                  </w:divBdr>
                  <w:divsChild>
                    <w:div w:id="925918039">
                      <w:marLeft w:val="0"/>
                      <w:marRight w:val="0"/>
                      <w:marTop w:val="0"/>
                      <w:marBottom w:val="0"/>
                      <w:divBdr>
                        <w:top w:val="none" w:sz="0" w:space="0" w:color="auto"/>
                        <w:left w:val="none" w:sz="0" w:space="0" w:color="auto"/>
                        <w:bottom w:val="none" w:sz="0" w:space="0" w:color="auto"/>
                        <w:right w:val="none" w:sz="0" w:space="0" w:color="auto"/>
                      </w:divBdr>
                      <w:divsChild>
                        <w:div w:id="141134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437849">
          <w:marLeft w:val="0"/>
          <w:marRight w:val="0"/>
          <w:marTop w:val="0"/>
          <w:marBottom w:val="0"/>
          <w:divBdr>
            <w:top w:val="none" w:sz="0" w:space="0" w:color="auto"/>
            <w:left w:val="none" w:sz="0" w:space="0" w:color="auto"/>
            <w:bottom w:val="none" w:sz="0" w:space="0" w:color="auto"/>
            <w:right w:val="none" w:sz="0" w:space="0" w:color="auto"/>
          </w:divBdr>
          <w:divsChild>
            <w:div w:id="1632394216">
              <w:marLeft w:val="0"/>
              <w:marRight w:val="0"/>
              <w:marTop w:val="0"/>
              <w:marBottom w:val="0"/>
              <w:divBdr>
                <w:top w:val="none" w:sz="0" w:space="0" w:color="auto"/>
                <w:left w:val="none" w:sz="0" w:space="0" w:color="auto"/>
                <w:bottom w:val="none" w:sz="0" w:space="0" w:color="auto"/>
                <w:right w:val="none" w:sz="0" w:space="0" w:color="auto"/>
              </w:divBdr>
            </w:div>
            <w:div w:id="1859075228">
              <w:marLeft w:val="0"/>
              <w:marRight w:val="0"/>
              <w:marTop w:val="0"/>
              <w:marBottom w:val="0"/>
              <w:divBdr>
                <w:top w:val="none" w:sz="0" w:space="0" w:color="auto"/>
                <w:left w:val="none" w:sz="0" w:space="0" w:color="auto"/>
                <w:bottom w:val="none" w:sz="0" w:space="0" w:color="auto"/>
                <w:right w:val="none" w:sz="0" w:space="0" w:color="auto"/>
              </w:divBdr>
            </w:div>
            <w:div w:id="1486816924">
              <w:marLeft w:val="0"/>
              <w:marRight w:val="0"/>
              <w:marTop w:val="0"/>
              <w:marBottom w:val="0"/>
              <w:divBdr>
                <w:top w:val="single" w:sz="6" w:space="9" w:color="D0D0D0"/>
                <w:left w:val="single" w:sz="6" w:space="9" w:color="D0D0D0"/>
                <w:bottom w:val="single" w:sz="6" w:space="9" w:color="D0D0D0"/>
                <w:right w:val="single" w:sz="6" w:space="9" w:color="D0D0D0"/>
              </w:divBdr>
            </w:div>
          </w:divsChild>
        </w:div>
      </w:divsChild>
    </w:div>
    <w:div w:id="1491142243">
      <w:bodyDiv w:val="1"/>
      <w:marLeft w:val="0"/>
      <w:marRight w:val="0"/>
      <w:marTop w:val="0"/>
      <w:marBottom w:val="0"/>
      <w:divBdr>
        <w:top w:val="none" w:sz="0" w:space="0" w:color="auto"/>
        <w:left w:val="none" w:sz="0" w:space="0" w:color="auto"/>
        <w:bottom w:val="none" w:sz="0" w:space="0" w:color="auto"/>
        <w:right w:val="none" w:sz="0" w:space="0" w:color="auto"/>
      </w:divBdr>
      <w:divsChild>
        <w:div w:id="876049008">
          <w:marLeft w:val="0"/>
          <w:marRight w:val="0"/>
          <w:marTop w:val="0"/>
          <w:marBottom w:val="0"/>
          <w:divBdr>
            <w:top w:val="none" w:sz="0" w:space="0" w:color="auto"/>
            <w:left w:val="none" w:sz="0" w:space="0" w:color="auto"/>
            <w:bottom w:val="none" w:sz="0" w:space="0" w:color="auto"/>
            <w:right w:val="none" w:sz="0" w:space="0" w:color="auto"/>
          </w:divBdr>
          <w:divsChild>
            <w:div w:id="1657025411">
              <w:marLeft w:val="0"/>
              <w:marRight w:val="0"/>
              <w:marTop w:val="0"/>
              <w:marBottom w:val="0"/>
              <w:divBdr>
                <w:top w:val="none" w:sz="0" w:space="0" w:color="auto"/>
                <w:left w:val="none" w:sz="0" w:space="0" w:color="auto"/>
                <w:bottom w:val="none" w:sz="0" w:space="0" w:color="auto"/>
                <w:right w:val="none" w:sz="0" w:space="0" w:color="auto"/>
              </w:divBdr>
              <w:divsChild>
                <w:div w:id="340741712">
                  <w:marLeft w:val="0"/>
                  <w:marRight w:val="0"/>
                  <w:marTop w:val="0"/>
                  <w:marBottom w:val="0"/>
                  <w:divBdr>
                    <w:top w:val="none" w:sz="0" w:space="0" w:color="auto"/>
                    <w:left w:val="none" w:sz="0" w:space="0" w:color="auto"/>
                    <w:bottom w:val="none" w:sz="0" w:space="0" w:color="auto"/>
                    <w:right w:val="none" w:sz="0" w:space="0" w:color="auto"/>
                  </w:divBdr>
                  <w:divsChild>
                    <w:div w:id="43903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536707">
      <w:bodyDiv w:val="1"/>
      <w:marLeft w:val="0"/>
      <w:marRight w:val="0"/>
      <w:marTop w:val="0"/>
      <w:marBottom w:val="0"/>
      <w:divBdr>
        <w:top w:val="none" w:sz="0" w:space="0" w:color="auto"/>
        <w:left w:val="none" w:sz="0" w:space="0" w:color="auto"/>
        <w:bottom w:val="none" w:sz="0" w:space="0" w:color="auto"/>
        <w:right w:val="none" w:sz="0" w:space="0" w:color="auto"/>
      </w:divBdr>
    </w:div>
    <w:div w:id="1704743968">
      <w:bodyDiv w:val="1"/>
      <w:marLeft w:val="0"/>
      <w:marRight w:val="0"/>
      <w:marTop w:val="0"/>
      <w:marBottom w:val="0"/>
      <w:divBdr>
        <w:top w:val="none" w:sz="0" w:space="0" w:color="auto"/>
        <w:left w:val="none" w:sz="0" w:space="0" w:color="auto"/>
        <w:bottom w:val="none" w:sz="0" w:space="0" w:color="auto"/>
        <w:right w:val="none" w:sz="0" w:space="0" w:color="auto"/>
      </w:divBdr>
    </w:div>
    <w:div w:id="1765998841">
      <w:bodyDiv w:val="1"/>
      <w:marLeft w:val="0"/>
      <w:marRight w:val="0"/>
      <w:marTop w:val="0"/>
      <w:marBottom w:val="0"/>
      <w:divBdr>
        <w:top w:val="none" w:sz="0" w:space="0" w:color="auto"/>
        <w:left w:val="none" w:sz="0" w:space="0" w:color="auto"/>
        <w:bottom w:val="none" w:sz="0" w:space="0" w:color="auto"/>
        <w:right w:val="none" w:sz="0" w:space="0" w:color="auto"/>
      </w:divBdr>
    </w:div>
    <w:div w:id="1842968008">
      <w:bodyDiv w:val="1"/>
      <w:marLeft w:val="0"/>
      <w:marRight w:val="0"/>
      <w:marTop w:val="0"/>
      <w:marBottom w:val="0"/>
      <w:divBdr>
        <w:top w:val="none" w:sz="0" w:space="0" w:color="auto"/>
        <w:left w:val="none" w:sz="0" w:space="0" w:color="auto"/>
        <w:bottom w:val="none" w:sz="0" w:space="0" w:color="auto"/>
        <w:right w:val="none" w:sz="0" w:space="0" w:color="auto"/>
      </w:divBdr>
      <w:divsChild>
        <w:div w:id="2020161596">
          <w:marLeft w:val="0"/>
          <w:marRight w:val="0"/>
          <w:marTop w:val="0"/>
          <w:marBottom w:val="0"/>
          <w:divBdr>
            <w:top w:val="none" w:sz="0" w:space="0" w:color="auto"/>
            <w:left w:val="none" w:sz="0" w:space="0" w:color="auto"/>
            <w:bottom w:val="none" w:sz="0" w:space="0" w:color="auto"/>
            <w:right w:val="none" w:sz="0" w:space="0" w:color="auto"/>
          </w:divBdr>
          <w:divsChild>
            <w:div w:id="140675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358847">
      <w:bodyDiv w:val="1"/>
      <w:marLeft w:val="0"/>
      <w:marRight w:val="0"/>
      <w:marTop w:val="0"/>
      <w:marBottom w:val="0"/>
      <w:divBdr>
        <w:top w:val="none" w:sz="0" w:space="0" w:color="auto"/>
        <w:left w:val="none" w:sz="0" w:space="0" w:color="auto"/>
        <w:bottom w:val="none" w:sz="0" w:space="0" w:color="auto"/>
        <w:right w:val="none" w:sz="0" w:space="0" w:color="auto"/>
      </w:divBdr>
      <w:divsChild>
        <w:div w:id="1024210664">
          <w:marLeft w:val="0"/>
          <w:marRight w:val="0"/>
          <w:marTop w:val="0"/>
          <w:marBottom w:val="0"/>
          <w:divBdr>
            <w:top w:val="none" w:sz="0" w:space="0" w:color="auto"/>
            <w:left w:val="none" w:sz="0" w:space="0" w:color="auto"/>
            <w:bottom w:val="none" w:sz="0" w:space="0" w:color="auto"/>
            <w:right w:val="none" w:sz="0" w:space="0" w:color="auto"/>
          </w:divBdr>
          <w:divsChild>
            <w:div w:id="21786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863577">
      <w:bodyDiv w:val="1"/>
      <w:marLeft w:val="0"/>
      <w:marRight w:val="0"/>
      <w:marTop w:val="0"/>
      <w:marBottom w:val="0"/>
      <w:divBdr>
        <w:top w:val="none" w:sz="0" w:space="0" w:color="auto"/>
        <w:left w:val="none" w:sz="0" w:space="0" w:color="auto"/>
        <w:bottom w:val="none" w:sz="0" w:space="0" w:color="auto"/>
        <w:right w:val="none" w:sz="0" w:space="0" w:color="auto"/>
      </w:divBdr>
    </w:div>
    <w:div w:id="1918662229">
      <w:bodyDiv w:val="1"/>
      <w:marLeft w:val="0"/>
      <w:marRight w:val="0"/>
      <w:marTop w:val="0"/>
      <w:marBottom w:val="0"/>
      <w:divBdr>
        <w:top w:val="none" w:sz="0" w:space="0" w:color="auto"/>
        <w:left w:val="none" w:sz="0" w:space="0" w:color="auto"/>
        <w:bottom w:val="none" w:sz="0" w:space="0" w:color="auto"/>
        <w:right w:val="none" w:sz="0" w:space="0" w:color="auto"/>
      </w:divBdr>
    </w:div>
    <w:div w:id="1921864369">
      <w:bodyDiv w:val="1"/>
      <w:marLeft w:val="0"/>
      <w:marRight w:val="0"/>
      <w:marTop w:val="0"/>
      <w:marBottom w:val="0"/>
      <w:divBdr>
        <w:top w:val="none" w:sz="0" w:space="0" w:color="auto"/>
        <w:left w:val="none" w:sz="0" w:space="0" w:color="auto"/>
        <w:bottom w:val="none" w:sz="0" w:space="0" w:color="auto"/>
        <w:right w:val="none" w:sz="0" w:space="0" w:color="auto"/>
      </w:divBdr>
    </w:div>
    <w:div w:id="1980382825">
      <w:bodyDiv w:val="1"/>
      <w:marLeft w:val="0"/>
      <w:marRight w:val="0"/>
      <w:marTop w:val="0"/>
      <w:marBottom w:val="0"/>
      <w:divBdr>
        <w:top w:val="none" w:sz="0" w:space="0" w:color="auto"/>
        <w:left w:val="none" w:sz="0" w:space="0" w:color="auto"/>
        <w:bottom w:val="none" w:sz="0" w:space="0" w:color="auto"/>
        <w:right w:val="none" w:sz="0" w:space="0" w:color="auto"/>
      </w:divBdr>
    </w:div>
    <w:div w:id="2007901851">
      <w:bodyDiv w:val="1"/>
      <w:marLeft w:val="0"/>
      <w:marRight w:val="0"/>
      <w:marTop w:val="0"/>
      <w:marBottom w:val="0"/>
      <w:divBdr>
        <w:top w:val="none" w:sz="0" w:space="0" w:color="auto"/>
        <w:left w:val="none" w:sz="0" w:space="0" w:color="auto"/>
        <w:bottom w:val="none" w:sz="0" w:space="0" w:color="auto"/>
        <w:right w:val="none" w:sz="0" w:space="0" w:color="auto"/>
      </w:divBdr>
    </w:div>
    <w:div w:id="2059434732">
      <w:bodyDiv w:val="1"/>
      <w:marLeft w:val="0"/>
      <w:marRight w:val="0"/>
      <w:marTop w:val="0"/>
      <w:marBottom w:val="0"/>
      <w:divBdr>
        <w:top w:val="none" w:sz="0" w:space="0" w:color="auto"/>
        <w:left w:val="none" w:sz="0" w:space="0" w:color="auto"/>
        <w:bottom w:val="none" w:sz="0" w:space="0" w:color="auto"/>
        <w:right w:val="none" w:sz="0" w:space="0" w:color="auto"/>
      </w:divBdr>
      <w:divsChild>
        <w:div w:id="825901284">
          <w:marLeft w:val="0"/>
          <w:marRight w:val="0"/>
          <w:marTop w:val="0"/>
          <w:marBottom w:val="0"/>
          <w:divBdr>
            <w:top w:val="none" w:sz="0" w:space="0" w:color="auto"/>
            <w:left w:val="none" w:sz="0" w:space="0" w:color="auto"/>
            <w:bottom w:val="none" w:sz="0" w:space="0" w:color="auto"/>
            <w:right w:val="none" w:sz="0" w:space="0" w:color="auto"/>
          </w:divBdr>
          <w:divsChild>
            <w:div w:id="1304509278">
              <w:marLeft w:val="0"/>
              <w:marRight w:val="0"/>
              <w:marTop w:val="0"/>
              <w:marBottom w:val="0"/>
              <w:divBdr>
                <w:top w:val="none" w:sz="0" w:space="0" w:color="auto"/>
                <w:left w:val="none" w:sz="0" w:space="0" w:color="auto"/>
                <w:bottom w:val="none" w:sz="0" w:space="0" w:color="auto"/>
                <w:right w:val="none" w:sz="0" w:space="0" w:color="auto"/>
              </w:divBdr>
              <w:divsChild>
                <w:div w:id="1892958011">
                  <w:marLeft w:val="0"/>
                  <w:marRight w:val="0"/>
                  <w:marTop w:val="0"/>
                  <w:marBottom w:val="0"/>
                  <w:divBdr>
                    <w:top w:val="none" w:sz="0" w:space="0" w:color="auto"/>
                    <w:left w:val="none" w:sz="0" w:space="0" w:color="auto"/>
                    <w:bottom w:val="none" w:sz="0" w:space="0" w:color="auto"/>
                    <w:right w:val="none" w:sz="0" w:space="0" w:color="auto"/>
                  </w:divBdr>
                  <w:divsChild>
                    <w:div w:id="46053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95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chart" Target="charts/chart9.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10.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8.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corporatefinanceinstitute.com/resources/commercial-lending/altmans-z-score-model/" TargetMode="Externa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www.investopedia.com/terms/d/debt-to-capitalratio.asp" TargetMode="External"/><Relationship Id="rId10" Type="http://schemas.openxmlformats.org/officeDocument/2006/relationships/chart" Target="charts/chart2.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2.emf"/><Relationship Id="rId22" Type="http://schemas.openxmlformats.org/officeDocument/2006/relationships/hyperlink" Target="https://www.investopedia.com/terms/c/currentratio.asp"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User\Desktop\Working%20Ekram.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ROCE</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2225" cap="rnd">
              <a:solidFill>
                <a:schemeClr val="accent1"/>
              </a:solidFill>
            </a:ln>
            <a:effectLst>
              <a:glow rad="139700">
                <a:schemeClr val="accent1">
                  <a:satMod val="175000"/>
                  <a:alpha val="14000"/>
                </a:schemeClr>
              </a:glow>
            </a:effectLst>
          </c:spPr>
          <c:marker>
            <c:symbol val="none"/>
          </c:marker>
          <c:cat>
            <c:numRef>
              <c:f>Sheet1!$A$2:$A$6</c:f>
              <c:numCache>
                <c:formatCode>General</c:formatCode>
                <c:ptCount val="5"/>
                <c:pt idx="0">
                  <c:v>2024</c:v>
                </c:pt>
                <c:pt idx="1">
                  <c:v>2023</c:v>
                </c:pt>
                <c:pt idx="2">
                  <c:v>2022</c:v>
                </c:pt>
                <c:pt idx="3">
                  <c:v>2021</c:v>
                </c:pt>
                <c:pt idx="4">
                  <c:v>2020</c:v>
                </c:pt>
              </c:numCache>
            </c:numRef>
          </c:cat>
          <c:val>
            <c:numRef>
              <c:f>Sheet1!$B$2:$B$6</c:f>
              <c:numCache>
                <c:formatCode>General</c:formatCode>
                <c:ptCount val="5"/>
                <c:pt idx="0">
                  <c:v>-9.27</c:v>
                </c:pt>
                <c:pt idx="1">
                  <c:v>-43.81</c:v>
                </c:pt>
                <c:pt idx="2">
                  <c:v>5.0599999999999996</c:v>
                </c:pt>
                <c:pt idx="3">
                  <c:v>7.92</c:v>
                </c:pt>
                <c:pt idx="4">
                  <c:v>11.27</c:v>
                </c:pt>
              </c:numCache>
            </c:numRef>
          </c:val>
          <c:smooth val="0"/>
        </c:ser>
        <c:dLbls>
          <c:showLegendKey val="0"/>
          <c:showVal val="0"/>
          <c:showCatName val="0"/>
          <c:showSerName val="0"/>
          <c:showPercent val="0"/>
          <c:showBubbleSize val="0"/>
        </c:dLbls>
        <c:smooth val="0"/>
        <c:axId val="435621520"/>
        <c:axId val="435619952"/>
      </c:lineChart>
      <c:catAx>
        <c:axId val="435621520"/>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35619952"/>
        <c:crosses val="autoZero"/>
        <c:auto val="1"/>
        <c:lblAlgn val="ctr"/>
        <c:lblOffset val="100"/>
        <c:noMultiLvlLbl val="0"/>
      </c:catAx>
      <c:valAx>
        <c:axId val="435619952"/>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35621520"/>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Asset Turnover Ratio</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lineChart>
        <c:grouping val="stacked"/>
        <c:varyColors val="0"/>
        <c:ser>
          <c:idx val="0"/>
          <c:order val="0"/>
          <c:tx>
            <c:strRef>
              <c:f>Sheet1!$B$1</c:f>
              <c:strCache>
                <c:ptCount val="1"/>
                <c:pt idx="0">
                  <c:v>Series 1</c:v>
                </c:pt>
              </c:strCache>
            </c:strRef>
          </c:tx>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Sheet1!$A$2:$A$6</c:f>
              <c:numCache>
                <c:formatCode>General</c:formatCode>
                <c:ptCount val="5"/>
                <c:pt idx="0">
                  <c:v>2024</c:v>
                </c:pt>
                <c:pt idx="1">
                  <c:v>2023</c:v>
                </c:pt>
                <c:pt idx="2">
                  <c:v>2022</c:v>
                </c:pt>
                <c:pt idx="3">
                  <c:v>2021</c:v>
                </c:pt>
                <c:pt idx="4">
                  <c:v>2020</c:v>
                </c:pt>
              </c:numCache>
            </c:numRef>
          </c:cat>
          <c:val>
            <c:numRef>
              <c:f>Sheet1!$B$2:$B$6</c:f>
              <c:numCache>
                <c:formatCode>General</c:formatCode>
                <c:ptCount val="5"/>
                <c:pt idx="0">
                  <c:v>1.1599999999999999</c:v>
                </c:pt>
                <c:pt idx="1">
                  <c:v>0.98</c:v>
                </c:pt>
                <c:pt idx="2">
                  <c:v>1.07</c:v>
                </c:pt>
                <c:pt idx="3">
                  <c:v>1.18</c:v>
                </c:pt>
                <c:pt idx="4">
                  <c:v>1.2</c:v>
                </c:pt>
              </c:numCache>
            </c:numRef>
          </c:val>
          <c:smooth val="0"/>
        </c:ser>
        <c:dLbls>
          <c:dLblPos val="ctr"/>
          <c:showLegendKey val="0"/>
          <c:showVal val="1"/>
          <c:showCatName val="0"/>
          <c:showSerName val="0"/>
          <c:showPercent val="0"/>
          <c:showBubbleSize val="0"/>
        </c:dLbls>
        <c:marker val="1"/>
        <c:smooth val="0"/>
        <c:axId val="435619560"/>
        <c:axId val="434752048"/>
      </c:lineChart>
      <c:catAx>
        <c:axId val="43561956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34752048"/>
        <c:crosses val="autoZero"/>
        <c:auto val="1"/>
        <c:lblAlgn val="ctr"/>
        <c:lblOffset val="100"/>
        <c:noMultiLvlLbl val="0"/>
      </c:catAx>
      <c:valAx>
        <c:axId val="43475204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35619560"/>
        <c:crosses val="autoZero"/>
        <c:crossBetween val="between"/>
      </c:valAx>
      <c:spPr>
        <a:noFill/>
        <a:ln>
          <a:noFill/>
        </a:ln>
        <a:effectLst/>
      </c:spPr>
    </c:plotArea>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GPM %</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Sheet1!$A$2:$A$6</c:f>
              <c:numCache>
                <c:formatCode>General</c:formatCode>
                <c:ptCount val="5"/>
                <c:pt idx="0">
                  <c:v>2024</c:v>
                </c:pt>
                <c:pt idx="1">
                  <c:v>2023</c:v>
                </c:pt>
                <c:pt idx="2">
                  <c:v>2022</c:v>
                </c:pt>
                <c:pt idx="3">
                  <c:v>2021</c:v>
                </c:pt>
                <c:pt idx="4">
                  <c:v>2024</c:v>
                </c:pt>
              </c:numCache>
            </c:numRef>
          </c:cat>
          <c:val>
            <c:numRef>
              <c:f>Sheet1!$B$2:$B$6</c:f>
              <c:numCache>
                <c:formatCode>General</c:formatCode>
                <c:ptCount val="5"/>
                <c:pt idx="0">
                  <c:v>28.87</c:v>
                </c:pt>
                <c:pt idx="1">
                  <c:v>23.2</c:v>
                </c:pt>
                <c:pt idx="2">
                  <c:v>28.06</c:v>
                </c:pt>
                <c:pt idx="3">
                  <c:v>28.76</c:v>
                </c:pt>
                <c:pt idx="4">
                  <c:v>28.67</c:v>
                </c:pt>
              </c:numCache>
            </c:numRef>
          </c:val>
        </c:ser>
        <c:dLbls>
          <c:dLblPos val="inEnd"/>
          <c:showLegendKey val="0"/>
          <c:showVal val="1"/>
          <c:showCatName val="0"/>
          <c:showSerName val="0"/>
          <c:showPercent val="0"/>
          <c:showBubbleSize val="0"/>
        </c:dLbls>
        <c:gapWidth val="65"/>
        <c:axId val="434751656"/>
        <c:axId val="434749304"/>
      </c:barChart>
      <c:catAx>
        <c:axId val="4347516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34749304"/>
        <c:crosses val="autoZero"/>
        <c:auto val="1"/>
        <c:lblAlgn val="ctr"/>
        <c:lblOffset val="100"/>
        <c:noMultiLvlLbl val="0"/>
      </c:catAx>
      <c:valAx>
        <c:axId val="43474930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347516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NPM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Sheet1!$A$2:$A$6</c:f>
              <c:numCache>
                <c:formatCode>General</c:formatCode>
                <c:ptCount val="5"/>
                <c:pt idx="0">
                  <c:v>2024</c:v>
                </c:pt>
                <c:pt idx="1">
                  <c:v>2023</c:v>
                </c:pt>
                <c:pt idx="2">
                  <c:v>2022</c:v>
                </c:pt>
                <c:pt idx="3">
                  <c:v>2021</c:v>
                </c:pt>
                <c:pt idx="4">
                  <c:v>2020</c:v>
                </c:pt>
              </c:numCache>
            </c:numRef>
          </c:cat>
          <c:val>
            <c:numRef>
              <c:f>Sheet1!$B$2:$B$6</c:f>
              <c:numCache>
                <c:formatCode>General</c:formatCode>
                <c:ptCount val="5"/>
                <c:pt idx="0">
                  <c:v>-6.09</c:v>
                </c:pt>
                <c:pt idx="1">
                  <c:v>-23.36</c:v>
                </c:pt>
                <c:pt idx="2">
                  <c:v>7.0000000000000007E-2</c:v>
                </c:pt>
                <c:pt idx="3">
                  <c:v>0.88</c:v>
                </c:pt>
                <c:pt idx="4">
                  <c:v>6.28</c:v>
                </c:pt>
              </c:numCache>
            </c:numRef>
          </c:val>
        </c:ser>
        <c:dLbls>
          <c:dLblPos val="inEnd"/>
          <c:showLegendKey val="0"/>
          <c:showVal val="1"/>
          <c:showCatName val="0"/>
          <c:showSerName val="0"/>
          <c:showPercent val="0"/>
          <c:showBubbleSize val="0"/>
        </c:dLbls>
        <c:gapWidth val="65"/>
        <c:axId val="434750480"/>
        <c:axId val="434751264"/>
      </c:barChart>
      <c:catAx>
        <c:axId val="43475048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34751264"/>
        <c:crosses val="autoZero"/>
        <c:auto val="1"/>
        <c:lblAlgn val="ctr"/>
        <c:lblOffset val="100"/>
        <c:noMultiLvlLbl val="0"/>
      </c:catAx>
      <c:valAx>
        <c:axId val="43475126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34750480"/>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lineChart>
        <c:grouping val="stacked"/>
        <c:varyColors val="0"/>
        <c:ser>
          <c:idx val="0"/>
          <c:order val="0"/>
          <c:tx>
            <c:strRef>
              <c:f>Sheet1!$B$1</c:f>
              <c:strCache>
                <c:ptCount val="1"/>
                <c:pt idx="0">
                  <c:v>Current Ratio (Times)</c:v>
                </c:pt>
              </c:strCache>
            </c:strRef>
          </c:tx>
          <c:spPr>
            <a:ln w="34925" cap="rnd">
              <a:solidFill>
                <a:schemeClr val="lt1"/>
              </a:solidFill>
              <a:round/>
            </a:ln>
            <a:effectLst>
              <a:outerShdw dist="25400" dir="2700000" algn="tl" rotWithShape="0">
                <a:schemeClr val="accent1"/>
              </a:outerShdw>
            </a:effectLst>
          </c:spPr>
          <c:marker>
            <c:symbol val="none"/>
          </c:marker>
          <c:cat>
            <c:numRef>
              <c:f>Sheet1!$A$2:$A$6</c:f>
              <c:numCache>
                <c:formatCode>General</c:formatCode>
                <c:ptCount val="5"/>
                <c:pt idx="0">
                  <c:v>2024</c:v>
                </c:pt>
                <c:pt idx="1">
                  <c:v>2023</c:v>
                </c:pt>
                <c:pt idx="2">
                  <c:v>2022</c:v>
                </c:pt>
                <c:pt idx="3">
                  <c:v>2021</c:v>
                </c:pt>
                <c:pt idx="4">
                  <c:v>2020</c:v>
                </c:pt>
              </c:numCache>
            </c:numRef>
          </c:cat>
          <c:val>
            <c:numRef>
              <c:f>Sheet1!$B$2:$B$6</c:f>
              <c:numCache>
                <c:formatCode>General</c:formatCode>
                <c:ptCount val="5"/>
                <c:pt idx="0">
                  <c:v>1.53</c:v>
                </c:pt>
                <c:pt idx="1">
                  <c:v>1.61</c:v>
                </c:pt>
                <c:pt idx="2">
                  <c:v>1.56</c:v>
                </c:pt>
                <c:pt idx="3">
                  <c:v>1.56</c:v>
                </c:pt>
                <c:pt idx="4">
                  <c:v>1.82</c:v>
                </c:pt>
              </c:numCache>
            </c:numRef>
          </c:val>
          <c:smooth val="0"/>
        </c:ser>
        <c:dLbls>
          <c:showLegendKey val="0"/>
          <c:showVal val="0"/>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362092760"/>
        <c:axId val="362093152"/>
      </c:lineChart>
      <c:catAx>
        <c:axId val="362092760"/>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362093152"/>
        <c:crosses val="autoZero"/>
        <c:auto val="1"/>
        <c:lblAlgn val="ctr"/>
        <c:lblOffset val="100"/>
        <c:noMultiLvlLbl val="0"/>
      </c:catAx>
      <c:valAx>
        <c:axId val="36209315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36209276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legend>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Sheet1!$B$1</c:f>
              <c:strCache>
                <c:ptCount val="1"/>
                <c:pt idx="0">
                  <c:v>NCAT</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Sheet1!$A$2:$A$6</c:f>
              <c:numCache>
                <c:formatCode>General</c:formatCode>
                <c:ptCount val="5"/>
                <c:pt idx="0">
                  <c:v>2024</c:v>
                </c:pt>
                <c:pt idx="1">
                  <c:v>2023</c:v>
                </c:pt>
                <c:pt idx="2">
                  <c:v>2022</c:v>
                </c:pt>
                <c:pt idx="3">
                  <c:v>2021</c:v>
                </c:pt>
                <c:pt idx="4">
                  <c:v>2020</c:v>
                </c:pt>
              </c:numCache>
            </c:numRef>
          </c:cat>
          <c:val>
            <c:numRef>
              <c:f>Sheet1!$B$2:$B$6</c:f>
              <c:numCache>
                <c:formatCode>General</c:formatCode>
                <c:ptCount val="5"/>
                <c:pt idx="0">
                  <c:v>4.4400000000000004</c:v>
                </c:pt>
                <c:pt idx="1">
                  <c:v>3.93</c:v>
                </c:pt>
                <c:pt idx="2">
                  <c:v>4.49</c:v>
                </c:pt>
                <c:pt idx="3">
                  <c:v>4.6399999999999997</c:v>
                </c:pt>
                <c:pt idx="4">
                  <c:v>4.5599999999999996</c:v>
                </c:pt>
              </c:numCache>
            </c:numRef>
          </c:val>
        </c:ser>
        <c:ser>
          <c:idx val="1"/>
          <c:order val="1"/>
          <c:tx>
            <c:strRef>
              <c:f>Sheet1!$C$1</c:f>
              <c:strCache>
                <c:ptCount val="1"/>
                <c:pt idx="0">
                  <c:v>Inventory Days</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Sheet1!$A$2:$A$6</c:f>
              <c:numCache>
                <c:formatCode>General</c:formatCode>
                <c:ptCount val="5"/>
                <c:pt idx="0">
                  <c:v>2024</c:v>
                </c:pt>
                <c:pt idx="1">
                  <c:v>2023</c:v>
                </c:pt>
                <c:pt idx="2">
                  <c:v>2022</c:v>
                </c:pt>
                <c:pt idx="3">
                  <c:v>2021</c:v>
                </c:pt>
                <c:pt idx="4">
                  <c:v>2020</c:v>
                </c:pt>
              </c:numCache>
            </c:numRef>
          </c:cat>
          <c:val>
            <c:numRef>
              <c:f>Sheet1!$C$2:$C$6</c:f>
              <c:numCache>
                <c:formatCode>General</c:formatCode>
                <c:ptCount val="5"/>
                <c:pt idx="0">
                  <c:v>108.9</c:v>
                </c:pt>
                <c:pt idx="1">
                  <c:v>129.1</c:v>
                </c:pt>
                <c:pt idx="2">
                  <c:v>128.4</c:v>
                </c:pt>
                <c:pt idx="3">
                  <c:v>108.5</c:v>
                </c:pt>
                <c:pt idx="4">
                  <c:v>100.3</c:v>
                </c:pt>
              </c:numCache>
            </c:numRef>
          </c:val>
        </c:ser>
        <c:dLbls>
          <c:dLblPos val="ctr"/>
          <c:showLegendKey val="0"/>
          <c:showVal val="1"/>
          <c:showCatName val="0"/>
          <c:showSerName val="0"/>
          <c:showPercent val="0"/>
          <c:showBubbleSize val="0"/>
        </c:dLbls>
        <c:gapWidth val="150"/>
        <c:overlap val="100"/>
        <c:axId val="362091584"/>
        <c:axId val="355171544"/>
      </c:barChart>
      <c:catAx>
        <c:axId val="36209158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55171544"/>
        <c:crosses val="autoZero"/>
        <c:auto val="1"/>
        <c:lblAlgn val="ctr"/>
        <c:lblOffset val="100"/>
        <c:noMultiLvlLbl val="0"/>
      </c:catAx>
      <c:valAx>
        <c:axId val="3551715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6209158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Debt to Equity</c:v>
                </c:pt>
              </c:strCache>
            </c:strRef>
          </c:tx>
          <c:spPr>
            <a:solidFill>
              <a:schemeClr val="accent1"/>
            </a:solidFill>
            <a:ln>
              <a:noFill/>
            </a:ln>
            <a:effectLst/>
          </c:spPr>
          <c:invertIfNegative val="0"/>
          <c:cat>
            <c:numRef>
              <c:f>Sheet1!$A$2:$A$6</c:f>
              <c:numCache>
                <c:formatCode>General</c:formatCode>
                <c:ptCount val="5"/>
                <c:pt idx="0">
                  <c:v>2024</c:v>
                </c:pt>
                <c:pt idx="1">
                  <c:v>2023</c:v>
                </c:pt>
                <c:pt idx="2">
                  <c:v>2022</c:v>
                </c:pt>
                <c:pt idx="3">
                  <c:v>2021</c:v>
                </c:pt>
                <c:pt idx="4">
                  <c:v>2020</c:v>
                </c:pt>
              </c:numCache>
            </c:numRef>
          </c:cat>
          <c:val>
            <c:numRef>
              <c:f>Sheet1!$B$2:$B$6</c:f>
              <c:numCache>
                <c:formatCode>General</c:formatCode>
                <c:ptCount val="5"/>
                <c:pt idx="0">
                  <c:v>1.1100000000000001</c:v>
                </c:pt>
                <c:pt idx="1">
                  <c:v>0.99</c:v>
                </c:pt>
                <c:pt idx="2">
                  <c:v>0.88</c:v>
                </c:pt>
                <c:pt idx="3">
                  <c:v>0.85</c:v>
                </c:pt>
                <c:pt idx="4">
                  <c:v>0.63</c:v>
                </c:pt>
              </c:numCache>
            </c:numRef>
          </c:val>
        </c:ser>
        <c:ser>
          <c:idx val="1"/>
          <c:order val="1"/>
          <c:tx>
            <c:strRef>
              <c:f>Sheet1!$C$1</c:f>
              <c:strCache>
                <c:ptCount val="1"/>
                <c:pt idx="0">
                  <c:v>Debt to Capital</c:v>
                </c:pt>
              </c:strCache>
            </c:strRef>
          </c:tx>
          <c:spPr>
            <a:solidFill>
              <a:schemeClr val="accent2"/>
            </a:solidFill>
            <a:ln>
              <a:noFill/>
            </a:ln>
            <a:effectLst/>
          </c:spPr>
          <c:invertIfNegative val="0"/>
          <c:cat>
            <c:numRef>
              <c:f>Sheet1!$A$2:$A$6</c:f>
              <c:numCache>
                <c:formatCode>General</c:formatCode>
                <c:ptCount val="5"/>
                <c:pt idx="0">
                  <c:v>2024</c:v>
                </c:pt>
                <c:pt idx="1">
                  <c:v>2023</c:v>
                </c:pt>
                <c:pt idx="2">
                  <c:v>2022</c:v>
                </c:pt>
                <c:pt idx="3">
                  <c:v>2021</c:v>
                </c:pt>
                <c:pt idx="4">
                  <c:v>2020</c:v>
                </c:pt>
              </c:numCache>
            </c:numRef>
          </c:cat>
          <c:val>
            <c:numRef>
              <c:f>Sheet1!$C$2:$C$6</c:f>
              <c:numCache>
                <c:formatCode>General</c:formatCode>
                <c:ptCount val="5"/>
                <c:pt idx="0">
                  <c:v>52.65</c:v>
                </c:pt>
                <c:pt idx="1">
                  <c:v>49.72</c:v>
                </c:pt>
                <c:pt idx="2">
                  <c:v>46.76</c:v>
                </c:pt>
                <c:pt idx="3">
                  <c:v>45.93</c:v>
                </c:pt>
                <c:pt idx="4">
                  <c:v>38.6</c:v>
                </c:pt>
              </c:numCache>
            </c:numRef>
          </c:val>
        </c:ser>
        <c:dLbls>
          <c:showLegendKey val="0"/>
          <c:showVal val="0"/>
          <c:showCatName val="0"/>
          <c:showSerName val="0"/>
          <c:showPercent val="0"/>
          <c:showBubbleSize val="0"/>
        </c:dLbls>
        <c:gapWidth val="182"/>
        <c:axId val="355169192"/>
        <c:axId val="355169976"/>
      </c:barChart>
      <c:catAx>
        <c:axId val="3551691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5169976"/>
        <c:crosses val="autoZero"/>
        <c:auto val="1"/>
        <c:lblAlgn val="ctr"/>
        <c:lblOffset val="100"/>
        <c:noMultiLvlLbl val="0"/>
      </c:catAx>
      <c:valAx>
        <c:axId val="3551699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5169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n-US"/>
              <a:t>ROe &amp; EPS</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ROE</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rgbClr val="5B9BD5">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Sheet1!$A$2:$A$6</c:f>
              <c:numCache>
                <c:formatCode>General</c:formatCode>
                <c:ptCount val="5"/>
                <c:pt idx="0">
                  <c:v>2024</c:v>
                </c:pt>
                <c:pt idx="1">
                  <c:v>2023</c:v>
                </c:pt>
                <c:pt idx="2">
                  <c:v>2022</c:v>
                </c:pt>
                <c:pt idx="3">
                  <c:v>2021</c:v>
                </c:pt>
                <c:pt idx="4">
                  <c:v>2020</c:v>
                </c:pt>
              </c:numCache>
            </c:numRef>
          </c:cat>
          <c:val>
            <c:numRef>
              <c:f>Sheet1!$B$2:$B$6</c:f>
              <c:numCache>
                <c:formatCode>General</c:formatCode>
                <c:ptCount val="5"/>
                <c:pt idx="0">
                  <c:v>-14.47</c:v>
                </c:pt>
                <c:pt idx="1">
                  <c:v>-43.92</c:v>
                </c:pt>
                <c:pt idx="2">
                  <c:v>0.15</c:v>
                </c:pt>
                <c:pt idx="3">
                  <c:v>1.8</c:v>
                </c:pt>
                <c:pt idx="4">
                  <c:v>12.31</c:v>
                </c:pt>
              </c:numCache>
            </c:numRef>
          </c:val>
        </c:ser>
        <c:ser>
          <c:idx val="1"/>
          <c:order val="1"/>
          <c:tx>
            <c:strRef>
              <c:f>Sheet1!$C$1</c:f>
              <c:strCache>
                <c:ptCount val="1"/>
                <c:pt idx="0">
                  <c:v>EPS</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rgbClr val="ED7D31">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Sheet1!$A$2:$A$6</c:f>
              <c:numCache>
                <c:formatCode>General</c:formatCode>
                <c:ptCount val="5"/>
                <c:pt idx="0">
                  <c:v>2024</c:v>
                </c:pt>
                <c:pt idx="1">
                  <c:v>2023</c:v>
                </c:pt>
                <c:pt idx="2">
                  <c:v>2022</c:v>
                </c:pt>
                <c:pt idx="3">
                  <c:v>2021</c:v>
                </c:pt>
                <c:pt idx="4">
                  <c:v>2020</c:v>
                </c:pt>
              </c:numCache>
            </c:numRef>
          </c:cat>
          <c:val>
            <c:numRef>
              <c:f>Sheet1!$C$2:$C$6</c:f>
              <c:numCache>
                <c:formatCode>General</c:formatCode>
                <c:ptCount val="5"/>
                <c:pt idx="0">
                  <c:v>-1.85</c:v>
                </c:pt>
                <c:pt idx="1">
                  <c:v>-7.64</c:v>
                </c:pt>
                <c:pt idx="2">
                  <c:v>0.03</c:v>
                </c:pt>
                <c:pt idx="3">
                  <c:v>0.39</c:v>
                </c:pt>
                <c:pt idx="4">
                  <c:v>2.72</c:v>
                </c:pt>
              </c:numCache>
            </c:numRef>
          </c:val>
        </c:ser>
        <c:dLbls>
          <c:showLegendKey val="0"/>
          <c:showVal val="1"/>
          <c:showCatName val="0"/>
          <c:showSerName val="0"/>
          <c:showPercent val="0"/>
          <c:showBubbleSize val="0"/>
        </c:dLbls>
        <c:gapWidth val="84"/>
        <c:gapDepth val="53"/>
        <c:shape val="box"/>
        <c:axId val="362191080"/>
        <c:axId val="360320456"/>
        <c:axId val="0"/>
      </c:bar3DChart>
      <c:catAx>
        <c:axId val="3621910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60320456"/>
        <c:crosses val="autoZero"/>
        <c:auto val="1"/>
        <c:lblAlgn val="ctr"/>
        <c:lblOffset val="100"/>
        <c:noMultiLvlLbl val="0"/>
      </c:catAx>
      <c:valAx>
        <c:axId val="360320456"/>
        <c:scaling>
          <c:orientation val="minMax"/>
        </c:scaling>
        <c:delete val="1"/>
        <c:axPos val="l"/>
        <c:numFmt formatCode="General" sourceLinked="1"/>
        <c:majorTickMark val="out"/>
        <c:minorTickMark val="none"/>
        <c:tickLblPos val="nextTo"/>
        <c:crossAx val="36219108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Cash Flow</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areaChart>
        <c:grouping val="stacked"/>
        <c:varyColors val="0"/>
        <c:ser>
          <c:idx val="0"/>
          <c:order val="0"/>
          <c:tx>
            <c:strRef>
              <c:f>'Rony Task'!$I$65</c:f>
              <c:strCache>
                <c:ptCount val="1"/>
                <c:pt idx="0">
                  <c:v>Operating Cash Flow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'Rony Task'!$J$64:$N$64</c:f>
              <c:numCache>
                <c:formatCode>General</c:formatCode>
                <c:ptCount val="5"/>
                <c:pt idx="0">
                  <c:v>2024</c:v>
                </c:pt>
                <c:pt idx="1">
                  <c:v>2023</c:v>
                </c:pt>
                <c:pt idx="2">
                  <c:v>2022</c:v>
                </c:pt>
                <c:pt idx="3">
                  <c:v>2021</c:v>
                </c:pt>
                <c:pt idx="4">
                  <c:v>2020</c:v>
                </c:pt>
              </c:numCache>
            </c:numRef>
          </c:cat>
          <c:val>
            <c:numRef>
              <c:f>'Rony Task'!$J$65:$N$65</c:f>
              <c:numCache>
                <c:formatCode>0.00</c:formatCode>
                <c:ptCount val="5"/>
                <c:pt idx="0">
                  <c:v>9.3637667334213567E-2</c:v>
                </c:pt>
                <c:pt idx="1">
                  <c:v>0.15631593317943754</c:v>
                </c:pt>
                <c:pt idx="2">
                  <c:v>5.0472807232310728E-2</c:v>
                </c:pt>
                <c:pt idx="3">
                  <c:v>0.18581833781545942</c:v>
                </c:pt>
                <c:pt idx="4">
                  <c:v>0.40884630382708487</c:v>
                </c:pt>
              </c:numCache>
            </c:numRef>
          </c:val>
          <c:extLst xmlns:c16r2="http://schemas.microsoft.com/office/drawing/2015/06/chart">
            <c:ext xmlns:c16="http://schemas.microsoft.com/office/drawing/2014/chart" uri="{C3380CC4-5D6E-409C-BE32-E72D297353CC}">
              <c16:uniqueId val="{00000000-473C-47C5-8937-1128F41AD420}"/>
            </c:ext>
          </c:extLst>
        </c:ser>
        <c:dLbls>
          <c:showLegendKey val="0"/>
          <c:showVal val="0"/>
          <c:showCatName val="0"/>
          <c:showSerName val="0"/>
          <c:showPercent val="0"/>
          <c:showBubbleSize val="0"/>
        </c:dLbls>
        <c:axId val="445444072"/>
        <c:axId val="445441328"/>
      </c:areaChart>
      <c:barChart>
        <c:barDir val="col"/>
        <c:grouping val="clustered"/>
        <c:varyColors val="0"/>
        <c:ser>
          <c:idx val="1"/>
          <c:order val="1"/>
          <c:tx>
            <c:strRef>
              <c:f>'Rony Task'!$I$66</c:f>
              <c:strCache>
                <c:ptCount val="1"/>
                <c:pt idx="0">
                  <c:v>Cash Flow to Debt Ratio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'Rony Task'!$J$64:$N$64</c:f>
              <c:numCache>
                <c:formatCode>General</c:formatCode>
                <c:ptCount val="5"/>
                <c:pt idx="0">
                  <c:v>2024</c:v>
                </c:pt>
                <c:pt idx="1">
                  <c:v>2023</c:v>
                </c:pt>
                <c:pt idx="2">
                  <c:v>2022</c:v>
                </c:pt>
                <c:pt idx="3">
                  <c:v>2021</c:v>
                </c:pt>
                <c:pt idx="4">
                  <c:v>2020</c:v>
                </c:pt>
              </c:numCache>
            </c:numRef>
          </c:cat>
          <c:val>
            <c:numRef>
              <c:f>'Rony Task'!$J$66:$N$66</c:f>
              <c:numCache>
                <c:formatCode>0.00</c:formatCode>
                <c:ptCount val="5"/>
                <c:pt idx="0">
                  <c:v>8.7060716949879297E-2</c:v>
                </c:pt>
                <c:pt idx="1">
                  <c:v>0.14235498892354989</c:v>
                </c:pt>
                <c:pt idx="2">
                  <c:v>4.6344329118541548E-2</c:v>
                </c:pt>
                <c:pt idx="3">
                  <c:v>0.17185653522412639</c:v>
                </c:pt>
                <c:pt idx="4">
                  <c:v>0.37256902669692216</c:v>
                </c:pt>
              </c:numCache>
            </c:numRef>
          </c:val>
          <c:extLst xmlns:c16r2="http://schemas.microsoft.com/office/drawing/2015/06/chart">
            <c:ext xmlns:c16="http://schemas.microsoft.com/office/drawing/2014/chart" uri="{C3380CC4-5D6E-409C-BE32-E72D297353CC}">
              <c16:uniqueId val="{00000001-473C-47C5-8937-1128F41AD420}"/>
            </c:ext>
          </c:extLst>
        </c:ser>
        <c:dLbls>
          <c:showLegendKey val="0"/>
          <c:showVal val="1"/>
          <c:showCatName val="0"/>
          <c:showSerName val="0"/>
          <c:showPercent val="0"/>
          <c:showBubbleSize val="0"/>
        </c:dLbls>
        <c:gapWidth val="219"/>
        <c:axId val="445444072"/>
        <c:axId val="445441328"/>
      </c:barChart>
      <c:catAx>
        <c:axId val="44544407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45441328"/>
        <c:crosses val="autoZero"/>
        <c:auto val="1"/>
        <c:lblAlgn val="ctr"/>
        <c:lblOffset val="100"/>
        <c:noMultiLvlLbl val="0"/>
      </c:catAx>
      <c:valAx>
        <c:axId val="445441328"/>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45444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COC</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cat>
            <c:numRef>
              <c:f>Sheet1!$A$2:$A$6</c:f>
              <c:numCache>
                <c:formatCode>General</c:formatCode>
                <c:ptCount val="5"/>
                <c:pt idx="0">
                  <c:v>2024</c:v>
                </c:pt>
                <c:pt idx="1">
                  <c:v>2023</c:v>
                </c:pt>
                <c:pt idx="2">
                  <c:v>2022</c:v>
                </c:pt>
                <c:pt idx="3">
                  <c:v>2021</c:v>
                </c:pt>
                <c:pt idx="4">
                  <c:v>2020</c:v>
                </c:pt>
              </c:numCache>
            </c:numRef>
          </c:cat>
          <c:val>
            <c:numRef>
              <c:f>Sheet1!$B$2:$B$6</c:f>
              <c:numCache>
                <c:formatCode>General</c:formatCode>
                <c:ptCount val="5"/>
                <c:pt idx="0">
                  <c:v>69</c:v>
                </c:pt>
                <c:pt idx="1">
                  <c:v>91.5</c:v>
                </c:pt>
                <c:pt idx="2">
                  <c:v>82.5</c:v>
                </c:pt>
                <c:pt idx="3">
                  <c:v>77.599999999999994</c:v>
                </c:pt>
                <c:pt idx="4">
                  <c:v>81.7</c:v>
                </c:pt>
              </c:numCache>
            </c:numRef>
          </c:val>
        </c:ser>
        <c:dLbls>
          <c:showLegendKey val="0"/>
          <c:showVal val="0"/>
          <c:showCatName val="0"/>
          <c:showSerName val="0"/>
          <c:showPercent val="0"/>
          <c:showBubbleSize val="0"/>
        </c:dLbls>
        <c:gapWidth val="326"/>
        <c:overlap val="-58"/>
        <c:axId val="445442504"/>
        <c:axId val="445441720"/>
      </c:barChart>
      <c:catAx>
        <c:axId val="445442504"/>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441720"/>
        <c:crosses val="autoZero"/>
        <c:auto val="1"/>
        <c:lblAlgn val="ctr"/>
        <c:lblOffset val="100"/>
        <c:noMultiLvlLbl val="0"/>
      </c:catAx>
      <c:valAx>
        <c:axId val="445441720"/>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442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9.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36012-BEC3-4046-BCE4-FD45A9BC3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7626</Words>
  <Characters>42634</Characters>
  <Application>Microsoft Office Word</Application>
  <DocSecurity>0</DocSecurity>
  <Lines>1853</Lines>
  <Paragraphs>1168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3</cp:revision>
  <dcterms:created xsi:type="dcterms:W3CDTF">2025-11-22T23:30:00Z</dcterms:created>
  <dcterms:modified xsi:type="dcterms:W3CDTF">2025-11-22T23:42:00Z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3e4bbfdd-efee-4c99-b77e-4b1d1aa0de4a</vt:lpwstr>
  </property>
</Properties>
</file>