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97E37FE" w:rsidP="606DDB8C" w:rsidRDefault="397E37FE" w14:paraId="6D06B05D" w14:textId="1EB8FCFF">
      <w:pPr>
        <w:spacing w:before="240" w:beforeAutospacing="off" w:after="24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BSc Health and Social Care</w:t>
      </w:r>
    </w:p>
    <w:p w:rsidR="397E37FE" w:rsidP="606DDB8C" w:rsidRDefault="397E37FE" w14:paraId="03A369B0" w14:textId="212059D7">
      <w:pPr>
        <w:spacing w:before="240" w:beforeAutospacing="off" w:after="24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Principles of Health and Social Care Practice</w:t>
      </w:r>
    </w:p>
    <w:p w:rsidR="397E37FE" w:rsidP="606DDB8C" w:rsidRDefault="397E37FE" w14:paraId="3D870D39" w14:textId="49D91EA5">
      <w:pPr>
        <w:spacing w:before="240" w:beforeAutospacing="off" w:after="24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Module code: BMHP5016</w:t>
      </w:r>
    </w:p>
    <w:p w:rsidR="606DDB8C" w:rsidP="606DDB8C" w:rsidRDefault="606DDB8C" w14:paraId="5FB5D8B1" w14:textId="174ABC0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06DDB8C" w:rsidP="606DDB8C" w:rsidRDefault="606DDB8C" w14:paraId="254E3045" w14:textId="5DF2A575">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06DDB8C" w:rsidP="606DDB8C" w:rsidRDefault="606DDB8C" w14:paraId="5FE785A2" w14:textId="2F57E66A">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97E37FE" w:rsidP="606DDB8C" w:rsidRDefault="397E37FE" w14:paraId="6E37E686" w14:textId="3E01F49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Student Number: 2</w:t>
      </w:r>
      <w:r w:rsidRPr="606DDB8C" w:rsidR="10A459E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333305</w:t>
      </w:r>
    </w:p>
    <w:p w:rsidR="397E37FE" w:rsidP="606DDB8C" w:rsidRDefault="397E37FE" w14:paraId="6676CFB9" w14:textId="4E5625AF">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Student Name: </w:t>
      </w:r>
      <w:r w:rsidRPr="606DDB8C" w:rsidR="2D252C9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Nazema Bibi</w:t>
      </w:r>
    </w:p>
    <w:p w:rsidR="397E37FE" w:rsidP="606DDB8C" w:rsidRDefault="397E37FE" w14:paraId="3CA34C0A" w14:textId="4AF69C53">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Tutors Details: Helen Parsons</w:t>
      </w:r>
    </w:p>
    <w:p w:rsidR="397E37FE" w:rsidP="606DDB8C" w:rsidRDefault="397E37FE" w14:paraId="3FE6AEB0" w14:textId="769E39D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Portfolio: Component 2: Written Assignment (Report)</w:t>
      </w:r>
    </w:p>
    <w:p w:rsidR="397E37FE" w:rsidP="606DDB8C" w:rsidRDefault="397E37FE" w14:paraId="0906893B" w14:textId="061C84AD">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97E37F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Submission date: 17th November 2025</w:t>
      </w:r>
    </w:p>
    <w:p w:rsidR="606DDB8C" w:rsidP="606DDB8C" w:rsidRDefault="606DDB8C" w14:paraId="1B2015B7" w14:textId="70D240F9">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606DDB8C" w:rsidP="606DDB8C" w:rsidRDefault="606DDB8C" w14:paraId="54B0B2FB" w14:textId="3C9FF34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606DDB8C" w:rsidP="606DDB8C" w:rsidRDefault="606DDB8C" w14:paraId="7306CF28" w14:textId="1C599DA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606DDB8C" w:rsidP="606DDB8C" w:rsidRDefault="606DDB8C" w14:paraId="48D97AC3" w14:textId="088963F6">
      <w:pPr>
        <w:pStyle w:val="Normal"/>
        <w:spacing w:before="240" w:beforeAutospacing="off" w:after="240" w:afterAutospacing="off"/>
        <w:rPr>
          <w:rFonts w:ascii="Aptos" w:hAnsi="Aptos" w:eastAsia="Aptos" w:cs="Aptos"/>
          <w:b w:val="1"/>
          <w:bCs w:val="1"/>
          <w:noProof w:val="0"/>
          <w:sz w:val="24"/>
          <w:szCs w:val="24"/>
          <w:lang w:val="en-US"/>
        </w:rPr>
      </w:pPr>
    </w:p>
    <w:p w:rsidR="3739DEB4" w:rsidP="606DDB8C" w:rsidRDefault="3739DEB4" w14:paraId="27845DCE" w14:textId="12672EF0">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739DEB4">
        <w:rPr>
          <w:rFonts w:ascii="Aptos" w:hAnsi="Aptos" w:eastAsia="Aptos" w:cs="Aptos"/>
          <w:b w:val="1"/>
          <w:bCs w:val="1"/>
          <w:noProof w:val="0"/>
          <w:sz w:val="24"/>
          <w:szCs w:val="24"/>
          <w:lang w:val="en-US"/>
        </w:rPr>
        <w:t>Abstract</w:t>
      </w:r>
    </w:p>
    <w:p w:rsidR="3739DEB4" w:rsidP="606DDB8C" w:rsidRDefault="3739DEB4" w14:paraId="63474851" w14:textId="423B5866">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606DDB8C" w:rsidR="3739DEB4">
        <w:rPr>
          <w:rFonts w:ascii="Aptos" w:hAnsi="Aptos" w:eastAsia="Aptos" w:cs="Aptos"/>
          <w:noProof w:val="0"/>
          <w:sz w:val="24"/>
          <w:szCs w:val="24"/>
          <w:lang w:val="en-US"/>
        </w:rPr>
        <w:t>This report critically examines Person Centered Care (PCC) and Partnership Working (PW) within UK health and social care, focusing on hospitals. PCC is defined as an approach that puts the patient’s individual needs, preferences, and values at the forefront of care. The report discusses the benefits and limitations of PCC, analyzes underpinning theories such as Humanistic Theory and the Biopsychosocial Model, and explores key ethical principles. Partnership working is evaluated for its role in improving integrated care, with attention to benefits and challenges in real-world hospital settings. The report considers the impact of policies and legislation, including the Health and Care Act 2022, on PCC and PW, and concludes with evidence-based recommendations for future improvement. Findings highlight the importance of ongoing training, technological innovation, and robust policy to ensure high-quality, person-centered, and collaborative care in the UK.</w:t>
      </w:r>
    </w:p>
    <w:p w:rsidR="606DDB8C" w:rsidRDefault="606DDB8C" w14:paraId="43384635" w14:textId="59F44559"/>
    <w:p w:rsidR="606DDB8C" w:rsidP="606DDB8C" w:rsidRDefault="606DDB8C" w14:paraId="07AED0CF" w14:textId="3448300B">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606DDB8C" w:rsidP="606DDB8C" w:rsidRDefault="606DDB8C" w14:paraId="0D180E42" w14:textId="4219AE3E">
      <w:pPr>
        <w:pStyle w:val="Normal"/>
      </w:pPr>
    </w:p>
    <w:p w:rsidR="606DDB8C" w:rsidP="606DDB8C" w:rsidRDefault="606DDB8C" w14:paraId="4B4F1E41" w14:textId="1F391011">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60B8A0A7" w14:textId="768C4712">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799ACB84" w14:textId="74DACCD1">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5D2961CB" w14:textId="0D8567C4">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6131B9B9" w14:textId="3518D304">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3437D437" w14:textId="66C94B63">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22DA21E0" w14:textId="68022396">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6100C335" w14:textId="046B0749">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76048B76" w14:textId="194DC740">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3ED155C2" w14:textId="3F3A87DC">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453A70E4" w14:textId="0AA2938A">
      <w:pPr>
        <w:pStyle w:val="Normal"/>
        <w:rPr>
          <w:rFonts w:ascii="Segoe UI" w:hAnsi="Segoe UI" w:eastAsia="Segoe UI" w:cs="Segoe UI"/>
          <w:b w:val="1"/>
          <w:bCs w:val="1"/>
          <w:i w:val="0"/>
          <w:iCs w:val="0"/>
          <w:caps w:val="0"/>
          <w:smallCaps w:val="0"/>
          <w:noProof w:val="0"/>
          <w:color w:val="1C1C1C"/>
          <w:sz w:val="24"/>
          <w:szCs w:val="24"/>
          <w:lang w:val="en-US"/>
        </w:rPr>
      </w:pPr>
    </w:p>
    <w:p w:rsidR="606DDB8C" w:rsidP="606DDB8C" w:rsidRDefault="606DDB8C" w14:paraId="57AB383B" w14:textId="3F3D2661">
      <w:pPr>
        <w:pStyle w:val="Normal"/>
        <w:rPr>
          <w:rFonts w:ascii="Segoe UI" w:hAnsi="Segoe UI" w:eastAsia="Segoe UI" w:cs="Segoe UI"/>
          <w:b w:val="1"/>
          <w:bCs w:val="1"/>
          <w:i w:val="0"/>
          <w:iCs w:val="0"/>
          <w:caps w:val="0"/>
          <w:smallCaps w:val="0"/>
          <w:noProof w:val="0"/>
          <w:color w:val="1C1C1C"/>
          <w:sz w:val="24"/>
          <w:szCs w:val="24"/>
          <w:lang w:val="en-US"/>
        </w:rPr>
      </w:pPr>
    </w:p>
    <w:p w:rsidR="0210DCE2" w:rsidP="606DDB8C" w:rsidRDefault="0210DCE2" w14:paraId="4C183EFE" w14:textId="0908E611">
      <w:pPr>
        <w:pStyle w:val="Normal"/>
        <w:spacing w:before="322" w:beforeAutospacing="off" w:after="322" w:afterAutospacing="off"/>
        <w:rPr>
          <w:rFonts w:ascii="system-ui" w:hAnsi="system-ui" w:eastAsia="system-ui" w:cs="system-ui"/>
          <w:b w:val="0"/>
          <w:bCs w:val="0"/>
          <w:i w:val="0"/>
          <w:iCs w:val="0"/>
          <w:caps w:val="0"/>
          <w:smallCaps w:val="0"/>
          <w:noProof w:val="0"/>
          <w:color w:val="1C1C1C"/>
          <w:sz w:val="24"/>
          <w:szCs w:val="24"/>
          <w:lang w:val="en-US"/>
        </w:rPr>
      </w:pPr>
      <w:r w:rsidRPr="606DDB8C" w:rsidR="0210DCE2">
        <w:rPr>
          <w:rFonts w:ascii="system-ui" w:hAnsi="system-ui" w:eastAsia="system-ui" w:cs="system-ui"/>
          <w:b w:val="0"/>
          <w:bCs w:val="0"/>
          <w:i w:val="0"/>
          <w:iCs w:val="0"/>
          <w:caps w:val="0"/>
          <w:smallCaps w:val="0"/>
          <w:noProof w:val="0"/>
          <w:color w:val="1C1C1C"/>
          <w:sz w:val="24"/>
          <w:szCs w:val="24"/>
          <w:lang w:val="en-US"/>
        </w:rPr>
        <w:t xml:space="preserve"> </w:t>
      </w:r>
      <w:r w:rsidRPr="606DDB8C" w:rsidR="5F07F3F9">
        <w:rPr>
          <w:rFonts w:ascii="system-ui" w:hAnsi="system-ui" w:eastAsia="system-ui" w:cs="system-ui"/>
          <w:b w:val="1"/>
          <w:bCs w:val="1"/>
          <w:noProof w:val="0"/>
          <w:sz w:val="48"/>
          <w:szCs w:val="48"/>
          <w:lang w:val="en-US"/>
        </w:rPr>
        <w:t>Table of Contents</w:t>
      </w:r>
    </w:p>
    <w:p w:rsidR="5F07F3F9" w:rsidP="606DDB8C" w:rsidRDefault="5F07F3F9" w14:paraId="094CBC15" w14:textId="3D506500">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Introduction</w:t>
      </w:r>
      <w:r w:rsidRPr="606DDB8C" w:rsidR="5F07F3F9">
        <w:rPr>
          <w:rFonts w:ascii="system-ui" w:hAnsi="system-ui" w:eastAsia="system-ui" w:cs="system-ui"/>
          <w:noProof w:val="0"/>
          <w:sz w:val="24"/>
          <w:szCs w:val="24"/>
          <w:lang w:val="en-US"/>
        </w:rPr>
        <w:t xml:space="preserve"> .............................................................................................................. 3</w:t>
      </w:r>
    </w:p>
    <w:p w:rsidR="5F07F3F9" w:rsidP="606DDB8C" w:rsidRDefault="5F07F3F9" w14:paraId="268FCB15" w14:textId="74D179AC">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Definition of Person-</w:t>
      </w:r>
      <w:r w:rsidRPr="606DDB8C" w:rsidR="5F07F3F9">
        <w:rPr>
          <w:rFonts w:ascii="system-ui" w:hAnsi="system-ui" w:eastAsia="system-ui" w:cs="system-ui"/>
          <w:b w:val="1"/>
          <w:bCs w:val="1"/>
          <w:noProof w:val="0"/>
          <w:sz w:val="24"/>
          <w:szCs w:val="24"/>
          <w:lang w:val="en-US"/>
        </w:rPr>
        <w:t>Centred</w:t>
      </w:r>
      <w:r w:rsidRPr="606DDB8C" w:rsidR="5F07F3F9">
        <w:rPr>
          <w:rFonts w:ascii="system-ui" w:hAnsi="system-ui" w:eastAsia="system-ui" w:cs="system-ui"/>
          <w:b w:val="1"/>
          <w:bCs w:val="1"/>
          <w:noProof w:val="0"/>
          <w:sz w:val="24"/>
          <w:szCs w:val="24"/>
          <w:lang w:val="en-US"/>
        </w:rPr>
        <w:t xml:space="preserve"> Care (PCC)</w:t>
      </w:r>
      <w:r w:rsidRPr="606DDB8C" w:rsidR="5F07F3F9">
        <w:rPr>
          <w:rFonts w:ascii="system-ui" w:hAnsi="system-ui" w:eastAsia="system-ui" w:cs="system-ui"/>
          <w:noProof w:val="0"/>
          <w:sz w:val="24"/>
          <w:szCs w:val="24"/>
          <w:lang w:val="en-US"/>
        </w:rPr>
        <w:t xml:space="preserve"> ............................................................ 3</w:t>
      </w:r>
    </w:p>
    <w:p w:rsidR="5F07F3F9" w:rsidP="606DDB8C" w:rsidRDefault="5F07F3F9" w14:paraId="27FD5581" w14:textId="69D797D1">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Theoretical Models Underpinning PCC</w:t>
      </w:r>
      <w:r w:rsidRPr="606DDB8C" w:rsidR="5F07F3F9">
        <w:rPr>
          <w:rFonts w:ascii="system-ui" w:hAnsi="system-ui" w:eastAsia="system-ui" w:cs="system-ui"/>
          <w:noProof w:val="0"/>
          <w:sz w:val="24"/>
          <w:szCs w:val="24"/>
          <w:lang w:val="en-US"/>
        </w:rPr>
        <w:t xml:space="preserve"> ................................................................. </w:t>
      </w:r>
      <w:r w:rsidRPr="606DDB8C" w:rsidR="5F07F3F9">
        <w:rPr>
          <w:rFonts w:ascii="system-ui" w:hAnsi="system-ui" w:eastAsia="system-ui" w:cs="system-ui"/>
          <w:i w:val="1"/>
          <w:iCs w:val="1"/>
          <w:noProof w:val="0"/>
          <w:sz w:val="24"/>
          <w:szCs w:val="24"/>
          <w:lang w:val="en-US"/>
        </w:rPr>
        <w:t>5</w:t>
      </w:r>
    </w:p>
    <w:p w:rsidR="5F07F3F9" w:rsidP="606DDB8C" w:rsidRDefault="5F07F3F9" w14:paraId="13620253" w14:textId="4CD6049F">
      <w:pPr>
        <w:pStyle w:val="ListParagraph"/>
        <w:numPr>
          <w:ilvl w:val="0"/>
          <w:numId w:val="16"/>
        </w:numPr>
        <w:spacing w:before="240" w:beforeAutospacing="off" w:after="240" w:afterAutospacing="off"/>
        <w:rPr>
          <w:rFonts w:ascii="system-ui" w:hAnsi="system-ui" w:eastAsia="system-ui" w:cs="system-ui"/>
          <w:noProof w:val="0"/>
          <w:sz w:val="24"/>
          <w:szCs w:val="24"/>
          <w:lang w:val="en-US"/>
        </w:rPr>
      </w:pPr>
      <w:r w:rsidRPr="606DDB8C" w:rsidR="5F07F3F9">
        <w:rPr>
          <w:rFonts w:ascii="system-ui" w:hAnsi="system-ui" w:eastAsia="system-ui" w:cs="system-ui"/>
          <w:b w:val="1"/>
          <w:bCs w:val="1"/>
          <w:noProof w:val="0"/>
          <w:sz w:val="24"/>
          <w:szCs w:val="24"/>
          <w:lang w:val="en-US"/>
        </w:rPr>
        <w:t>Evaluation of Partnership Working (PW)</w:t>
      </w:r>
      <w:r w:rsidRPr="606DDB8C" w:rsidR="5F07F3F9">
        <w:rPr>
          <w:rFonts w:ascii="system-ui" w:hAnsi="system-ui" w:eastAsia="system-ui" w:cs="system-ui"/>
          <w:noProof w:val="0"/>
          <w:sz w:val="24"/>
          <w:szCs w:val="24"/>
          <w:lang w:val="en-US"/>
        </w:rPr>
        <w:t xml:space="preserve"> .............................................................. </w:t>
      </w:r>
      <w:r w:rsidRPr="606DDB8C" w:rsidR="5157C4BE">
        <w:rPr>
          <w:rFonts w:ascii="system-ui" w:hAnsi="system-ui" w:eastAsia="system-ui" w:cs="system-ui"/>
          <w:noProof w:val="0"/>
          <w:sz w:val="24"/>
          <w:szCs w:val="24"/>
          <w:lang w:val="en-US"/>
        </w:rPr>
        <w:t>6</w:t>
      </w:r>
    </w:p>
    <w:p w:rsidR="5F07F3F9" w:rsidP="606DDB8C" w:rsidRDefault="5F07F3F9" w14:paraId="7C628F1B" w14:textId="6B932995">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Recommendations for Future Development</w:t>
      </w:r>
      <w:r w:rsidRPr="606DDB8C" w:rsidR="5F07F3F9">
        <w:rPr>
          <w:rFonts w:ascii="system-ui" w:hAnsi="system-ui" w:eastAsia="system-ui" w:cs="system-ui"/>
          <w:noProof w:val="0"/>
          <w:sz w:val="24"/>
          <w:szCs w:val="24"/>
          <w:lang w:val="en-US"/>
        </w:rPr>
        <w:t xml:space="preserve"> ......................................................... </w:t>
      </w:r>
      <w:r w:rsidRPr="606DDB8C" w:rsidR="13C6F7BA">
        <w:rPr>
          <w:rFonts w:ascii="system-ui" w:hAnsi="system-ui" w:eastAsia="system-ui" w:cs="system-ui"/>
          <w:noProof w:val="0"/>
          <w:sz w:val="24"/>
          <w:szCs w:val="24"/>
          <w:lang w:val="en-US"/>
        </w:rPr>
        <w:t>6</w:t>
      </w:r>
    </w:p>
    <w:p w:rsidR="5F07F3F9" w:rsidP="606DDB8C" w:rsidRDefault="5F07F3F9" w14:paraId="2D86F380" w14:textId="13355661">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Conclusion</w:t>
      </w:r>
      <w:r w:rsidRPr="606DDB8C" w:rsidR="5F07F3F9">
        <w:rPr>
          <w:rFonts w:ascii="system-ui" w:hAnsi="system-ui" w:eastAsia="system-ui" w:cs="system-ui"/>
          <w:noProof w:val="0"/>
          <w:sz w:val="24"/>
          <w:szCs w:val="24"/>
          <w:lang w:val="en-US"/>
        </w:rPr>
        <w:t xml:space="preserve"> .................................................................................................................. </w:t>
      </w:r>
      <w:r w:rsidRPr="606DDB8C" w:rsidR="0E589D90">
        <w:rPr>
          <w:rFonts w:ascii="system-ui" w:hAnsi="system-ui" w:eastAsia="system-ui" w:cs="system-ui"/>
          <w:noProof w:val="0"/>
          <w:sz w:val="24"/>
          <w:szCs w:val="24"/>
          <w:lang w:val="en-US"/>
        </w:rPr>
        <w:t>7</w:t>
      </w:r>
    </w:p>
    <w:p w:rsidR="5F07F3F9" w:rsidP="606DDB8C" w:rsidRDefault="5F07F3F9" w14:paraId="60D07AE8" w14:textId="124157B7">
      <w:pPr>
        <w:pStyle w:val="ListParagraph"/>
        <w:numPr>
          <w:ilvl w:val="0"/>
          <w:numId w:val="16"/>
        </w:numPr>
        <w:spacing w:before="240" w:beforeAutospacing="off" w:after="240" w:afterAutospacing="off"/>
        <w:rPr>
          <w:rFonts w:ascii="system-ui" w:hAnsi="system-ui" w:eastAsia="system-ui" w:cs="system-ui"/>
          <w:i w:val="1"/>
          <w:iCs w:val="1"/>
          <w:noProof w:val="0"/>
          <w:sz w:val="24"/>
          <w:szCs w:val="24"/>
          <w:lang w:val="en-US"/>
        </w:rPr>
      </w:pPr>
      <w:r w:rsidRPr="606DDB8C" w:rsidR="5F07F3F9">
        <w:rPr>
          <w:rFonts w:ascii="system-ui" w:hAnsi="system-ui" w:eastAsia="system-ui" w:cs="system-ui"/>
          <w:b w:val="1"/>
          <w:bCs w:val="1"/>
          <w:noProof w:val="0"/>
          <w:sz w:val="24"/>
          <w:szCs w:val="24"/>
          <w:lang w:val="en-US"/>
        </w:rPr>
        <w:t>Reference List</w:t>
      </w:r>
      <w:r w:rsidRPr="606DDB8C" w:rsidR="5F07F3F9">
        <w:rPr>
          <w:rFonts w:ascii="system-ui" w:hAnsi="system-ui" w:eastAsia="system-ui" w:cs="system-ui"/>
          <w:noProof w:val="0"/>
          <w:sz w:val="24"/>
          <w:szCs w:val="24"/>
          <w:lang w:val="en-US"/>
        </w:rPr>
        <w:t xml:space="preserve"> ........................................................................................................... </w:t>
      </w:r>
      <w:r w:rsidRPr="606DDB8C" w:rsidR="1C77F36F">
        <w:rPr>
          <w:rFonts w:ascii="system-ui" w:hAnsi="system-ui" w:eastAsia="system-ui" w:cs="system-ui"/>
          <w:noProof w:val="0"/>
          <w:sz w:val="24"/>
          <w:szCs w:val="24"/>
          <w:lang w:val="en-US"/>
        </w:rPr>
        <w:t>8</w:t>
      </w:r>
    </w:p>
    <w:p w:rsidR="606DDB8C" w:rsidP="606DDB8C" w:rsidRDefault="606DDB8C" w14:paraId="66CC7DC7" w14:textId="77D360AA">
      <w:pPr>
        <w:pStyle w:val="Normal"/>
        <w:rPr>
          <w:rFonts w:ascii="system-ui" w:hAnsi="system-ui" w:eastAsia="system-ui" w:cs="system-ui"/>
          <w:b w:val="0"/>
          <w:bCs w:val="0"/>
          <w:i w:val="0"/>
          <w:iCs w:val="0"/>
          <w:caps w:val="0"/>
          <w:smallCaps w:val="0"/>
          <w:noProof w:val="0"/>
          <w:color w:val="1C1C1C"/>
          <w:sz w:val="24"/>
          <w:szCs w:val="24"/>
          <w:lang w:val="en-US"/>
        </w:rPr>
      </w:pPr>
    </w:p>
    <w:p w:rsidR="606DDB8C" w:rsidP="606DDB8C" w:rsidRDefault="606DDB8C" w14:paraId="403D044B" w14:textId="7EF4C2BA">
      <w:pPr>
        <w:pStyle w:val="Normal"/>
        <w:spacing w:before="240" w:beforeAutospacing="off" w:after="240" w:afterAutospacing="off"/>
        <w:rPr>
          <w:rFonts w:ascii="Aptos" w:hAnsi="Aptos" w:eastAsia="Aptos" w:cs="Aptos"/>
          <w:b w:val="1"/>
          <w:bCs w:val="1"/>
          <w:noProof w:val="0"/>
          <w:sz w:val="24"/>
          <w:szCs w:val="24"/>
          <w:lang w:val="en-US"/>
        </w:rPr>
      </w:pPr>
    </w:p>
    <w:p w:rsidR="606DDB8C" w:rsidP="606DDB8C" w:rsidRDefault="606DDB8C" w14:paraId="5041E940" w14:textId="3FE3C7AB">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54667B20" w14:textId="7FEC14A8">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0E2CAA5F" w14:textId="2E006506">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1D097D98" w14:textId="4DD8770B">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2D1EE0EB" w14:textId="5B2E280A">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6A847841" w14:textId="23734F5C">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04F7E4D6" w14:textId="7F8CE289">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13A404C5" w14:textId="290C902A">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1E6D95C6" w14:textId="5D0414D0">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5FF93C67" w14:textId="4DA1E15A">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1C7CD9FF" w14:textId="485224DD">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56B332B8" w14:textId="26AEEC6C">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38D990E1" w14:textId="11A83C07">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762A1591" w14:textId="5BE3E4FF">
      <w:pPr>
        <w:spacing w:before="120" w:beforeAutospacing="off" w:after="120" w:afterAutospacing="off"/>
        <w:jc w:val="left"/>
        <w:rPr>
          <w:rFonts w:ascii="Aptos" w:hAnsi="Aptos" w:eastAsia="Aptos" w:cs="Aptos"/>
          <w:b w:val="1"/>
          <w:bCs w:val="1"/>
          <w:noProof w:val="0"/>
          <w:sz w:val="24"/>
          <w:szCs w:val="24"/>
          <w:lang w:val="en-US"/>
        </w:rPr>
      </w:pPr>
    </w:p>
    <w:p w:rsidR="606DDB8C" w:rsidP="606DDB8C" w:rsidRDefault="606DDB8C" w14:paraId="3DACC644" w14:textId="305D6A17">
      <w:pPr>
        <w:spacing w:before="120" w:beforeAutospacing="off" w:after="120" w:afterAutospacing="off"/>
        <w:jc w:val="left"/>
        <w:rPr>
          <w:rFonts w:ascii="Aptos" w:hAnsi="Aptos" w:eastAsia="Aptos" w:cs="Aptos"/>
          <w:b w:val="1"/>
          <w:bCs w:val="1"/>
          <w:noProof w:val="0"/>
          <w:sz w:val="24"/>
          <w:szCs w:val="24"/>
          <w:lang w:val="en-US"/>
        </w:rPr>
      </w:pPr>
    </w:p>
    <w:p w:rsidR="0710A4CB" w:rsidP="606DDB8C" w:rsidRDefault="0710A4CB" w14:paraId="52E33341" w14:textId="74D37415">
      <w:pPr>
        <w:spacing w:before="120" w:beforeAutospacing="off" w:after="120" w:afterAutospacing="off"/>
        <w:jc w:val="left"/>
      </w:pPr>
      <w:r w:rsidRPr="606DDB8C" w:rsidR="0710A4CB">
        <w:rPr>
          <w:rFonts w:ascii="Aptos" w:hAnsi="Aptos" w:eastAsia="Aptos" w:cs="Aptos"/>
          <w:b w:val="1"/>
          <w:bCs w:val="1"/>
          <w:noProof w:val="0"/>
          <w:sz w:val="24"/>
          <w:szCs w:val="24"/>
          <w:lang w:val="en-US"/>
        </w:rPr>
        <w:t>1. Introduction</w:t>
      </w:r>
    </w:p>
    <w:p w:rsidR="0710A4CB" w:rsidP="606DDB8C" w:rsidRDefault="0710A4CB" w14:paraId="6C121202" w14:textId="4946D136">
      <w:pPr>
        <w:spacing w:before="240" w:beforeAutospacing="off" w:after="240" w:afterAutospacing="off"/>
        <w:jc w:val="left"/>
      </w:pPr>
      <w:r w:rsidRPr="606DDB8C" w:rsidR="0710A4CB">
        <w:rPr>
          <w:rFonts w:ascii="Aptos" w:hAnsi="Aptos" w:eastAsia="Aptos" w:cs="Aptos"/>
          <w:noProof w:val="0"/>
          <w:sz w:val="24"/>
          <w:szCs w:val="24"/>
          <w:lang w:val="en-US"/>
        </w:rPr>
        <w:t>Person-Centered</w:t>
      </w:r>
    </w:p>
    <w:p w:rsidR="0710A4CB" w:rsidP="606DDB8C" w:rsidRDefault="0710A4CB" w14:paraId="6E58F187" w14:textId="0548CC0B">
      <w:pPr>
        <w:spacing w:before="120" w:beforeAutospacing="off" w:after="120" w:afterAutospacing="off"/>
        <w:jc w:val="left"/>
      </w:pPr>
      <w:r w:rsidRPr="606DDB8C" w:rsidR="0710A4CB">
        <w:rPr>
          <w:rFonts w:ascii="Aptos" w:hAnsi="Aptos" w:eastAsia="Aptos" w:cs="Aptos"/>
          <w:noProof w:val="0"/>
          <w:sz w:val="24"/>
          <w:szCs w:val="24"/>
          <w:lang w:val="en-US"/>
        </w:rPr>
        <w:t xml:space="preserve"> Care (PCC) and Partnership Working (PW) have become central pillars in modern health and social care policy and practice in the United Kingdom. The shift towards more personalized and collaborative models of care is driven by research showing better patient outcomes, higher satisfaction, and more efficient use of resources when care is tailored to the individual and delivered in partnership with multiple stakeholders. This report aims to critically evaluate PCC and PW, using hospital settings as the primary context for analysis. The report will begin by defining PCC and discussing its main benefits and limitations. It will then explore relevant theories underpinning PCC, discuss the ethical fundamentals of health and social care, and provide an in-depth evaluation of PW, including its application in hospitals. Key policy and legislative frameworks will be examined, followed by evidence-based recommendations for future development. The report concludes by </w:t>
      </w:r>
      <w:r w:rsidRPr="606DDB8C" w:rsidR="0710A4CB">
        <w:rPr>
          <w:rFonts w:ascii="Aptos" w:hAnsi="Aptos" w:eastAsia="Aptos" w:cs="Aptos"/>
          <w:noProof w:val="0"/>
          <w:sz w:val="24"/>
          <w:szCs w:val="24"/>
          <w:lang w:val="en-US"/>
        </w:rPr>
        <w:t>summarizing</w:t>
      </w:r>
      <w:r w:rsidRPr="606DDB8C" w:rsidR="0710A4CB">
        <w:rPr>
          <w:rFonts w:ascii="Aptos" w:hAnsi="Aptos" w:eastAsia="Aptos" w:cs="Aptos"/>
          <w:noProof w:val="0"/>
          <w:sz w:val="24"/>
          <w:szCs w:val="24"/>
          <w:lang w:val="en-US"/>
        </w:rPr>
        <w:t xml:space="preserve"> key findings and their implications for practice.</w:t>
      </w:r>
    </w:p>
    <w:p w:rsidR="606DDB8C" w:rsidRDefault="606DDB8C" w14:paraId="5381FAC5" w14:textId="6C9522CE"/>
    <w:p w:rsidR="0710A4CB" w:rsidP="606DDB8C" w:rsidRDefault="0710A4CB" w14:paraId="32A45932" w14:textId="4C30C7D2">
      <w:pPr>
        <w:spacing w:before="240" w:beforeAutospacing="off" w:after="240" w:afterAutospacing="off"/>
        <w:jc w:val="left"/>
      </w:pPr>
      <w:r w:rsidRPr="606DDB8C" w:rsidR="0710A4CB">
        <w:rPr>
          <w:rFonts w:ascii="Aptos" w:hAnsi="Aptos" w:eastAsia="Aptos" w:cs="Aptos"/>
          <w:b w:val="1"/>
          <w:bCs w:val="1"/>
          <w:noProof w:val="0"/>
          <w:sz w:val="24"/>
          <w:szCs w:val="24"/>
          <w:lang w:val="en-US"/>
        </w:rPr>
        <w:t>2. Definition of Person</w:t>
      </w:r>
      <w:r w:rsidRPr="606DDB8C" w:rsidR="549BD77E">
        <w:rPr>
          <w:rFonts w:ascii="Aptos" w:hAnsi="Aptos" w:eastAsia="Aptos" w:cs="Aptos"/>
          <w:noProof w:val="0"/>
          <w:sz w:val="24"/>
          <w:szCs w:val="24"/>
          <w:lang w:val="en-US"/>
        </w:rPr>
        <w:t>-</w:t>
      </w:r>
      <w:r w:rsidRPr="606DDB8C" w:rsidR="549BD77E">
        <w:rPr>
          <w:rFonts w:ascii="Aptos" w:hAnsi="Aptos" w:eastAsia="Aptos" w:cs="Aptos"/>
          <w:b w:val="1"/>
          <w:bCs w:val="1"/>
          <w:noProof w:val="0"/>
          <w:sz w:val="24"/>
          <w:szCs w:val="24"/>
          <w:lang w:val="en-US"/>
        </w:rPr>
        <w:t xml:space="preserve">Centered </w:t>
      </w:r>
      <w:r w:rsidRPr="606DDB8C" w:rsidR="0710A4CB">
        <w:rPr>
          <w:rFonts w:ascii="Aptos" w:hAnsi="Aptos" w:eastAsia="Aptos" w:cs="Aptos"/>
          <w:b w:val="1"/>
          <w:bCs w:val="1"/>
          <w:noProof w:val="0"/>
          <w:sz w:val="24"/>
          <w:szCs w:val="24"/>
          <w:lang w:val="en-US"/>
        </w:rPr>
        <w:t>Care</w:t>
      </w:r>
    </w:p>
    <w:p w:rsidR="0710A4CB" w:rsidP="606DDB8C" w:rsidRDefault="0710A4CB" w14:paraId="3B4E2814" w14:textId="3E323B71">
      <w:pPr>
        <w:spacing w:before="240" w:beforeAutospacing="off" w:after="240" w:afterAutospacing="off"/>
        <w:jc w:val="left"/>
      </w:pPr>
      <w:r w:rsidRPr="606DDB8C" w:rsidR="0710A4CB">
        <w:rPr>
          <w:rFonts w:ascii="Aptos" w:hAnsi="Aptos" w:eastAsia="Aptos" w:cs="Aptos"/>
          <w:noProof w:val="0"/>
          <w:sz w:val="24"/>
          <w:szCs w:val="24"/>
          <w:lang w:val="en-US"/>
        </w:rPr>
        <w:t>Person-centered care</w:t>
      </w:r>
    </w:p>
    <w:p w:rsidR="0710A4CB" w:rsidP="606DDB8C" w:rsidRDefault="0710A4CB" w14:paraId="3EB7A253" w14:textId="1C1DEEAF">
      <w:pPr>
        <w:spacing w:before="120" w:beforeAutospacing="off" w:after="120" w:afterAutospacing="off"/>
        <w:jc w:val="left"/>
      </w:pPr>
      <w:r w:rsidRPr="606DDB8C" w:rsidR="0710A4CB">
        <w:rPr>
          <w:rFonts w:ascii="Aptos" w:hAnsi="Aptos" w:eastAsia="Aptos" w:cs="Aptos"/>
          <w:noProof w:val="0"/>
          <w:sz w:val="24"/>
          <w:szCs w:val="24"/>
          <w:lang w:val="en-US"/>
        </w:rPr>
        <w:t xml:space="preserve"> (PCC) is an approach that places the individual receiving care at the core of all decisions and actions. According to McCormack &amp; McCance (2017), PCC involves respecting patients’ values, preferences, and expressed needs, ensuring their voices are heard in all aspects of care planning and delivery. In hospitals, this means involving patients and their families in decision-making, recognizing the person beyond their illness, and adapting care plans to fit their unique circumstances.</w:t>
      </w:r>
    </w:p>
    <w:p w:rsidR="0710A4CB" w:rsidP="606DDB8C" w:rsidRDefault="0710A4CB" w14:paraId="46D85C8E" w14:textId="21F347E8">
      <w:pPr>
        <w:spacing w:before="120" w:beforeAutospacing="off" w:after="120" w:afterAutospacing="off"/>
        <w:jc w:val="left"/>
      </w:pPr>
      <w:r w:rsidRPr="606DDB8C" w:rsidR="0710A4CB">
        <w:rPr>
          <w:rFonts w:ascii="Aptos" w:hAnsi="Aptos" w:eastAsia="Aptos" w:cs="Aptos"/>
          <w:b w:val="1"/>
          <w:bCs w:val="1"/>
          <w:noProof w:val="0"/>
          <w:sz w:val="24"/>
          <w:szCs w:val="24"/>
          <w:lang w:val="en-US"/>
        </w:rPr>
        <w:t>Benefits:</w:t>
      </w:r>
      <w:r w:rsidRPr="606DDB8C" w:rsidR="0710A4CB">
        <w:rPr>
          <w:rFonts w:ascii="Aptos" w:hAnsi="Aptos" w:eastAsia="Aptos" w:cs="Aptos"/>
          <w:noProof w:val="0"/>
          <w:sz w:val="24"/>
          <w:szCs w:val="24"/>
          <w:lang w:val="en-US"/>
        </w:rPr>
        <w:t xml:space="preserve"> PCC has been shown to improve patient satisfaction, enhance clinical outcomes, and foster greater trust between patients and healthcare providers (Coulter et al., 2015). For example, patients who are actively involved in their care are more likely to adhere to treatment plans, report higher well-being, and experience fewer complications. PCC also supports staff morale, as professionals experience greater job satisfaction when they feel able to make a positive difference (Maben et al., 2012).</w:t>
      </w:r>
    </w:p>
    <w:p w:rsidR="1AA38C68" w:rsidP="606DDB8C" w:rsidRDefault="1AA38C68" w14:paraId="23B94923" w14:textId="520037A2">
      <w:pPr>
        <w:spacing w:before="120" w:beforeAutospacing="off" w:after="120" w:afterAutospacing="off"/>
        <w:jc w:val="left"/>
      </w:pPr>
      <w:r w:rsidRPr="606DDB8C" w:rsidR="1AA38C68">
        <w:rPr>
          <w:rFonts w:ascii="Aptos" w:hAnsi="Aptos" w:eastAsia="Aptos" w:cs="Aptos"/>
          <w:b w:val="1"/>
          <w:bCs w:val="1"/>
          <w:noProof w:val="0"/>
          <w:sz w:val="24"/>
          <w:szCs w:val="24"/>
          <w:lang w:val="en-US"/>
        </w:rPr>
        <w:t>Despite</w:t>
      </w:r>
      <w:r w:rsidRPr="606DDB8C" w:rsidR="0710A4CB">
        <w:rPr>
          <w:rFonts w:ascii="Aptos" w:hAnsi="Aptos" w:eastAsia="Aptos" w:cs="Aptos"/>
          <w:noProof w:val="0"/>
          <w:sz w:val="24"/>
          <w:szCs w:val="24"/>
          <w:lang w:val="en-US"/>
        </w:rPr>
        <w:t xml:space="preserve"> these advantages, PCC faces practical challenges. Hospitals often struggle with limited time and staffing resources, making it difficult to provide truly individualized care (Goodrich &amp; Cornwell, 2008). Organizational cultures resistant to change, as well as rigid routines, can further hinder PCC implementation. Additionally, some patients—due to cognitive impairments, language barriers, or severe illness—may find it hard to </w:t>
      </w:r>
      <w:r w:rsidRPr="606DDB8C" w:rsidR="0710A4CB">
        <w:rPr>
          <w:rFonts w:ascii="Aptos" w:hAnsi="Aptos" w:eastAsia="Aptos" w:cs="Aptos"/>
          <w:noProof w:val="0"/>
          <w:sz w:val="24"/>
          <w:szCs w:val="24"/>
          <w:lang w:val="en-US"/>
        </w:rPr>
        <w:t>participate</w:t>
      </w:r>
      <w:r w:rsidRPr="606DDB8C" w:rsidR="0710A4CB">
        <w:rPr>
          <w:rFonts w:ascii="Aptos" w:hAnsi="Aptos" w:eastAsia="Aptos" w:cs="Aptos"/>
          <w:noProof w:val="0"/>
          <w:sz w:val="24"/>
          <w:szCs w:val="24"/>
          <w:lang w:val="en-US"/>
        </w:rPr>
        <w:t xml:space="preserve"> fully in care planning, requiring sensitive, adaptable approaches from staff.</w:t>
      </w:r>
    </w:p>
    <w:p w:rsidR="606DDB8C" w:rsidRDefault="606DDB8C" w14:paraId="514309C0" w14:textId="33C8C1A7"/>
    <w:p w:rsidR="606DDB8C" w:rsidP="606DDB8C" w:rsidRDefault="606DDB8C" w14:paraId="3C308DDB" w14:textId="791914B7">
      <w:pPr>
        <w:spacing w:before="120" w:beforeAutospacing="off" w:after="120" w:afterAutospacing="off"/>
        <w:jc w:val="left"/>
        <w:rPr>
          <w:rFonts w:ascii="Aptos" w:hAnsi="Aptos" w:eastAsia="Aptos" w:cs="Aptos"/>
          <w:b w:val="1"/>
          <w:bCs w:val="1"/>
          <w:noProof w:val="0"/>
          <w:sz w:val="24"/>
          <w:szCs w:val="24"/>
          <w:lang w:val="en-US"/>
        </w:rPr>
      </w:pPr>
    </w:p>
    <w:p w:rsidR="0710A4CB" w:rsidP="606DDB8C" w:rsidRDefault="0710A4CB" w14:paraId="7B6C90FD" w14:textId="767CA628">
      <w:pPr>
        <w:spacing w:before="120" w:beforeAutospacing="off" w:after="120" w:afterAutospacing="off"/>
        <w:jc w:val="left"/>
      </w:pPr>
      <w:r w:rsidRPr="606DDB8C" w:rsidR="0710A4CB">
        <w:rPr>
          <w:rFonts w:ascii="Aptos" w:hAnsi="Aptos" w:eastAsia="Aptos" w:cs="Aptos"/>
          <w:b w:val="1"/>
          <w:bCs w:val="1"/>
          <w:noProof w:val="0"/>
          <w:sz w:val="24"/>
          <w:szCs w:val="24"/>
          <w:lang w:val="en-US"/>
        </w:rPr>
        <w:t>3. Theoretical Models Underpinning PCC</w:t>
      </w:r>
    </w:p>
    <w:p w:rsidR="74C5DB9E" w:rsidP="606DDB8C" w:rsidRDefault="74C5DB9E" w14:paraId="6BD8B510" w14:textId="591B7A92">
      <w:pPr>
        <w:pStyle w:val="Normal"/>
        <w:spacing w:before="120" w:beforeAutospacing="off" w:after="120" w:afterAutospacing="off"/>
        <w:jc w:val="left"/>
      </w:pPr>
      <w:r w:rsidRPr="606DDB8C" w:rsidR="74C5DB9E">
        <w:rPr>
          <w:rFonts w:ascii="Aptos" w:hAnsi="Aptos" w:eastAsia="Aptos" w:cs="Aptos"/>
          <w:noProof w:val="0"/>
          <w:sz w:val="24"/>
          <w:szCs w:val="24"/>
          <w:lang w:val="en-US"/>
        </w:rPr>
        <w:t xml:space="preserve">A helpful theoretical foundation for understanding and putting person-centered care (PCC) into practice in a general practitioner's office environment is Maslow's Hierarchy of Needs. According to the concept, unaddressed requirements at lower levels might impede the development of higher degrees of wellbeing. These needs range from basic to safety, affection and connection, esteem, and being oneself. GPs </w:t>
      </w:r>
      <w:r w:rsidRPr="606DDB8C" w:rsidR="74C5DB9E">
        <w:rPr>
          <w:rFonts w:ascii="Aptos" w:hAnsi="Aptos" w:eastAsia="Aptos" w:cs="Aptos"/>
          <w:noProof w:val="0"/>
          <w:sz w:val="24"/>
          <w:szCs w:val="24"/>
          <w:lang w:val="en-US"/>
        </w:rPr>
        <w:t>frequently</w:t>
      </w:r>
      <w:r w:rsidRPr="606DDB8C" w:rsidR="74C5DB9E">
        <w:rPr>
          <w:rFonts w:ascii="Aptos" w:hAnsi="Aptos" w:eastAsia="Aptos" w:cs="Aptos"/>
          <w:noProof w:val="0"/>
          <w:sz w:val="24"/>
          <w:szCs w:val="24"/>
          <w:lang w:val="en-US"/>
        </w:rPr>
        <w:t xml:space="preserve"> treat both chronic and acute diseases, </w:t>
      </w:r>
      <w:r w:rsidRPr="606DDB8C" w:rsidR="74C5DB9E">
        <w:rPr>
          <w:rFonts w:ascii="Aptos" w:hAnsi="Aptos" w:eastAsia="Aptos" w:cs="Aptos"/>
          <w:noProof w:val="0"/>
          <w:sz w:val="24"/>
          <w:szCs w:val="24"/>
          <w:lang w:val="en-US"/>
        </w:rPr>
        <w:t>manage</w:t>
      </w:r>
      <w:r w:rsidRPr="606DDB8C" w:rsidR="74C5DB9E">
        <w:rPr>
          <w:rFonts w:ascii="Aptos" w:hAnsi="Aptos" w:eastAsia="Aptos" w:cs="Aptos"/>
          <w:noProof w:val="0"/>
          <w:sz w:val="24"/>
          <w:szCs w:val="24"/>
          <w:lang w:val="en-US"/>
        </w:rPr>
        <w:t xml:space="preserve"> medications, and do clinical tests to satisfy their physical requirements. Safeguarding protocols, confidentiality, correct medical records, and </w:t>
      </w:r>
      <w:r w:rsidRPr="606DDB8C" w:rsidR="74C5DB9E">
        <w:rPr>
          <w:rFonts w:ascii="Aptos" w:hAnsi="Aptos" w:eastAsia="Aptos" w:cs="Aptos"/>
          <w:noProof w:val="0"/>
          <w:sz w:val="24"/>
          <w:szCs w:val="24"/>
          <w:lang w:val="en-US"/>
        </w:rPr>
        <w:t>establishing</w:t>
      </w:r>
      <w:r w:rsidRPr="606DDB8C" w:rsidR="74C5DB9E">
        <w:rPr>
          <w:rFonts w:ascii="Aptos" w:hAnsi="Aptos" w:eastAsia="Aptos" w:cs="Aptos"/>
          <w:noProof w:val="0"/>
          <w:sz w:val="24"/>
          <w:szCs w:val="24"/>
          <w:lang w:val="en-US"/>
        </w:rPr>
        <w:t xml:space="preserve"> a safe atmosphere for </w:t>
      </w:r>
      <w:r w:rsidRPr="606DDB8C" w:rsidR="74C5DB9E">
        <w:rPr>
          <w:rFonts w:ascii="Aptos" w:hAnsi="Aptos" w:eastAsia="Aptos" w:cs="Aptos"/>
          <w:noProof w:val="0"/>
          <w:sz w:val="24"/>
          <w:szCs w:val="24"/>
          <w:lang w:val="en-US"/>
        </w:rPr>
        <w:t>patients</w:t>
      </w:r>
      <w:r w:rsidRPr="606DDB8C" w:rsidR="74C5DB9E">
        <w:rPr>
          <w:rFonts w:ascii="Aptos" w:hAnsi="Aptos" w:eastAsia="Aptos" w:cs="Aptos"/>
          <w:noProof w:val="0"/>
          <w:sz w:val="24"/>
          <w:szCs w:val="24"/>
          <w:lang w:val="en-US"/>
        </w:rPr>
        <w:t xml:space="preserve"> all </w:t>
      </w:r>
      <w:r w:rsidRPr="606DDB8C" w:rsidR="74C5DB9E">
        <w:rPr>
          <w:rFonts w:ascii="Aptos" w:hAnsi="Aptos" w:eastAsia="Aptos" w:cs="Aptos"/>
          <w:noProof w:val="0"/>
          <w:sz w:val="24"/>
          <w:szCs w:val="24"/>
          <w:lang w:val="en-US"/>
        </w:rPr>
        <w:t>assist</w:t>
      </w:r>
      <w:r w:rsidRPr="606DDB8C" w:rsidR="74C5DB9E">
        <w:rPr>
          <w:rFonts w:ascii="Aptos" w:hAnsi="Aptos" w:eastAsia="Aptos" w:cs="Aptos"/>
          <w:noProof w:val="0"/>
          <w:sz w:val="24"/>
          <w:szCs w:val="24"/>
          <w:lang w:val="en-US"/>
        </w:rPr>
        <w:t xml:space="preserve"> safety needs. Compassionate communication, continuity of treatment, and awareness of the patient's social circumstances, including family or community support, are ways to meet emotional and social needs, such as love and belonging.</w:t>
      </w:r>
      <w:r w:rsidRPr="606DDB8C" w:rsidR="1D963A0E">
        <w:rPr>
          <w:rFonts w:ascii="Aptos" w:hAnsi="Aptos" w:eastAsia="Aptos" w:cs="Aptos"/>
          <w:noProof w:val="0"/>
          <w:sz w:val="24"/>
          <w:szCs w:val="24"/>
          <w:lang w:val="en-US"/>
        </w:rPr>
        <w:t xml:space="preserve"> By letting patients </w:t>
      </w:r>
      <w:r w:rsidRPr="606DDB8C" w:rsidR="1D963A0E">
        <w:rPr>
          <w:rFonts w:ascii="Aptos" w:hAnsi="Aptos" w:eastAsia="Aptos" w:cs="Aptos"/>
          <w:noProof w:val="0"/>
          <w:sz w:val="24"/>
          <w:szCs w:val="24"/>
          <w:lang w:val="en-US"/>
        </w:rPr>
        <w:t>to participate</w:t>
      </w:r>
      <w:r w:rsidRPr="606DDB8C" w:rsidR="1D963A0E">
        <w:rPr>
          <w:rFonts w:ascii="Aptos" w:hAnsi="Aptos" w:eastAsia="Aptos" w:cs="Aptos"/>
          <w:noProof w:val="0"/>
          <w:sz w:val="24"/>
          <w:szCs w:val="24"/>
          <w:lang w:val="en-US"/>
        </w:rPr>
        <w:t xml:space="preserve"> in jointly making decisions, honoring their choices, and confirming their experiences, self-worth requirements are met and patients feel free to actively </w:t>
      </w:r>
      <w:r w:rsidRPr="606DDB8C" w:rsidR="1D963A0E">
        <w:rPr>
          <w:rFonts w:ascii="Aptos" w:hAnsi="Aptos" w:eastAsia="Aptos" w:cs="Aptos"/>
          <w:noProof w:val="0"/>
          <w:sz w:val="24"/>
          <w:szCs w:val="24"/>
          <w:lang w:val="en-US"/>
        </w:rPr>
        <w:t>participate</w:t>
      </w:r>
      <w:r w:rsidRPr="606DDB8C" w:rsidR="1D963A0E">
        <w:rPr>
          <w:rFonts w:ascii="Aptos" w:hAnsi="Aptos" w:eastAsia="Aptos" w:cs="Aptos"/>
          <w:noProof w:val="0"/>
          <w:sz w:val="24"/>
          <w:szCs w:val="24"/>
          <w:lang w:val="en-US"/>
        </w:rPr>
        <w:t xml:space="preserve"> in their care. In the end, </w:t>
      </w:r>
      <w:r w:rsidRPr="606DDB8C" w:rsidR="1D963A0E">
        <w:rPr>
          <w:rFonts w:ascii="Aptos" w:hAnsi="Aptos" w:eastAsia="Aptos" w:cs="Aptos"/>
          <w:noProof w:val="0"/>
          <w:sz w:val="24"/>
          <w:szCs w:val="24"/>
          <w:lang w:val="en-US"/>
        </w:rPr>
        <w:t>PCC</w:t>
      </w:r>
      <w:r w:rsidRPr="606DDB8C" w:rsidR="1D963A0E">
        <w:rPr>
          <w:rFonts w:ascii="Aptos" w:hAnsi="Aptos" w:eastAsia="Aptos" w:cs="Aptos"/>
          <w:noProof w:val="0"/>
          <w:sz w:val="24"/>
          <w:szCs w:val="24"/>
          <w:lang w:val="en-US"/>
        </w:rPr>
        <w:t xml:space="preserve"> that is in line with Maslow's </w:t>
      </w:r>
      <w:r w:rsidRPr="606DDB8C" w:rsidR="1D963A0E">
        <w:rPr>
          <w:rFonts w:ascii="Aptos" w:hAnsi="Aptos" w:eastAsia="Aptos" w:cs="Aptos"/>
          <w:noProof w:val="0"/>
          <w:sz w:val="24"/>
          <w:szCs w:val="24"/>
          <w:lang w:val="en-US"/>
        </w:rPr>
        <w:t>theory</w:t>
      </w:r>
      <w:r w:rsidRPr="606DDB8C" w:rsidR="1D963A0E">
        <w:rPr>
          <w:rFonts w:ascii="Aptos" w:hAnsi="Aptos" w:eastAsia="Aptos" w:cs="Aptos"/>
          <w:noProof w:val="0"/>
          <w:sz w:val="24"/>
          <w:szCs w:val="24"/>
          <w:lang w:val="en-US"/>
        </w:rPr>
        <w:t xml:space="preserve"> </w:t>
      </w:r>
      <w:r w:rsidRPr="606DDB8C" w:rsidR="1D963A0E">
        <w:rPr>
          <w:rFonts w:ascii="Aptos" w:hAnsi="Aptos" w:eastAsia="Aptos" w:cs="Aptos"/>
          <w:noProof w:val="0"/>
          <w:sz w:val="24"/>
          <w:szCs w:val="24"/>
          <w:lang w:val="en-US"/>
        </w:rPr>
        <w:t>seeks</w:t>
      </w:r>
      <w:r w:rsidRPr="606DDB8C" w:rsidR="1D963A0E">
        <w:rPr>
          <w:rFonts w:ascii="Aptos" w:hAnsi="Aptos" w:eastAsia="Aptos" w:cs="Aptos"/>
          <w:noProof w:val="0"/>
          <w:sz w:val="24"/>
          <w:szCs w:val="24"/>
          <w:lang w:val="en-US"/>
        </w:rPr>
        <w:t xml:space="preserve"> to </w:t>
      </w:r>
      <w:r w:rsidRPr="606DDB8C" w:rsidR="1D963A0E">
        <w:rPr>
          <w:rFonts w:ascii="Aptos" w:hAnsi="Aptos" w:eastAsia="Aptos" w:cs="Aptos"/>
          <w:noProof w:val="0"/>
          <w:sz w:val="24"/>
          <w:szCs w:val="24"/>
          <w:lang w:val="en-US"/>
        </w:rPr>
        <w:t>assist</w:t>
      </w:r>
      <w:r w:rsidRPr="606DDB8C" w:rsidR="1D963A0E">
        <w:rPr>
          <w:rFonts w:ascii="Aptos" w:hAnsi="Aptos" w:eastAsia="Aptos" w:cs="Aptos"/>
          <w:noProof w:val="0"/>
          <w:sz w:val="24"/>
          <w:szCs w:val="24"/>
          <w:lang w:val="en-US"/>
        </w:rPr>
        <w:t xml:space="preserve"> the patient on their path to success by promoting ownership of chronic diseases, increased health literacy, freedom, and confidence. By acknowledging that medical and mental requirements are interrelated and must be addressed holistically to </w:t>
      </w:r>
      <w:r w:rsidRPr="606DDB8C" w:rsidR="1D963A0E">
        <w:rPr>
          <w:rFonts w:ascii="Aptos" w:hAnsi="Aptos" w:eastAsia="Aptos" w:cs="Aptos"/>
          <w:noProof w:val="0"/>
          <w:sz w:val="24"/>
          <w:szCs w:val="24"/>
          <w:lang w:val="en-US"/>
        </w:rPr>
        <w:t>optimize</w:t>
      </w:r>
      <w:r w:rsidRPr="606DDB8C" w:rsidR="1D963A0E">
        <w:rPr>
          <w:rFonts w:ascii="Aptos" w:hAnsi="Aptos" w:eastAsia="Aptos" w:cs="Aptos"/>
          <w:noProof w:val="0"/>
          <w:sz w:val="24"/>
          <w:szCs w:val="24"/>
          <w:lang w:val="en-US"/>
        </w:rPr>
        <w:t xml:space="preserve"> health outcomes, this ordered approach supports PCC in general practitioner offices.</w:t>
      </w:r>
      <w:r w:rsidRPr="606DDB8C" w:rsidR="0710A4CB">
        <w:rPr>
          <w:rFonts w:ascii="Aptos" w:hAnsi="Aptos" w:eastAsia="Aptos" w:cs="Aptos"/>
          <w:noProof w:val="0"/>
          <w:sz w:val="24"/>
          <w:szCs w:val="24"/>
          <w:lang w:val="en-US"/>
        </w:rPr>
        <w:t>In practice, these principles can sometimes conflict. For example, a patient may refuse a treatment that clinicians believe is necessary (autonomy vs. beneficence). In hospitals, staff must navigate these dilemmas by engaging in open dialogue, respecting patient choices, and documenting decisions clearly. Ethical committees and multidisciplinary meetings can provide support in complex cases. Ultimately, integrating ethical principles into PCC and PW ensures that care is not only effective but also morally sound.</w:t>
      </w:r>
    </w:p>
    <w:p w:rsidR="606DDB8C" w:rsidRDefault="606DDB8C" w14:paraId="34F2B2DD" w14:textId="42B34185"/>
    <w:p w:rsidR="606DDB8C" w:rsidP="606DDB8C" w:rsidRDefault="606DDB8C" w14:paraId="1B385772" w14:textId="09D561D3">
      <w:pPr>
        <w:spacing w:before="120" w:beforeAutospacing="off" w:after="120" w:afterAutospacing="off"/>
        <w:jc w:val="left"/>
        <w:rPr>
          <w:rFonts w:ascii="Aptos" w:hAnsi="Aptos" w:eastAsia="Aptos" w:cs="Aptos"/>
          <w:b w:val="1"/>
          <w:bCs w:val="1"/>
          <w:noProof w:val="0"/>
          <w:sz w:val="24"/>
          <w:szCs w:val="24"/>
          <w:lang w:val="en-US"/>
        </w:rPr>
      </w:pPr>
    </w:p>
    <w:p w:rsidR="0710A4CB" w:rsidP="606DDB8C" w:rsidRDefault="0710A4CB" w14:paraId="0CDB9164" w14:textId="329FCC5D">
      <w:pPr>
        <w:spacing w:before="120" w:beforeAutospacing="off" w:after="120" w:afterAutospacing="off"/>
        <w:jc w:val="left"/>
      </w:pPr>
      <w:r w:rsidRPr="606DDB8C" w:rsidR="0710A4CB">
        <w:rPr>
          <w:rFonts w:ascii="Aptos" w:hAnsi="Aptos" w:eastAsia="Aptos" w:cs="Aptos"/>
          <w:b w:val="1"/>
          <w:bCs w:val="1"/>
          <w:noProof w:val="0"/>
          <w:sz w:val="24"/>
          <w:szCs w:val="24"/>
          <w:lang w:val="en-US"/>
        </w:rPr>
        <w:t>5. Evaluation of Partnership Working</w:t>
      </w:r>
    </w:p>
    <w:p w:rsidR="5FD5EB0C" w:rsidP="606DDB8C" w:rsidRDefault="5FD5EB0C" w14:paraId="1827848A" w14:textId="5FF332B4">
      <w:pPr>
        <w:pStyle w:val="Normal"/>
        <w:spacing w:before="120" w:beforeAutospacing="off" w:after="120" w:afterAutospacing="off"/>
        <w:jc w:val="left"/>
      </w:pPr>
      <w:r w:rsidRPr="606DDB8C" w:rsidR="5FD5EB0C">
        <w:rPr>
          <w:rFonts w:ascii="Aptos" w:hAnsi="Aptos" w:eastAsia="Aptos" w:cs="Aptos"/>
          <w:noProof w:val="0"/>
          <w:sz w:val="24"/>
          <w:szCs w:val="24"/>
          <w:lang w:val="en-US"/>
        </w:rPr>
        <w:t xml:space="preserve">In GP surgery settings, where patients </w:t>
      </w:r>
      <w:r w:rsidRPr="606DDB8C" w:rsidR="5FD5EB0C">
        <w:rPr>
          <w:rFonts w:ascii="Aptos" w:hAnsi="Aptos" w:eastAsia="Aptos" w:cs="Aptos"/>
          <w:noProof w:val="0"/>
          <w:sz w:val="24"/>
          <w:szCs w:val="24"/>
          <w:lang w:val="en-US"/>
        </w:rPr>
        <w:t>frequently</w:t>
      </w:r>
      <w:r w:rsidRPr="606DDB8C" w:rsidR="5FD5EB0C">
        <w:rPr>
          <w:rFonts w:ascii="Aptos" w:hAnsi="Aptos" w:eastAsia="Aptos" w:cs="Aptos"/>
          <w:noProof w:val="0"/>
          <w:sz w:val="24"/>
          <w:szCs w:val="24"/>
          <w:lang w:val="en-US"/>
        </w:rPr>
        <w:t xml:space="preserve"> need support from multiple services, especially those with chronic or complex conditions, Partnership Working (PW) refers to working together between healthcare professionals, patients, families, and outside groups to deliver planned combined care (Glasby &amp; Dickinson, 2014). As seen when GP teams work with community nurses, social workers, and mental health services to support continuity of care and avoid unnecessary hospital stay, effective PW offers many advantages, such as improved service delivery, fewer task overlap, and improved patient outcomes (Ham &amp; </w:t>
      </w:r>
      <w:r w:rsidRPr="606DDB8C" w:rsidR="5FD5EB0C">
        <w:rPr>
          <w:rFonts w:ascii="Aptos" w:hAnsi="Aptos" w:eastAsia="Aptos" w:cs="Aptos"/>
          <w:noProof w:val="0"/>
          <w:sz w:val="24"/>
          <w:szCs w:val="24"/>
          <w:lang w:val="en-US"/>
        </w:rPr>
        <w:t>Alderwick</w:t>
      </w:r>
      <w:r w:rsidRPr="606DDB8C" w:rsidR="5FD5EB0C">
        <w:rPr>
          <w:rFonts w:ascii="Aptos" w:hAnsi="Aptos" w:eastAsia="Aptos" w:cs="Aptos"/>
          <w:noProof w:val="0"/>
          <w:sz w:val="24"/>
          <w:szCs w:val="24"/>
          <w:lang w:val="en-US"/>
        </w:rPr>
        <w:t>, 2015).</w:t>
      </w:r>
      <w:r w:rsidRPr="606DDB8C" w:rsidR="40CEB6D0">
        <w:rPr>
          <w:rFonts w:ascii="Aptos" w:hAnsi="Aptos" w:eastAsia="Aptos" w:cs="Aptos"/>
          <w:noProof w:val="0"/>
          <w:sz w:val="24"/>
          <w:szCs w:val="24"/>
          <w:lang w:val="en-US"/>
        </w:rPr>
        <w:t xml:space="preserve"> However, PW also </w:t>
      </w:r>
      <w:r w:rsidRPr="606DDB8C" w:rsidR="40CEB6D0">
        <w:rPr>
          <w:rFonts w:ascii="Aptos" w:hAnsi="Aptos" w:eastAsia="Aptos" w:cs="Aptos"/>
          <w:noProof w:val="0"/>
          <w:sz w:val="24"/>
          <w:szCs w:val="24"/>
          <w:lang w:val="en-US"/>
        </w:rPr>
        <w:t>has to</w:t>
      </w:r>
      <w:r w:rsidRPr="606DDB8C" w:rsidR="40CEB6D0">
        <w:rPr>
          <w:rFonts w:ascii="Aptos" w:hAnsi="Aptos" w:eastAsia="Aptos" w:cs="Aptos"/>
          <w:noProof w:val="0"/>
          <w:sz w:val="24"/>
          <w:szCs w:val="24"/>
          <w:lang w:val="en-US"/>
        </w:rPr>
        <w:t xml:space="preserve"> deal with challenges including uneven information sharing or inappropriate IT systems, which </w:t>
      </w:r>
      <w:r w:rsidRPr="606DDB8C" w:rsidR="40CEB6D0">
        <w:rPr>
          <w:rFonts w:ascii="Aptos" w:hAnsi="Aptos" w:eastAsia="Aptos" w:cs="Aptos"/>
          <w:noProof w:val="0"/>
          <w:sz w:val="24"/>
          <w:szCs w:val="24"/>
          <w:lang w:val="en-US"/>
        </w:rPr>
        <w:t>frequently</w:t>
      </w:r>
      <w:r w:rsidRPr="606DDB8C" w:rsidR="40CEB6D0">
        <w:rPr>
          <w:rFonts w:ascii="Aptos" w:hAnsi="Aptos" w:eastAsia="Aptos" w:cs="Aptos"/>
          <w:noProof w:val="0"/>
          <w:sz w:val="24"/>
          <w:szCs w:val="24"/>
          <w:lang w:val="en-US"/>
        </w:rPr>
        <w:t xml:space="preserve"> impede </w:t>
      </w:r>
      <w:r w:rsidRPr="606DDB8C" w:rsidR="40CEB6D0">
        <w:rPr>
          <w:rFonts w:ascii="Aptos" w:hAnsi="Aptos" w:eastAsia="Aptos" w:cs="Aptos"/>
          <w:noProof w:val="0"/>
          <w:sz w:val="24"/>
          <w:szCs w:val="24"/>
          <w:lang w:val="en-US"/>
        </w:rPr>
        <w:t>timely</w:t>
      </w:r>
      <w:r w:rsidRPr="606DDB8C" w:rsidR="40CEB6D0">
        <w:rPr>
          <w:rFonts w:ascii="Aptos" w:hAnsi="Aptos" w:eastAsia="Aptos" w:cs="Aptos"/>
          <w:noProof w:val="0"/>
          <w:sz w:val="24"/>
          <w:szCs w:val="24"/>
          <w:lang w:val="en-US"/>
        </w:rPr>
        <w:t xml:space="preserve"> and coordinated care, as well as communication barriers, fuzzy boundary lines, and disparate cultural settings (Cameron et al., 2014). The UK government has put policies such the Care Act 2014, which encourages wellbeing, customized care, and multi-agency working, and the Health and Care Act 2022, which </w:t>
      </w:r>
      <w:r w:rsidRPr="606DDB8C" w:rsidR="40CEB6D0">
        <w:rPr>
          <w:rFonts w:ascii="Aptos" w:hAnsi="Aptos" w:eastAsia="Aptos" w:cs="Aptos"/>
          <w:noProof w:val="0"/>
          <w:sz w:val="24"/>
          <w:szCs w:val="24"/>
          <w:lang w:val="en-US"/>
        </w:rPr>
        <w:t>focuses</w:t>
      </w:r>
      <w:r w:rsidRPr="606DDB8C" w:rsidR="40CEB6D0">
        <w:rPr>
          <w:rFonts w:ascii="Aptos" w:hAnsi="Aptos" w:eastAsia="Aptos" w:cs="Aptos"/>
          <w:noProof w:val="0"/>
          <w:sz w:val="24"/>
          <w:szCs w:val="24"/>
          <w:lang w:val="en-US"/>
        </w:rPr>
        <w:t xml:space="preserve"> teamwork through Integrated Care Systems (ICSs), into place to strengthen PW. The Human Rights Act of 1998, the Health and Social Care Act of 2012, and the Equality Act of 2010 are examples of </w:t>
      </w:r>
      <w:r w:rsidRPr="606DDB8C" w:rsidR="40CEB6D0">
        <w:rPr>
          <w:rFonts w:ascii="Aptos" w:hAnsi="Aptos" w:eastAsia="Aptos" w:cs="Aptos"/>
          <w:noProof w:val="0"/>
          <w:sz w:val="24"/>
          <w:szCs w:val="24"/>
          <w:lang w:val="en-US"/>
        </w:rPr>
        <w:t>additional</w:t>
      </w:r>
      <w:r w:rsidRPr="606DDB8C" w:rsidR="40CEB6D0">
        <w:rPr>
          <w:rFonts w:ascii="Aptos" w:hAnsi="Aptos" w:eastAsia="Aptos" w:cs="Aptos"/>
          <w:noProof w:val="0"/>
          <w:sz w:val="24"/>
          <w:szCs w:val="24"/>
          <w:lang w:val="en-US"/>
        </w:rPr>
        <w:t xml:space="preserve"> frameworks that support patient choice, involvement, dignity, and equal treatment in the provision of care.</w:t>
      </w:r>
      <w:r w:rsidRPr="606DDB8C" w:rsidR="7648739A">
        <w:rPr>
          <w:rFonts w:ascii="Aptos" w:hAnsi="Aptos" w:eastAsia="Aptos" w:cs="Aptos"/>
          <w:noProof w:val="0"/>
          <w:sz w:val="24"/>
          <w:szCs w:val="24"/>
          <w:lang w:val="en-US"/>
        </w:rPr>
        <w:t xml:space="preserve"> In actuality, these laws require that medical offices create specific treatment plans, show patient involvement in care planning, and collaborate with outside organizations to provide full assistance. Despite the fact that these frameworks offer a solid basis for PW, workforce limitations, a lack of finance, and uneven regional adoption can all affect how effective they are in practice (Glasby, 2017). However, early findings from ICSs indicates that partnership working can greatly enhance managing care and patient outcomes in primary care when it is supported by strong leadership, mutual trust, and mutual goals.</w:t>
      </w:r>
    </w:p>
    <w:p w:rsidR="606DDB8C" w:rsidP="606DDB8C" w:rsidRDefault="606DDB8C" w14:paraId="59DE1D4E" w14:textId="6554772D">
      <w:pPr>
        <w:spacing w:before="120" w:beforeAutospacing="off" w:after="120" w:afterAutospacing="off"/>
        <w:jc w:val="left"/>
        <w:rPr>
          <w:rFonts w:ascii="Aptos" w:hAnsi="Aptos" w:eastAsia="Aptos" w:cs="Aptos"/>
          <w:b w:val="1"/>
          <w:bCs w:val="1"/>
          <w:noProof w:val="0"/>
          <w:sz w:val="24"/>
          <w:szCs w:val="24"/>
          <w:lang w:val="en-US"/>
        </w:rPr>
      </w:pPr>
    </w:p>
    <w:p w:rsidR="399192F4" w:rsidP="606DDB8C" w:rsidRDefault="399192F4" w14:paraId="729A41A1" w14:textId="536B9DD7">
      <w:pPr>
        <w:spacing w:before="120" w:beforeAutospacing="off" w:after="120" w:afterAutospacing="off"/>
        <w:jc w:val="left"/>
      </w:pPr>
      <w:r w:rsidRPr="606DDB8C" w:rsidR="399192F4">
        <w:rPr>
          <w:rFonts w:ascii="Aptos" w:hAnsi="Aptos" w:eastAsia="Aptos" w:cs="Aptos"/>
          <w:b w:val="1"/>
          <w:bCs w:val="1"/>
          <w:noProof w:val="0"/>
          <w:sz w:val="24"/>
          <w:szCs w:val="24"/>
          <w:lang w:val="en-US"/>
        </w:rPr>
        <w:t>6</w:t>
      </w:r>
      <w:r w:rsidRPr="606DDB8C" w:rsidR="0710A4CB">
        <w:rPr>
          <w:rFonts w:ascii="Aptos" w:hAnsi="Aptos" w:eastAsia="Aptos" w:cs="Aptos"/>
          <w:b w:val="1"/>
          <w:bCs w:val="1"/>
          <w:noProof w:val="0"/>
          <w:sz w:val="24"/>
          <w:szCs w:val="24"/>
          <w:lang w:val="en-US"/>
        </w:rPr>
        <w:t>. Recommendations for Future Development</w:t>
      </w:r>
    </w:p>
    <w:p w:rsidR="5C63F7B0" w:rsidP="606DDB8C" w:rsidRDefault="5C63F7B0" w14:paraId="46BAB6DE" w14:textId="08C9172C">
      <w:pPr>
        <w:pStyle w:val="Normal"/>
        <w:spacing w:before="120" w:beforeAutospacing="off" w:after="120" w:afterAutospacing="off"/>
        <w:jc w:val="left"/>
      </w:pPr>
      <w:r w:rsidRPr="606DDB8C" w:rsidR="5C63F7B0">
        <w:rPr>
          <w:rFonts w:ascii="Aptos" w:hAnsi="Aptos" w:eastAsia="Aptos" w:cs="Aptos"/>
          <w:noProof w:val="0"/>
          <w:sz w:val="24"/>
          <w:szCs w:val="24"/>
          <w:lang w:val="en-US"/>
        </w:rPr>
        <w:t>A number of ideas can be made to improve the delivery of person-centered care and successful communication in hospital settings.</w:t>
      </w:r>
      <w:r w:rsidRPr="606DDB8C" w:rsidR="5C63F7B0">
        <w:rPr>
          <w:rFonts w:ascii="Aptos" w:hAnsi="Aptos" w:eastAsia="Aptos" w:cs="Aptos"/>
          <w:noProof w:val="0"/>
          <w:sz w:val="24"/>
          <w:szCs w:val="24"/>
          <w:lang w:val="en-US"/>
        </w:rPr>
        <w:t xml:space="preserve"> To ensure that all healthcare personnel are prepared to provide high-quality, relationship-focused care, hospitals should first invest in improved staff training which focuses on interaction, compassion, cultural competence, and collaborative practice. </w:t>
      </w:r>
      <w:r w:rsidRPr="606DDB8C" w:rsidR="5C63F7B0">
        <w:rPr>
          <w:rFonts w:ascii="Aptos" w:hAnsi="Aptos" w:eastAsia="Aptos" w:cs="Aptos"/>
          <w:noProof w:val="0"/>
          <w:sz w:val="24"/>
          <w:szCs w:val="24"/>
          <w:lang w:val="en-US"/>
        </w:rPr>
        <w:t>Increased advancement in technology is also necessary for effective information exchange and more coordinated care across services, especially with regard to accessible digital health records.</w:t>
      </w:r>
      <w:r w:rsidRPr="606DDB8C" w:rsidR="5C63F7B0">
        <w:rPr>
          <w:rFonts w:ascii="Aptos" w:hAnsi="Aptos" w:eastAsia="Aptos" w:cs="Aptos"/>
          <w:noProof w:val="0"/>
          <w:sz w:val="24"/>
          <w:szCs w:val="24"/>
          <w:lang w:val="en-US"/>
        </w:rPr>
        <w:t xml:space="preserve"> </w:t>
      </w:r>
      <w:r w:rsidRPr="606DDB8C" w:rsidR="5C63F7B0">
        <w:rPr>
          <w:rFonts w:ascii="Aptos" w:hAnsi="Aptos" w:eastAsia="Aptos" w:cs="Aptos"/>
          <w:noProof w:val="0"/>
          <w:sz w:val="24"/>
          <w:szCs w:val="24"/>
          <w:lang w:val="en-US"/>
        </w:rPr>
        <w:t>In order to</w:t>
      </w:r>
      <w:r w:rsidRPr="606DDB8C" w:rsidR="5C63F7B0">
        <w:rPr>
          <w:rFonts w:ascii="Aptos" w:hAnsi="Aptos" w:eastAsia="Aptos" w:cs="Aptos"/>
          <w:noProof w:val="0"/>
          <w:sz w:val="24"/>
          <w:szCs w:val="24"/>
          <w:lang w:val="en-US"/>
        </w:rPr>
        <w:t xml:space="preserve"> </w:t>
      </w:r>
      <w:r w:rsidRPr="606DDB8C" w:rsidR="5C63F7B0">
        <w:rPr>
          <w:rFonts w:ascii="Aptos" w:hAnsi="Aptos" w:eastAsia="Aptos" w:cs="Aptos"/>
          <w:noProof w:val="0"/>
          <w:sz w:val="24"/>
          <w:szCs w:val="24"/>
          <w:lang w:val="en-US"/>
        </w:rPr>
        <w:t>facilitate</w:t>
      </w:r>
      <w:r w:rsidRPr="606DDB8C" w:rsidR="5C63F7B0">
        <w:rPr>
          <w:rFonts w:ascii="Aptos" w:hAnsi="Aptos" w:eastAsia="Aptos" w:cs="Aptos"/>
          <w:noProof w:val="0"/>
          <w:sz w:val="24"/>
          <w:szCs w:val="24"/>
          <w:lang w:val="en-US"/>
        </w:rPr>
        <w:t xml:space="preserve"> smooth transitions between services and advance comprehensive, patient-centered </w:t>
      </w:r>
      <w:r w:rsidRPr="606DDB8C" w:rsidR="5C63F7B0">
        <w:rPr>
          <w:rFonts w:ascii="Aptos" w:hAnsi="Aptos" w:eastAsia="Aptos" w:cs="Aptos"/>
          <w:noProof w:val="0"/>
          <w:sz w:val="24"/>
          <w:szCs w:val="24"/>
          <w:lang w:val="en-US"/>
        </w:rPr>
        <w:t>assistance</w:t>
      </w:r>
      <w:r w:rsidRPr="606DDB8C" w:rsidR="5C63F7B0">
        <w:rPr>
          <w:rFonts w:ascii="Aptos" w:hAnsi="Aptos" w:eastAsia="Aptos" w:cs="Aptos"/>
          <w:noProof w:val="0"/>
          <w:sz w:val="24"/>
          <w:szCs w:val="24"/>
          <w:lang w:val="en-US"/>
        </w:rPr>
        <w:t>, hospitals,</w:t>
      </w:r>
      <w:r w:rsidRPr="606DDB8C" w:rsidR="2358176E">
        <w:rPr>
          <w:rFonts w:ascii="Aptos" w:hAnsi="Aptos" w:eastAsia="Aptos" w:cs="Aptos"/>
          <w:noProof w:val="0"/>
          <w:sz w:val="24"/>
          <w:szCs w:val="24"/>
          <w:lang w:val="en-US"/>
        </w:rPr>
        <w:t xml:space="preserve"> To find the best PCC and joint practice models, ongoing study and assessment are also necessary in order to ensure evidence-based development and ongoing progress. Lastly, strategic planning, strong leadership, and sustained commitment at all levels of the health and social care system are necessary to address possible challenges like staff shortages, limited financial resources, technological difficulties, and resistance to social or cultural change.</w:t>
      </w:r>
      <w:r w:rsidRPr="606DDB8C" w:rsidR="5C63F7B0">
        <w:rPr>
          <w:rFonts w:ascii="Aptos" w:hAnsi="Aptos" w:eastAsia="Aptos" w:cs="Aptos"/>
          <w:noProof w:val="0"/>
          <w:sz w:val="24"/>
          <w:szCs w:val="24"/>
          <w:lang w:val="en-US"/>
        </w:rPr>
        <w:t xml:space="preserve"> primary care, social services, and volunteer organizations should strengthen their connections. Strong policy and commitments to resources must support these initiatives because successful PCC and partnership working execution </w:t>
      </w:r>
      <w:r w:rsidRPr="606DDB8C" w:rsidR="5C63F7B0">
        <w:rPr>
          <w:rFonts w:ascii="Aptos" w:hAnsi="Aptos" w:eastAsia="Aptos" w:cs="Aptos"/>
          <w:noProof w:val="0"/>
          <w:sz w:val="24"/>
          <w:szCs w:val="24"/>
          <w:lang w:val="en-US"/>
        </w:rPr>
        <w:t>depends</w:t>
      </w:r>
      <w:r w:rsidRPr="606DDB8C" w:rsidR="5C63F7B0">
        <w:rPr>
          <w:rFonts w:ascii="Aptos" w:hAnsi="Aptos" w:eastAsia="Aptos" w:cs="Aptos"/>
          <w:noProof w:val="0"/>
          <w:sz w:val="24"/>
          <w:szCs w:val="24"/>
          <w:lang w:val="en-US"/>
        </w:rPr>
        <w:t xml:space="preserve"> on sufficient budget, staffing levels, and frequent policy reviews.</w:t>
      </w:r>
    </w:p>
    <w:p w:rsidR="739E6AE7" w:rsidP="606DDB8C" w:rsidRDefault="739E6AE7" w14:paraId="625201A1" w14:textId="26854AA4">
      <w:pPr>
        <w:spacing w:before="120" w:beforeAutospacing="off" w:after="120" w:afterAutospacing="off"/>
        <w:jc w:val="left"/>
      </w:pPr>
      <w:r w:rsidRPr="606DDB8C" w:rsidR="739E6AE7">
        <w:rPr>
          <w:rFonts w:ascii="Aptos" w:hAnsi="Aptos" w:eastAsia="Aptos" w:cs="Aptos"/>
          <w:b w:val="1"/>
          <w:bCs w:val="1"/>
          <w:noProof w:val="0"/>
          <w:sz w:val="24"/>
          <w:szCs w:val="24"/>
          <w:lang w:val="en-US"/>
        </w:rPr>
        <w:t>7</w:t>
      </w:r>
      <w:r w:rsidRPr="606DDB8C" w:rsidR="0710A4CB">
        <w:rPr>
          <w:rFonts w:ascii="Aptos" w:hAnsi="Aptos" w:eastAsia="Aptos" w:cs="Aptos"/>
          <w:b w:val="1"/>
          <w:bCs w:val="1"/>
          <w:noProof w:val="0"/>
          <w:sz w:val="24"/>
          <w:szCs w:val="24"/>
          <w:lang w:val="en-US"/>
        </w:rPr>
        <w:t>. Conclusion</w:t>
      </w:r>
    </w:p>
    <w:p w:rsidR="338C3EE7" w:rsidP="606DDB8C" w:rsidRDefault="338C3EE7" w14:paraId="225A090A" w14:textId="5D4A0E74">
      <w:pPr>
        <w:pStyle w:val="Normal"/>
        <w:spacing w:before="120" w:beforeAutospacing="off" w:after="120" w:afterAutospacing="off"/>
        <w:jc w:val="left"/>
      </w:pPr>
      <w:r w:rsidRPr="606DDB8C" w:rsidR="338C3EE7">
        <w:rPr>
          <w:rFonts w:ascii="Aptos" w:hAnsi="Aptos" w:eastAsia="Aptos" w:cs="Aptos"/>
          <w:noProof w:val="0"/>
          <w:sz w:val="24"/>
          <w:szCs w:val="24"/>
          <w:lang w:val="en-US"/>
        </w:rPr>
        <w:t xml:space="preserve">In conclusion, our study has shown that partnership </w:t>
      </w:r>
      <w:r w:rsidRPr="606DDB8C" w:rsidR="338C3EE7">
        <w:rPr>
          <w:rFonts w:ascii="Aptos" w:hAnsi="Aptos" w:eastAsia="Aptos" w:cs="Aptos"/>
          <w:noProof w:val="0"/>
          <w:sz w:val="24"/>
          <w:szCs w:val="24"/>
          <w:lang w:val="en-US"/>
        </w:rPr>
        <w:t>working</w:t>
      </w:r>
      <w:r w:rsidRPr="606DDB8C" w:rsidR="338C3EE7">
        <w:rPr>
          <w:rFonts w:ascii="Aptos" w:hAnsi="Aptos" w:eastAsia="Aptos" w:cs="Aptos"/>
          <w:noProof w:val="0"/>
          <w:sz w:val="24"/>
          <w:szCs w:val="24"/>
          <w:lang w:val="en-US"/>
        </w:rPr>
        <w:t xml:space="preserve"> and person-centered care are essential elements of efficient, caring, and fair healthcare delivery in a general practitioner's office. Individual needs, preferences, and values are given priority in person-centered care, allowing patients to actively </w:t>
      </w:r>
      <w:r w:rsidRPr="606DDB8C" w:rsidR="338C3EE7">
        <w:rPr>
          <w:rFonts w:ascii="Aptos" w:hAnsi="Aptos" w:eastAsia="Aptos" w:cs="Aptos"/>
          <w:noProof w:val="0"/>
          <w:sz w:val="24"/>
          <w:szCs w:val="24"/>
          <w:lang w:val="en-US"/>
        </w:rPr>
        <w:t>participate</w:t>
      </w:r>
      <w:r w:rsidRPr="606DDB8C" w:rsidR="338C3EE7">
        <w:rPr>
          <w:rFonts w:ascii="Aptos" w:hAnsi="Aptos" w:eastAsia="Aptos" w:cs="Aptos"/>
          <w:noProof w:val="0"/>
          <w:sz w:val="24"/>
          <w:szCs w:val="24"/>
          <w:lang w:val="en-US"/>
        </w:rPr>
        <w:t xml:space="preserve"> in their care while improving satisfaction and results (Coulter &amp; Oldham, 2016). PCC becomes a comprehensive strategy that goes beyond medical treatment when it is backed by theoretical models, such as the social model of health, which acknowledges the broader factors </w:t>
      </w:r>
      <w:r w:rsidRPr="606DDB8C" w:rsidR="338C3EE7">
        <w:rPr>
          <w:rFonts w:ascii="Aptos" w:hAnsi="Aptos" w:eastAsia="Aptos" w:cs="Aptos"/>
          <w:noProof w:val="0"/>
          <w:sz w:val="24"/>
          <w:szCs w:val="24"/>
          <w:lang w:val="en-US"/>
        </w:rPr>
        <w:t>impacting</w:t>
      </w:r>
      <w:r w:rsidRPr="606DDB8C" w:rsidR="338C3EE7">
        <w:rPr>
          <w:rFonts w:ascii="Aptos" w:hAnsi="Aptos" w:eastAsia="Aptos" w:cs="Aptos"/>
          <w:noProof w:val="0"/>
          <w:sz w:val="24"/>
          <w:szCs w:val="24"/>
          <w:lang w:val="en-US"/>
        </w:rPr>
        <w:t xml:space="preserve"> wellness. The collaborative decision-making that is essential to current primary care is reinforced by ethical principles such as freedom, kindness, impartiality, and justice, which offer a moral basis that guarantees patients are treated with respect, dignity, and fairness (Beauchamp &amp; Childress, 2019).</w:t>
      </w:r>
      <w:r w:rsidRPr="606DDB8C" w:rsidR="76F406BF">
        <w:rPr>
          <w:rFonts w:ascii="Aptos" w:hAnsi="Aptos" w:eastAsia="Aptos" w:cs="Aptos"/>
          <w:noProof w:val="0"/>
          <w:sz w:val="24"/>
          <w:szCs w:val="24"/>
          <w:lang w:val="en-US"/>
        </w:rPr>
        <w:t xml:space="preserve"> By allowing interaction between GPs, nurses, allied health professionals, social care teams, and voluntary-sector organizations, partnership working within GP surgeries improves continuity, safety, and the integration of treatment (Glasby &amp; Dickinson, 2014). Although obstacles including communication difficulties, cultural differences, and resource constraints still exist, effective PW lessens separation, supports vulnerable patients, and </w:t>
      </w:r>
      <w:r w:rsidRPr="606DDB8C" w:rsidR="76F406BF">
        <w:rPr>
          <w:rFonts w:ascii="Aptos" w:hAnsi="Aptos" w:eastAsia="Aptos" w:cs="Aptos"/>
          <w:noProof w:val="0"/>
          <w:sz w:val="24"/>
          <w:szCs w:val="24"/>
          <w:lang w:val="en-US"/>
        </w:rPr>
        <w:t>facilitates</w:t>
      </w:r>
      <w:r w:rsidRPr="606DDB8C" w:rsidR="76F406BF">
        <w:rPr>
          <w:rFonts w:ascii="Aptos" w:hAnsi="Aptos" w:eastAsia="Aptos" w:cs="Aptos"/>
          <w:noProof w:val="0"/>
          <w:sz w:val="24"/>
          <w:szCs w:val="24"/>
          <w:lang w:val="en-US"/>
        </w:rPr>
        <w:t xml:space="preserve"> easier transitions between providers. The Care Act of 2014, the Health and Social Care Act of 2012, and the Health and Care Act of 2022 are just a few of the UK policies that continue to encourage cooperation, wellbeing, and patient involvement. However, inconsistent execution of these policies reveals persistent system limitations (Glasby, 2017).</w:t>
      </w:r>
      <w:r w:rsidRPr="606DDB8C" w:rsidR="13CE0BB3">
        <w:rPr>
          <w:rFonts w:ascii="Aptos" w:hAnsi="Aptos" w:eastAsia="Aptos" w:cs="Aptos"/>
          <w:noProof w:val="0"/>
          <w:sz w:val="24"/>
          <w:szCs w:val="24"/>
          <w:lang w:val="en-US"/>
        </w:rPr>
        <w:t xml:space="preserve"> In general, strong organizational dedication, sufficient funding, digital integration, and ongoing staff development are necessary to achieve high-quality PCC and PW in GP offices. Even while obstacles still exist, the combined effects of better training, more robust agency relationships, and patient-centered policies offer a strong basis for future advancement. In order to guarantee that PCC and partnership working stay within primary care and continue to change in response to patient needs and the shifting health and social care landscape, ongoing funding, research, and leadership will be crucial going forward.</w:t>
      </w:r>
    </w:p>
    <w:p w:rsidR="606DDB8C" w:rsidRDefault="606DDB8C" w14:paraId="0015FD75" w14:textId="74088EF4"/>
    <w:p w:rsidR="606DDB8C" w:rsidP="606DDB8C" w:rsidRDefault="606DDB8C" w14:paraId="2E8253B6" w14:textId="323F6673">
      <w:pPr>
        <w:pStyle w:val="Heading1"/>
        <w:spacing w:before="322" w:beforeAutospacing="off" w:after="322" w:afterAutospacing="off"/>
        <w:rPr>
          <w:rFonts w:ascii="Aptos" w:hAnsi="Aptos" w:eastAsia="Aptos" w:cs="Aptos"/>
          <w:b w:val="1"/>
          <w:bCs w:val="1"/>
          <w:noProof w:val="0"/>
          <w:color w:val="000000" w:themeColor="text1" w:themeTint="FF" w:themeShade="FF"/>
          <w:sz w:val="24"/>
          <w:szCs w:val="24"/>
          <w:lang w:val="en-US"/>
        </w:rPr>
      </w:pPr>
    </w:p>
    <w:p w:rsidR="3EEED686" w:rsidP="606DDB8C" w:rsidRDefault="3EEED686" w14:paraId="58252E43" w14:textId="32D043D4">
      <w:pPr>
        <w:pStyle w:val="Heading1"/>
        <w:spacing w:before="322" w:beforeAutospacing="off" w:after="322" w:afterAutospacing="off"/>
        <w:rPr>
          <w:rFonts w:ascii="Aptos" w:hAnsi="Aptos" w:eastAsia="Aptos" w:cs="Aptos"/>
          <w:b w:val="1"/>
          <w:bCs w:val="1"/>
          <w:noProof w:val="0"/>
          <w:sz w:val="24"/>
          <w:szCs w:val="24"/>
          <w:lang w:val="en-US"/>
        </w:rPr>
      </w:pPr>
      <w:r w:rsidRPr="606DDB8C" w:rsidR="3EEED686">
        <w:rPr>
          <w:rFonts w:ascii="Aptos" w:hAnsi="Aptos" w:eastAsia="Aptos" w:cs="Aptos"/>
          <w:b w:val="1"/>
          <w:bCs w:val="1"/>
          <w:noProof w:val="0"/>
          <w:color w:val="000000" w:themeColor="text1" w:themeTint="FF" w:themeShade="FF"/>
          <w:sz w:val="24"/>
          <w:szCs w:val="24"/>
          <w:lang w:val="en-US"/>
        </w:rPr>
        <w:t>Reference List</w:t>
      </w:r>
      <w:r w:rsidRPr="606DDB8C" w:rsidR="3EEED686">
        <w:rPr>
          <w:rFonts w:ascii="Aptos" w:hAnsi="Aptos" w:eastAsia="Aptos" w:cs="Aptos"/>
          <w:b w:val="1"/>
          <w:bCs w:val="1"/>
          <w:noProof w:val="0"/>
          <w:sz w:val="24"/>
          <w:szCs w:val="24"/>
          <w:lang w:val="en-US"/>
        </w:rPr>
        <w:t xml:space="preserve"> </w:t>
      </w:r>
    </w:p>
    <w:p w:rsidR="6B399542" w:rsidP="606DDB8C" w:rsidRDefault="6B399542" w14:paraId="01BE7804" w14:textId="7299A0BD">
      <w:pPr>
        <w:spacing w:before="240" w:beforeAutospacing="off" w:after="240" w:afterAutospacing="off"/>
      </w:pPr>
      <w:r w:rsidRPr="606DDB8C" w:rsidR="6B399542">
        <w:rPr>
          <w:rFonts w:ascii="Aptos" w:hAnsi="Aptos" w:eastAsia="Aptos" w:cs="Aptos"/>
          <w:noProof w:val="0"/>
          <w:sz w:val="24"/>
          <w:szCs w:val="24"/>
          <w:lang w:val="en-US"/>
        </w:rPr>
        <w:t xml:space="preserve">Beauchamp, T.L. and Childress, J.F. (2019) </w:t>
      </w:r>
      <w:r w:rsidRPr="606DDB8C" w:rsidR="6B399542">
        <w:rPr>
          <w:rFonts w:ascii="Aptos" w:hAnsi="Aptos" w:eastAsia="Aptos" w:cs="Aptos"/>
          <w:i w:val="1"/>
          <w:iCs w:val="1"/>
          <w:noProof w:val="0"/>
          <w:sz w:val="24"/>
          <w:szCs w:val="24"/>
          <w:lang w:val="en-US"/>
        </w:rPr>
        <w:t>Principles of Biomedical Ethics</w:t>
      </w:r>
      <w:r w:rsidRPr="606DDB8C" w:rsidR="6B399542">
        <w:rPr>
          <w:rFonts w:ascii="Aptos" w:hAnsi="Aptos" w:eastAsia="Aptos" w:cs="Aptos"/>
          <w:noProof w:val="0"/>
          <w:sz w:val="24"/>
          <w:szCs w:val="24"/>
          <w:lang w:val="en-US"/>
        </w:rPr>
        <w:t>. 8th edn. New York: Oxford University Press.</w:t>
      </w:r>
    </w:p>
    <w:p w:rsidR="6B399542" w:rsidP="606DDB8C" w:rsidRDefault="6B399542" w14:paraId="7D13B5EE" w14:textId="68C7D68F">
      <w:pPr>
        <w:spacing w:before="240" w:beforeAutospacing="off" w:after="240" w:afterAutospacing="off"/>
      </w:pPr>
      <w:r w:rsidRPr="606DDB8C" w:rsidR="6B399542">
        <w:rPr>
          <w:rFonts w:ascii="Aptos" w:hAnsi="Aptos" w:eastAsia="Aptos" w:cs="Aptos"/>
          <w:noProof w:val="0"/>
          <w:sz w:val="24"/>
          <w:szCs w:val="24"/>
          <w:lang w:val="en-US"/>
        </w:rPr>
        <w:t xml:space="preserve">Bradshaw, J. (1972) ‘A taxonomy of social need’, in McLachlan, G. (ed.) </w:t>
      </w:r>
      <w:r w:rsidRPr="606DDB8C" w:rsidR="6B399542">
        <w:rPr>
          <w:rFonts w:ascii="Aptos" w:hAnsi="Aptos" w:eastAsia="Aptos" w:cs="Aptos"/>
          <w:i w:val="1"/>
          <w:iCs w:val="1"/>
          <w:noProof w:val="0"/>
          <w:sz w:val="24"/>
          <w:szCs w:val="24"/>
          <w:lang w:val="en-US"/>
        </w:rPr>
        <w:t>Problems and progress in medical care: Essays on current research</w:t>
      </w:r>
      <w:r w:rsidRPr="606DDB8C" w:rsidR="6B399542">
        <w:rPr>
          <w:rFonts w:ascii="Aptos" w:hAnsi="Aptos" w:eastAsia="Aptos" w:cs="Aptos"/>
          <w:noProof w:val="0"/>
          <w:sz w:val="24"/>
          <w:szCs w:val="24"/>
          <w:lang w:val="en-US"/>
        </w:rPr>
        <w:t>. London: Oxford University Press, pp. 71–82.</w:t>
      </w:r>
    </w:p>
    <w:p w:rsidR="6B399542" w:rsidP="606DDB8C" w:rsidRDefault="6B399542" w14:paraId="32AB725C" w14:textId="1A557B24">
      <w:pPr>
        <w:spacing w:before="240" w:beforeAutospacing="off" w:after="240" w:afterAutospacing="off"/>
      </w:pPr>
      <w:r w:rsidRPr="606DDB8C" w:rsidR="6B399542">
        <w:rPr>
          <w:rFonts w:ascii="Aptos" w:hAnsi="Aptos" w:eastAsia="Aptos" w:cs="Aptos"/>
          <w:noProof w:val="0"/>
          <w:sz w:val="24"/>
          <w:szCs w:val="24"/>
          <w:lang w:val="en-US"/>
        </w:rPr>
        <w:t xml:space="preserve">Cameron, A., Lart, R., Bostock, L. and Coomber, C. (2014) ‘Factors that promote and hinder joint and integrated working between health and social care services’, </w:t>
      </w:r>
      <w:r w:rsidRPr="606DDB8C" w:rsidR="6B399542">
        <w:rPr>
          <w:rFonts w:ascii="Aptos" w:hAnsi="Aptos" w:eastAsia="Aptos" w:cs="Aptos"/>
          <w:i w:val="1"/>
          <w:iCs w:val="1"/>
          <w:noProof w:val="0"/>
          <w:sz w:val="24"/>
          <w:szCs w:val="24"/>
          <w:lang w:val="en-US"/>
        </w:rPr>
        <w:t>Health and Social Care in the Community</w:t>
      </w:r>
      <w:r w:rsidRPr="606DDB8C" w:rsidR="6B399542">
        <w:rPr>
          <w:rFonts w:ascii="Aptos" w:hAnsi="Aptos" w:eastAsia="Aptos" w:cs="Aptos"/>
          <w:noProof w:val="0"/>
          <w:sz w:val="24"/>
          <w:szCs w:val="24"/>
          <w:lang w:val="en-US"/>
        </w:rPr>
        <w:t>, 22(3), pp. 225–233.</w:t>
      </w:r>
    </w:p>
    <w:p w:rsidR="6B399542" w:rsidP="606DDB8C" w:rsidRDefault="6B399542" w14:paraId="1DC794FB" w14:textId="65BAB764">
      <w:pPr>
        <w:spacing w:before="240" w:beforeAutospacing="off" w:after="240" w:afterAutospacing="off"/>
      </w:pPr>
      <w:r w:rsidRPr="606DDB8C" w:rsidR="6B399542">
        <w:rPr>
          <w:rFonts w:ascii="Aptos" w:hAnsi="Aptos" w:eastAsia="Aptos" w:cs="Aptos"/>
          <w:noProof w:val="0"/>
          <w:sz w:val="24"/>
          <w:szCs w:val="24"/>
          <w:lang w:val="en-US"/>
        </w:rPr>
        <w:t>Care Act 2014. (c.23). London: The Stationery Office.</w:t>
      </w:r>
    </w:p>
    <w:p w:rsidR="6B399542" w:rsidP="606DDB8C" w:rsidRDefault="6B399542" w14:paraId="73407AA3" w14:textId="17F343CA">
      <w:pPr>
        <w:spacing w:before="240" w:beforeAutospacing="off" w:after="240" w:afterAutospacing="off"/>
      </w:pPr>
      <w:r w:rsidRPr="606DDB8C" w:rsidR="6B399542">
        <w:rPr>
          <w:rFonts w:ascii="Aptos" w:hAnsi="Aptos" w:eastAsia="Aptos" w:cs="Aptos"/>
          <w:noProof w:val="0"/>
          <w:sz w:val="24"/>
          <w:szCs w:val="24"/>
          <w:lang w:val="en-US"/>
        </w:rPr>
        <w:t xml:space="preserve">Coulter, A. and Oldham, J. (2016) ‘Supporting people to make informed decisions: The role of person-centred care’, </w:t>
      </w:r>
      <w:r w:rsidRPr="606DDB8C" w:rsidR="6B399542">
        <w:rPr>
          <w:rFonts w:ascii="Aptos" w:hAnsi="Aptos" w:eastAsia="Aptos" w:cs="Aptos"/>
          <w:i w:val="1"/>
          <w:iCs w:val="1"/>
          <w:noProof w:val="0"/>
          <w:sz w:val="24"/>
          <w:szCs w:val="24"/>
          <w:lang w:val="en-US"/>
        </w:rPr>
        <w:t>British Journal of General Practice</w:t>
      </w:r>
      <w:r w:rsidRPr="606DDB8C" w:rsidR="6B399542">
        <w:rPr>
          <w:rFonts w:ascii="Aptos" w:hAnsi="Aptos" w:eastAsia="Aptos" w:cs="Aptos"/>
          <w:noProof w:val="0"/>
          <w:sz w:val="24"/>
          <w:szCs w:val="24"/>
          <w:lang w:val="en-US"/>
        </w:rPr>
        <w:t>, 66(652), pp. 416–417.</w:t>
      </w:r>
    </w:p>
    <w:p w:rsidR="6B399542" w:rsidP="606DDB8C" w:rsidRDefault="6B399542" w14:paraId="285DE73C" w14:textId="5A4E7F36">
      <w:pPr>
        <w:spacing w:before="240" w:beforeAutospacing="off" w:after="240" w:afterAutospacing="off"/>
      </w:pPr>
      <w:r w:rsidRPr="606DDB8C" w:rsidR="6B399542">
        <w:rPr>
          <w:rFonts w:ascii="Aptos" w:hAnsi="Aptos" w:eastAsia="Aptos" w:cs="Aptos"/>
          <w:noProof w:val="0"/>
          <w:sz w:val="24"/>
          <w:szCs w:val="24"/>
          <w:lang w:val="en-US"/>
        </w:rPr>
        <w:t>Equality Act 2010. (c.15). London: The Stationery Office.</w:t>
      </w:r>
    </w:p>
    <w:p w:rsidR="6B399542" w:rsidP="606DDB8C" w:rsidRDefault="6B399542" w14:paraId="47DC492C" w14:textId="7580B105">
      <w:pPr>
        <w:spacing w:before="240" w:beforeAutospacing="off" w:after="240" w:afterAutospacing="off"/>
      </w:pPr>
      <w:r w:rsidRPr="606DDB8C" w:rsidR="6B399542">
        <w:rPr>
          <w:rFonts w:ascii="Aptos" w:hAnsi="Aptos" w:eastAsia="Aptos" w:cs="Aptos"/>
          <w:noProof w:val="0"/>
          <w:sz w:val="24"/>
          <w:szCs w:val="24"/>
          <w:lang w:val="en-US"/>
        </w:rPr>
        <w:t xml:space="preserve">Glasby, J. (2017) </w:t>
      </w:r>
      <w:r w:rsidRPr="606DDB8C" w:rsidR="6B399542">
        <w:rPr>
          <w:rFonts w:ascii="Aptos" w:hAnsi="Aptos" w:eastAsia="Aptos" w:cs="Aptos"/>
          <w:i w:val="1"/>
          <w:iCs w:val="1"/>
          <w:noProof w:val="0"/>
          <w:sz w:val="24"/>
          <w:szCs w:val="24"/>
          <w:lang w:val="en-US"/>
        </w:rPr>
        <w:t>Understanding Health and Social Care</w:t>
      </w:r>
      <w:r w:rsidRPr="606DDB8C" w:rsidR="6B399542">
        <w:rPr>
          <w:rFonts w:ascii="Aptos" w:hAnsi="Aptos" w:eastAsia="Aptos" w:cs="Aptos"/>
          <w:noProof w:val="0"/>
          <w:sz w:val="24"/>
          <w:szCs w:val="24"/>
          <w:lang w:val="en-US"/>
        </w:rPr>
        <w:t>. 4th edn. London: Red Globe Press.</w:t>
      </w:r>
    </w:p>
    <w:p w:rsidR="6B399542" w:rsidP="606DDB8C" w:rsidRDefault="6B399542" w14:paraId="6DD67FA7" w14:textId="0500FD7F">
      <w:pPr>
        <w:spacing w:before="240" w:beforeAutospacing="off" w:after="240" w:afterAutospacing="off"/>
      </w:pPr>
      <w:r w:rsidRPr="606DDB8C" w:rsidR="6B399542">
        <w:rPr>
          <w:rFonts w:ascii="Aptos" w:hAnsi="Aptos" w:eastAsia="Aptos" w:cs="Aptos"/>
          <w:noProof w:val="0"/>
          <w:sz w:val="24"/>
          <w:szCs w:val="24"/>
          <w:lang w:val="en-US"/>
        </w:rPr>
        <w:t xml:space="preserve">Glasby, J. and Dickinson, H. (2014) </w:t>
      </w:r>
      <w:r w:rsidRPr="606DDB8C" w:rsidR="6B399542">
        <w:rPr>
          <w:rFonts w:ascii="Aptos" w:hAnsi="Aptos" w:eastAsia="Aptos" w:cs="Aptos"/>
          <w:i w:val="1"/>
          <w:iCs w:val="1"/>
          <w:noProof w:val="0"/>
          <w:sz w:val="24"/>
          <w:szCs w:val="24"/>
          <w:lang w:val="en-US"/>
        </w:rPr>
        <w:t>Partnership Working in Health and Social Care: What Is Integrated Care and How Can We Deliver It?</w:t>
      </w:r>
      <w:r w:rsidRPr="606DDB8C" w:rsidR="6B399542">
        <w:rPr>
          <w:rFonts w:ascii="Aptos" w:hAnsi="Aptos" w:eastAsia="Aptos" w:cs="Aptos"/>
          <w:noProof w:val="0"/>
          <w:sz w:val="24"/>
          <w:szCs w:val="24"/>
          <w:lang w:val="en-US"/>
        </w:rPr>
        <w:t xml:space="preserve"> 2nd edn. Bristol: Policy Press.</w:t>
      </w:r>
    </w:p>
    <w:p w:rsidR="6B399542" w:rsidP="606DDB8C" w:rsidRDefault="6B399542" w14:paraId="310BA3D0" w14:textId="106F72FF">
      <w:pPr>
        <w:spacing w:before="240" w:beforeAutospacing="off" w:after="240" w:afterAutospacing="off"/>
      </w:pPr>
      <w:r w:rsidRPr="606DDB8C" w:rsidR="6B399542">
        <w:rPr>
          <w:rFonts w:ascii="Aptos" w:hAnsi="Aptos" w:eastAsia="Aptos" w:cs="Aptos"/>
          <w:noProof w:val="0"/>
          <w:sz w:val="24"/>
          <w:szCs w:val="24"/>
          <w:lang w:val="en-US"/>
        </w:rPr>
        <w:t xml:space="preserve">Ham, C. and Alderwick, H. (2015) </w:t>
      </w:r>
      <w:r w:rsidRPr="606DDB8C" w:rsidR="6B399542">
        <w:rPr>
          <w:rFonts w:ascii="Aptos" w:hAnsi="Aptos" w:eastAsia="Aptos" w:cs="Aptos"/>
          <w:i w:val="1"/>
          <w:iCs w:val="1"/>
          <w:noProof w:val="0"/>
          <w:sz w:val="24"/>
          <w:szCs w:val="24"/>
          <w:lang w:val="en-US"/>
        </w:rPr>
        <w:t>Place-based systems of care: A way forward for the NHS in England</w:t>
      </w:r>
      <w:r w:rsidRPr="606DDB8C" w:rsidR="6B399542">
        <w:rPr>
          <w:rFonts w:ascii="Aptos" w:hAnsi="Aptos" w:eastAsia="Aptos" w:cs="Aptos"/>
          <w:noProof w:val="0"/>
          <w:sz w:val="24"/>
          <w:szCs w:val="24"/>
          <w:lang w:val="en-US"/>
        </w:rPr>
        <w:t>. London: The King’s Fund.</w:t>
      </w:r>
    </w:p>
    <w:p w:rsidR="6B399542" w:rsidP="606DDB8C" w:rsidRDefault="6B399542" w14:paraId="49F6C082" w14:textId="1E41614C">
      <w:pPr>
        <w:spacing w:before="240" w:beforeAutospacing="off" w:after="240" w:afterAutospacing="off"/>
      </w:pPr>
      <w:r w:rsidRPr="606DDB8C" w:rsidR="6B399542">
        <w:rPr>
          <w:rFonts w:ascii="Aptos" w:hAnsi="Aptos" w:eastAsia="Aptos" w:cs="Aptos"/>
          <w:noProof w:val="0"/>
          <w:sz w:val="24"/>
          <w:szCs w:val="24"/>
          <w:lang w:val="en-US"/>
        </w:rPr>
        <w:t>Health and Care Act 2022. (c.31). London: The Stationery Office.</w:t>
      </w:r>
    </w:p>
    <w:p w:rsidR="6B399542" w:rsidP="606DDB8C" w:rsidRDefault="6B399542" w14:paraId="24CF7D38" w14:textId="0DC8805C">
      <w:pPr>
        <w:spacing w:before="240" w:beforeAutospacing="off" w:after="240" w:afterAutospacing="off"/>
      </w:pPr>
      <w:r w:rsidRPr="606DDB8C" w:rsidR="6B399542">
        <w:rPr>
          <w:rFonts w:ascii="Aptos" w:hAnsi="Aptos" w:eastAsia="Aptos" w:cs="Aptos"/>
          <w:noProof w:val="0"/>
          <w:sz w:val="24"/>
          <w:szCs w:val="24"/>
          <w:lang w:val="en-US"/>
        </w:rPr>
        <w:t>Health and Social Care Act 2012. (c.7). London: The Stationery Office.</w:t>
      </w:r>
    </w:p>
    <w:p w:rsidR="6B399542" w:rsidP="606DDB8C" w:rsidRDefault="6B399542" w14:paraId="5F62D971" w14:textId="54D6E331">
      <w:pPr>
        <w:spacing w:before="240" w:beforeAutospacing="off" w:after="240" w:afterAutospacing="off"/>
      </w:pPr>
      <w:r w:rsidRPr="606DDB8C" w:rsidR="6B399542">
        <w:rPr>
          <w:rFonts w:ascii="Aptos" w:hAnsi="Aptos" w:eastAsia="Aptos" w:cs="Aptos"/>
          <w:noProof w:val="0"/>
          <w:sz w:val="24"/>
          <w:szCs w:val="24"/>
          <w:lang w:val="en-US"/>
        </w:rPr>
        <w:t>Human Rights Act 1998. (c.42). London: The Stationery Office.</w:t>
      </w:r>
    </w:p>
    <w:p w:rsidR="6B399542" w:rsidP="606DDB8C" w:rsidRDefault="6B399542" w14:paraId="5D1FD60D" w14:textId="416A4013">
      <w:pPr>
        <w:spacing w:before="240" w:beforeAutospacing="off" w:after="240" w:afterAutospacing="off"/>
      </w:pPr>
      <w:r w:rsidRPr="606DDB8C" w:rsidR="6B399542">
        <w:rPr>
          <w:rFonts w:ascii="Aptos" w:hAnsi="Aptos" w:eastAsia="Aptos" w:cs="Aptos"/>
          <w:noProof w:val="0"/>
          <w:sz w:val="24"/>
          <w:szCs w:val="24"/>
          <w:lang w:val="en-US"/>
        </w:rPr>
        <w:t xml:space="preserve">Maslow, A.H. (1943) ‘A theory of human motivation’, </w:t>
      </w:r>
      <w:r w:rsidRPr="606DDB8C" w:rsidR="6B399542">
        <w:rPr>
          <w:rFonts w:ascii="Aptos" w:hAnsi="Aptos" w:eastAsia="Aptos" w:cs="Aptos"/>
          <w:i w:val="1"/>
          <w:iCs w:val="1"/>
          <w:noProof w:val="0"/>
          <w:sz w:val="24"/>
          <w:szCs w:val="24"/>
          <w:lang w:val="en-US"/>
        </w:rPr>
        <w:t>Psychological Review</w:t>
      </w:r>
      <w:r w:rsidRPr="606DDB8C" w:rsidR="6B399542">
        <w:rPr>
          <w:rFonts w:ascii="Aptos" w:hAnsi="Aptos" w:eastAsia="Aptos" w:cs="Aptos"/>
          <w:noProof w:val="0"/>
          <w:sz w:val="24"/>
          <w:szCs w:val="24"/>
          <w:lang w:val="en-US"/>
        </w:rPr>
        <w:t>, 50(4), pp. 370–396.</w:t>
      </w:r>
    </w:p>
    <w:p w:rsidR="6B399542" w:rsidP="606DDB8C" w:rsidRDefault="6B399542" w14:paraId="50D0CFDF" w14:textId="74BA748E">
      <w:pPr>
        <w:spacing w:before="240" w:beforeAutospacing="off" w:after="240" w:afterAutospacing="off"/>
      </w:pPr>
      <w:r w:rsidRPr="606DDB8C" w:rsidR="6B399542">
        <w:rPr>
          <w:rFonts w:ascii="Aptos" w:hAnsi="Aptos" w:eastAsia="Aptos" w:cs="Aptos"/>
          <w:noProof w:val="0"/>
          <w:sz w:val="24"/>
          <w:szCs w:val="24"/>
          <w:lang w:val="en-US"/>
        </w:rPr>
        <w:t xml:space="preserve">Social model of health (no author) (n.d.). </w:t>
      </w:r>
      <w:r w:rsidRPr="606DDB8C" w:rsidR="6B399542">
        <w:rPr>
          <w:rFonts w:ascii="Aptos" w:hAnsi="Aptos" w:eastAsia="Aptos" w:cs="Aptos"/>
          <w:i w:val="1"/>
          <w:iCs w:val="1"/>
          <w:noProof w:val="0"/>
          <w:sz w:val="24"/>
          <w:szCs w:val="24"/>
          <w:lang w:val="en-US"/>
        </w:rPr>
        <w:t>World Health Organization</w:t>
      </w:r>
      <w:r w:rsidRPr="606DDB8C" w:rsidR="6B399542">
        <w:rPr>
          <w:rFonts w:ascii="Aptos" w:hAnsi="Aptos" w:eastAsia="Aptos" w:cs="Aptos"/>
          <w:noProof w:val="0"/>
          <w:sz w:val="24"/>
          <w:szCs w:val="24"/>
          <w:lang w:val="en-US"/>
        </w:rPr>
        <w:t xml:space="preserve">. Available at: </w:t>
      </w:r>
      <w:hyperlink r:id="R7da01b633407473f">
        <w:r w:rsidRPr="606DDB8C" w:rsidR="6B399542">
          <w:rPr>
            <w:rStyle w:val="Hyperlink"/>
            <w:rFonts w:ascii="Aptos" w:hAnsi="Aptos" w:eastAsia="Aptos" w:cs="Aptos"/>
            <w:noProof w:val="0"/>
            <w:sz w:val="24"/>
            <w:szCs w:val="24"/>
            <w:lang w:val="en-US"/>
          </w:rPr>
          <w:t>https://www.who.int/</w:t>
        </w:r>
      </w:hyperlink>
      <w:r w:rsidRPr="606DDB8C" w:rsidR="6B399542">
        <w:rPr>
          <w:rFonts w:ascii="Aptos" w:hAnsi="Aptos" w:eastAsia="Aptos" w:cs="Aptos"/>
          <w:noProof w:val="0"/>
          <w:sz w:val="24"/>
          <w:szCs w:val="24"/>
          <w:lang w:val="en-US"/>
        </w:rPr>
        <w:t xml:space="preserve"> (Accessed: [insert date]).</w:t>
      </w:r>
    </w:p>
    <w:p w:rsidR="606DDB8C" w:rsidRDefault="606DDB8C" w14:paraId="5A0B1D3E" w14:textId="2828AA55"/>
    <w:p w:rsidR="606DDB8C" w:rsidP="606DDB8C" w:rsidRDefault="606DDB8C" w14:paraId="40F0F457" w14:textId="27CB5842">
      <w:pPr>
        <w:pStyle w:val="Normal"/>
      </w:pPr>
    </w:p>
    <w:p w:rsidR="606DDB8C" w:rsidP="606DDB8C" w:rsidRDefault="606DDB8C" w14:paraId="567568FC" w14:textId="054EDFA7">
      <w:pPr>
        <w:pStyle w:val="Normal"/>
      </w:pPr>
    </w:p>
    <w:p w:rsidR="606DDB8C" w:rsidP="606DDB8C" w:rsidRDefault="606DDB8C" w14:paraId="44370FFF" w14:textId="71166218">
      <w:pPr>
        <w:pStyle w:val="Normal"/>
      </w:pPr>
    </w:p>
    <w:p w:rsidR="606DDB8C" w:rsidP="606DDB8C" w:rsidRDefault="606DDB8C" w14:paraId="2D39EDC3" w14:textId="48FF3619">
      <w:pPr>
        <w:pStyle w:val="Normal"/>
      </w:pPr>
    </w:p>
    <w:p w:rsidR="606DDB8C" w:rsidP="606DDB8C" w:rsidRDefault="606DDB8C" w14:paraId="7EC85E22" w14:textId="629C2064">
      <w:pPr>
        <w:pStyle w:val="Normal"/>
      </w:pPr>
    </w:p>
    <w:p w:rsidR="606DDB8C" w:rsidP="606DDB8C" w:rsidRDefault="606DDB8C" w14:paraId="59B79D3C" w14:textId="5FCF344E">
      <w:pPr>
        <w:pStyle w:val="Normal"/>
      </w:pPr>
    </w:p>
    <w:p w:rsidR="606DDB8C" w:rsidP="606DDB8C" w:rsidRDefault="606DDB8C" w14:paraId="412CD12A" w14:textId="289BF2F5">
      <w:pPr>
        <w:pStyle w:val="Normal"/>
      </w:pPr>
    </w:p>
    <w:p w:rsidR="606DDB8C" w:rsidP="606DDB8C" w:rsidRDefault="606DDB8C" w14:paraId="4E81B43B" w14:textId="3FFB07CB">
      <w:pPr>
        <w:pStyle w:val="Normal"/>
      </w:pPr>
    </w:p>
    <w:p w:rsidR="606DDB8C" w:rsidP="606DDB8C" w:rsidRDefault="606DDB8C" w14:paraId="664032C3" w14:textId="0FC93139">
      <w:pPr>
        <w:pStyle w:val="Normal"/>
      </w:pPr>
    </w:p>
    <w:p w:rsidR="606DDB8C" w:rsidP="606DDB8C" w:rsidRDefault="606DDB8C" w14:paraId="610DBAFD" w14:textId="00E5DF90">
      <w:pPr>
        <w:pStyle w:val="Normal"/>
      </w:pPr>
    </w:p>
    <w:p w:rsidR="606DDB8C" w:rsidP="606DDB8C" w:rsidRDefault="606DDB8C" w14:paraId="64D0E2FC" w14:textId="3195532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f6efe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2d3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395bf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5ef5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123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82d58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740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f99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85b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7ce8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e77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74d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b904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dc5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250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f9b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296BD6"/>
    <w:rsid w:val="01602D82"/>
    <w:rsid w:val="0210DCE2"/>
    <w:rsid w:val="02463103"/>
    <w:rsid w:val="025CCBC1"/>
    <w:rsid w:val="02F22012"/>
    <w:rsid w:val="059EF776"/>
    <w:rsid w:val="0702CEC6"/>
    <w:rsid w:val="0710A4CB"/>
    <w:rsid w:val="072FFA0E"/>
    <w:rsid w:val="07B399D4"/>
    <w:rsid w:val="0B37BD2B"/>
    <w:rsid w:val="0D762132"/>
    <w:rsid w:val="0E589D90"/>
    <w:rsid w:val="0FF0FA75"/>
    <w:rsid w:val="10A459E6"/>
    <w:rsid w:val="13C6F7BA"/>
    <w:rsid w:val="13CE0BB3"/>
    <w:rsid w:val="13D91AA5"/>
    <w:rsid w:val="144D40B6"/>
    <w:rsid w:val="1621A3FC"/>
    <w:rsid w:val="184386F7"/>
    <w:rsid w:val="18650063"/>
    <w:rsid w:val="19768337"/>
    <w:rsid w:val="1AA38C68"/>
    <w:rsid w:val="1B2C734B"/>
    <w:rsid w:val="1C77F36F"/>
    <w:rsid w:val="1D963A0E"/>
    <w:rsid w:val="217FF3D5"/>
    <w:rsid w:val="22BDCE63"/>
    <w:rsid w:val="22E76EED"/>
    <w:rsid w:val="2358176E"/>
    <w:rsid w:val="2403670D"/>
    <w:rsid w:val="25278133"/>
    <w:rsid w:val="25E31BB4"/>
    <w:rsid w:val="28C0C612"/>
    <w:rsid w:val="29BD20E1"/>
    <w:rsid w:val="2D252C9A"/>
    <w:rsid w:val="32EDF8CD"/>
    <w:rsid w:val="338C3EE7"/>
    <w:rsid w:val="33DC9A6C"/>
    <w:rsid w:val="340B2342"/>
    <w:rsid w:val="352137F8"/>
    <w:rsid w:val="36B368E2"/>
    <w:rsid w:val="3739DEB4"/>
    <w:rsid w:val="38195AAE"/>
    <w:rsid w:val="397E37FE"/>
    <w:rsid w:val="399192F4"/>
    <w:rsid w:val="39B2F85F"/>
    <w:rsid w:val="3A39D8A6"/>
    <w:rsid w:val="3C21C4C3"/>
    <w:rsid w:val="3C409F80"/>
    <w:rsid w:val="3D962020"/>
    <w:rsid w:val="3DFCEE15"/>
    <w:rsid w:val="3EEED686"/>
    <w:rsid w:val="40371493"/>
    <w:rsid w:val="4057C76B"/>
    <w:rsid w:val="40BE45A9"/>
    <w:rsid w:val="40CEB6D0"/>
    <w:rsid w:val="43296BD6"/>
    <w:rsid w:val="435FFF37"/>
    <w:rsid w:val="436E396D"/>
    <w:rsid w:val="4820CF93"/>
    <w:rsid w:val="49769621"/>
    <w:rsid w:val="4A319825"/>
    <w:rsid w:val="4EA8774B"/>
    <w:rsid w:val="50EE66BB"/>
    <w:rsid w:val="5157C4BE"/>
    <w:rsid w:val="52431327"/>
    <w:rsid w:val="545EFCDF"/>
    <w:rsid w:val="549BD77E"/>
    <w:rsid w:val="55FFEBD7"/>
    <w:rsid w:val="5736AF51"/>
    <w:rsid w:val="57BAE151"/>
    <w:rsid w:val="59648C8F"/>
    <w:rsid w:val="5986A28B"/>
    <w:rsid w:val="59CCBA70"/>
    <w:rsid w:val="59D1D697"/>
    <w:rsid w:val="5A015ED5"/>
    <w:rsid w:val="5A640E65"/>
    <w:rsid w:val="5AE26C01"/>
    <w:rsid w:val="5B1153D3"/>
    <w:rsid w:val="5B584651"/>
    <w:rsid w:val="5C63F7B0"/>
    <w:rsid w:val="5CA90A71"/>
    <w:rsid w:val="5E853864"/>
    <w:rsid w:val="5F07F3F9"/>
    <w:rsid w:val="5FD5EB0C"/>
    <w:rsid w:val="5FDE4E44"/>
    <w:rsid w:val="606DDB8C"/>
    <w:rsid w:val="60D782FF"/>
    <w:rsid w:val="657E4F16"/>
    <w:rsid w:val="659C331F"/>
    <w:rsid w:val="67FC22F7"/>
    <w:rsid w:val="6B399542"/>
    <w:rsid w:val="6C5F2096"/>
    <w:rsid w:val="6D38DC6D"/>
    <w:rsid w:val="6F88B864"/>
    <w:rsid w:val="72A0244C"/>
    <w:rsid w:val="72A87361"/>
    <w:rsid w:val="739E6AE7"/>
    <w:rsid w:val="74C5DB9E"/>
    <w:rsid w:val="7648739A"/>
    <w:rsid w:val="76BECCDE"/>
    <w:rsid w:val="76F406BF"/>
    <w:rsid w:val="7BF862C3"/>
    <w:rsid w:val="7CA0D574"/>
    <w:rsid w:val="7D793C9F"/>
    <w:rsid w:val="7DB74175"/>
    <w:rsid w:val="7F538095"/>
    <w:rsid w:val="7F6663C3"/>
    <w:rsid w:val="7F8011E4"/>
    <w:rsid w:val="7F99F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96BD6"/>
  <w15:chartTrackingRefBased/>
  <w15:docId w15:val="{1A2C66F4-6D1E-4F19-A7B7-A3CE4C614D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6DDB8C"/>
    <w:pPr>
      <w:spacing/>
      <w:ind w:left="720"/>
      <w:contextualSpacing/>
    </w:pPr>
  </w:style>
  <w:style w:type="character" w:styleId="Hyperlink">
    <w:uiPriority w:val="99"/>
    <w:name w:val="Hyperlink"/>
    <w:basedOn w:val="DefaultParagraphFont"/>
    <w:unhideWhenUsed/>
    <w:rsid w:val="606DDB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ho.int/" TargetMode="External" Id="R7da01b633407473f" /><Relationship Type="http://schemas.openxmlformats.org/officeDocument/2006/relationships/numbering" Target="numbering.xml" Id="Ra37a547118fd42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2025-11-16T00:14:37.0773307Z</dcterms:created>
  <dcterms:modified xsi:type="dcterms:W3CDTF">2025-11-16T22:23:13.7131815Z</dcterms:modified>
  <dc:creator>Nazema Bibi (2333305)</dc:creator>
  <lastModifiedBy>Nazema Bibi (2333305)</lastModifiedBy>
</coreProperties>
</file>