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775243" w14:textId="350D1C17" w:rsidR="005E697E" w:rsidRPr="0037261A" w:rsidRDefault="005E697E" w:rsidP="005E697E">
      <w:pPr>
        <w:jc w:val="center"/>
        <w:rPr>
          <w:rFonts w:ascii="Arial" w:hAnsi="Arial" w:cs="Arial"/>
          <w:b/>
          <w:sz w:val="32"/>
          <w:szCs w:val="32"/>
          <w:u w:val="single"/>
        </w:rPr>
      </w:pPr>
      <w:r w:rsidRPr="0037261A">
        <w:rPr>
          <w:rFonts w:ascii="Arial" w:hAnsi="Arial" w:cs="Arial"/>
          <w:b/>
          <w:sz w:val="32"/>
          <w:szCs w:val="32"/>
          <w:u w:val="single"/>
        </w:rPr>
        <w:t>Analysis of the (given) extract from Hammurabi’s Law Code</w:t>
      </w:r>
    </w:p>
    <w:p w14:paraId="17621BF5" w14:textId="4F635F03" w:rsidR="00D92038" w:rsidRPr="0037261A" w:rsidRDefault="00283DF1" w:rsidP="00982E95">
      <w:pPr>
        <w:rPr>
          <w:rFonts w:ascii="Arial" w:hAnsi="Arial" w:cs="Arial"/>
          <w:sz w:val="26"/>
          <w:szCs w:val="26"/>
        </w:rPr>
      </w:pPr>
      <w:r w:rsidRPr="0037261A">
        <w:rPr>
          <w:rFonts w:ascii="Arial" w:hAnsi="Arial" w:cs="Arial"/>
          <w:sz w:val="26"/>
          <w:szCs w:val="26"/>
        </w:rPr>
        <w:t xml:space="preserve">Hammurabi’s Law Code, is an apparent set of Laws that are thought to have been created/implemented by a ruler named Hammurabi in Babylonia around 1800-1750 BC. The most preserved example of this Code (or Law) is displayed on an 8ft Stella made of black diorite, discovered in </w:t>
      </w:r>
      <w:r w:rsidR="00AB351D" w:rsidRPr="0037261A">
        <w:rPr>
          <w:rFonts w:ascii="Arial" w:hAnsi="Arial" w:cs="Arial"/>
          <w:sz w:val="26"/>
          <w:szCs w:val="26"/>
        </w:rPr>
        <w:t>the southwest of Iran</w:t>
      </w:r>
      <w:r w:rsidRPr="0037261A">
        <w:rPr>
          <w:rFonts w:ascii="Arial" w:hAnsi="Arial" w:cs="Arial"/>
          <w:sz w:val="26"/>
          <w:szCs w:val="26"/>
        </w:rPr>
        <w:t xml:space="preserve"> in 1901, though</w:t>
      </w:r>
      <w:r w:rsidR="00187E3A" w:rsidRPr="0037261A">
        <w:rPr>
          <w:rFonts w:ascii="Arial" w:hAnsi="Arial" w:cs="Arial"/>
          <w:sz w:val="26"/>
          <w:szCs w:val="26"/>
        </w:rPr>
        <w:t>t to have been brought there as plunder by the Elamites in the 12</w:t>
      </w:r>
      <w:r w:rsidR="00187E3A" w:rsidRPr="0037261A">
        <w:rPr>
          <w:rFonts w:ascii="Arial" w:hAnsi="Arial" w:cs="Arial"/>
          <w:sz w:val="26"/>
          <w:szCs w:val="26"/>
          <w:vertAlign w:val="superscript"/>
        </w:rPr>
        <w:t>th</w:t>
      </w:r>
      <w:r w:rsidR="00187E3A" w:rsidRPr="0037261A">
        <w:rPr>
          <w:rFonts w:ascii="Arial" w:hAnsi="Arial" w:cs="Arial"/>
          <w:sz w:val="26"/>
          <w:szCs w:val="26"/>
        </w:rPr>
        <w:t xml:space="preserve"> century,</w:t>
      </w:r>
      <w:r w:rsidRPr="0037261A">
        <w:rPr>
          <w:rFonts w:ascii="Arial" w:hAnsi="Arial" w:cs="Arial"/>
          <w:sz w:val="26"/>
          <w:szCs w:val="26"/>
        </w:rPr>
        <w:t xml:space="preserve"> and is currently on display at the Louvre in Paris.</w:t>
      </w:r>
    </w:p>
    <w:p w14:paraId="51053231" w14:textId="77777777" w:rsidR="00AB351D" w:rsidRPr="0037261A" w:rsidRDefault="00AB351D" w:rsidP="00982E95">
      <w:pPr>
        <w:rPr>
          <w:rFonts w:ascii="Arial" w:hAnsi="Arial" w:cs="Arial"/>
          <w:sz w:val="26"/>
          <w:szCs w:val="26"/>
        </w:rPr>
      </w:pPr>
    </w:p>
    <w:p w14:paraId="3B16F745" w14:textId="56A8C59A" w:rsidR="00AB351D" w:rsidRPr="0037261A" w:rsidRDefault="00AB351D" w:rsidP="00982E95">
      <w:pPr>
        <w:rPr>
          <w:rFonts w:ascii="Arial" w:hAnsi="Arial" w:cs="Arial"/>
          <w:sz w:val="26"/>
          <w:szCs w:val="26"/>
        </w:rPr>
      </w:pPr>
      <w:r w:rsidRPr="0037261A">
        <w:rPr>
          <w:rFonts w:ascii="Arial" w:hAnsi="Arial" w:cs="Arial"/>
          <w:sz w:val="26"/>
          <w:szCs w:val="26"/>
        </w:rPr>
        <w:t>The code itself</w:t>
      </w:r>
      <w:r w:rsidR="004A3B63" w:rsidRPr="0037261A">
        <w:rPr>
          <w:rFonts w:ascii="Arial" w:hAnsi="Arial" w:cs="Arial"/>
          <w:sz w:val="26"/>
          <w:szCs w:val="26"/>
        </w:rPr>
        <w:t xml:space="preserve"> as Lyon suggests</w:t>
      </w:r>
      <w:r w:rsidRPr="0037261A">
        <w:rPr>
          <w:rFonts w:ascii="Arial" w:hAnsi="Arial" w:cs="Arial"/>
          <w:sz w:val="26"/>
          <w:szCs w:val="26"/>
        </w:rPr>
        <w:t xml:space="preserve"> seems to </w:t>
      </w:r>
      <w:r w:rsidR="004A3B63" w:rsidRPr="0037261A">
        <w:rPr>
          <w:rFonts w:ascii="Arial" w:hAnsi="Arial" w:cs="Arial"/>
          <w:sz w:val="26"/>
          <w:szCs w:val="26"/>
        </w:rPr>
        <w:t xml:space="preserve">address </w:t>
      </w:r>
      <w:r w:rsidRPr="0037261A">
        <w:rPr>
          <w:rFonts w:ascii="Arial" w:hAnsi="Arial" w:cs="Arial"/>
          <w:sz w:val="26"/>
          <w:szCs w:val="26"/>
        </w:rPr>
        <w:t>“several obscure titles of classes of persons mentioned in the code, and some of these classes play an important role in society.</w:t>
      </w:r>
      <w:r w:rsidR="004A3B63" w:rsidRPr="0037261A">
        <w:rPr>
          <w:rFonts w:ascii="Arial" w:hAnsi="Arial" w:cs="Arial"/>
          <w:sz w:val="26"/>
          <w:szCs w:val="26"/>
        </w:rPr>
        <w:t>” Implying that the code was intended to send a message to the majority of society at the time.</w:t>
      </w:r>
    </w:p>
    <w:p w14:paraId="7C5EA9E6" w14:textId="77777777" w:rsidR="004A3B63" w:rsidRPr="0037261A" w:rsidRDefault="004A3B63" w:rsidP="00982E95">
      <w:pPr>
        <w:rPr>
          <w:rFonts w:ascii="Arial" w:hAnsi="Arial" w:cs="Arial"/>
          <w:sz w:val="26"/>
          <w:szCs w:val="26"/>
        </w:rPr>
      </w:pPr>
    </w:p>
    <w:p w14:paraId="0D7F372C" w14:textId="4DC8F7C4" w:rsidR="004A3B63" w:rsidRPr="0037261A" w:rsidRDefault="007F03FD" w:rsidP="00982E95">
      <w:pPr>
        <w:rPr>
          <w:rFonts w:ascii="Arial" w:hAnsi="Arial" w:cs="Arial"/>
          <w:sz w:val="26"/>
          <w:szCs w:val="26"/>
        </w:rPr>
      </w:pPr>
      <w:r w:rsidRPr="0037261A">
        <w:rPr>
          <w:rFonts w:ascii="Arial" w:hAnsi="Arial" w:cs="Arial"/>
          <w:sz w:val="26"/>
          <w:szCs w:val="26"/>
        </w:rPr>
        <w:t xml:space="preserve">From most sources I found, the majority of the individuals who have researched Hammurabi as a historical figure are quite </w:t>
      </w:r>
      <w:r w:rsidR="00555C63">
        <w:rPr>
          <w:rFonts w:ascii="Arial" w:hAnsi="Arial" w:cs="Arial"/>
          <w:sz w:val="26"/>
          <w:szCs w:val="26"/>
        </w:rPr>
        <w:t xml:space="preserve">happy to attribute the creation </w:t>
      </w:r>
      <w:r w:rsidRPr="0037261A">
        <w:rPr>
          <w:rFonts w:ascii="Arial" w:hAnsi="Arial" w:cs="Arial"/>
          <w:sz w:val="26"/>
          <w:szCs w:val="26"/>
        </w:rPr>
        <w:t>of the law as it appears on the stela, directly to him and his reign,</w:t>
      </w:r>
      <w:r w:rsidR="0067524F" w:rsidRPr="0037261A">
        <w:rPr>
          <w:rFonts w:ascii="Arial" w:hAnsi="Arial" w:cs="Arial"/>
          <w:sz w:val="26"/>
          <w:szCs w:val="26"/>
        </w:rPr>
        <w:t xml:space="preserve"> however earlier examples of a cod</w:t>
      </w:r>
      <w:r w:rsidR="00555C63">
        <w:rPr>
          <w:rFonts w:ascii="Arial" w:hAnsi="Arial" w:cs="Arial"/>
          <w:sz w:val="26"/>
          <w:szCs w:val="26"/>
        </w:rPr>
        <w:t>e</w:t>
      </w:r>
      <w:r w:rsidR="0067524F" w:rsidRPr="0037261A">
        <w:rPr>
          <w:rFonts w:ascii="Arial" w:hAnsi="Arial" w:cs="Arial"/>
          <w:sz w:val="26"/>
          <w:szCs w:val="26"/>
        </w:rPr>
        <w:t xml:space="preserve"> or law have been discovered from earlier periods in the same location.</w:t>
      </w:r>
    </w:p>
    <w:p w14:paraId="35AA7F15" w14:textId="2F4FAA0C" w:rsidR="00E25F62" w:rsidRPr="0037261A" w:rsidRDefault="0067524F" w:rsidP="00982E95">
      <w:pPr>
        <w:rPr>
          <w:rFonts w:ascii="Arial" w:hAnsi="Arial" w:cs="Arial"/>
          <w:sz w:val="26"/>
          <w:szCs w:val="26"/>
        </w:rPr>
      </w:pPr>
      <w:r w:rsidRPr="0037261A">
        <w:rPr>
          <w:rFonts w:ascii="Arial" w:hAnsi="Arial" w:cs="Arial"/>
          <w:sz w:val="26"/>
          <w:szCs w:val="26"/>
        </w:rPr>
        <w:t xml:space="preserve">The oldest of these is the codex of Ur-Nammu the king of Ur – dated to around 2050 BC, which clearly dealt with similar issues as Hammurabi’s </w:t>
      </w:r>
      <w:r w:rsidRPr="0037261A">
        <w:rPr>
          <w:rFonts w:ascii="Arial" w:hAnsi="Arial" w:cs="Arial"/>
          <w:sz w:val="26"/>
          <w:szCs w:val="26"/>
        </w:rPr>
        <w:lastRenderedPageBreak/>
        <w:t xml:space="preserve">Laws. </w:t>
      </w:r>
      <w:r w:rsidR="00E25F62" w:rsidRPr="0037261A">
        <w:rPr>
          <w:rFonts w:ascii="Arial" w:hAnsi="Arial" w:cs="Arial"/>
          <w:sz w:val="26"/>
          <w:szCs w:val="26"/>
        </w:rPr>
        <w:t>Its</w:t>
      </w:r>
      <w:r w:rsidRPr="0037261A">
        <w:rPr>
          <w:rFonts w:ascii="Arial" w:hAnsi="Arial" w:cs="Arial"/>
          <w:sz w:val="26"/>
          <w:szCs w:val="26"/>
        </w:rPr>
        <w:t xml:space="preserve"> layout and style is very similar</w:t>
      </w:r>
      <w:r w:rsidR="00E25F62" w:rsidRPr="0037261A">
        <w:rPr>
          <w:rFonts w:ascii="Arial" w:hAnsi="Arial" w:cs="Arial"/>
          <w:sz w:val="26"/>
          <w:szCs w:val="26"/>
        </w:rPr>
        <w:t>. They lay out what is acceptable for women, children, men, slaves, people of all walks of life, and explore quite complex ideas, such as compensatory measures for workers, as discussed by Finklestein in his article analysing Ur-Nammu’s codex (Finklestein, 1968).</w:t>
      </w:r>
    </w:p>
    <w:p w14:paraId="10F241F4" w14:textId="5D2C0119" w:rsidR="00E25F62" w:rsidRPr="0037261A" w:rsidRDefault="00E25F62" w:rsidP="00982E95">
      <w:pPr>
        <w:rPr>
          <w:rFonts w:ascii="Arial" w:hAnsi="Arial" w:cs="Arial"/>
          <w:sz w:val="26"/>
          <w:szCs w:val="26"/>
        </w:rPr>
      </w:pPr>
      <w:r w:rsidRPr="0037261A">
        <w:rPr>
          <w:rFonts w:ascii="Arial" w:hAnsi="Arial" w:cs="Arial"/>
          <w:sz w:val="26"/>
          <w:szCs w:val="26"/>
        </w:rPr>
        <w:t xml:space="preserve">Another Code or Law we have evidence for is </w:t>
      </w:r>
      <w:r w:rsidR="00D46E2D" w:rsidRPr="0037261A">
        <w:rPr>
          <w:rFonts w:ascii="Arial" w:hAnsi="Arial" w:cs="Arial"/>
          <w:sz w:val="26"/>
          <w:szCs w:val="26"/>
        </w:rPr>
        <w:t>the codex of codex of Lipit-Ishtar of Isin, thought to be dated to around 1870 BC, the period just before Hammurabi’s code is first mentioned. As Steele argues in his article, there is much debate around which came first Hammurabi or Lipit-Ishtar (Steele, 1947). I believe that it is perfectly natural to assume that these laws/codex’s/Code’s bled into each other somewhat over a period of time. That no individual ruler was solely responsible for bringing law and order to their society, there had been an ongoing attempt at regulating life for a long time. Seemly by the time Hammurabi</w:t>
      </w:r>
      <w:r w:rsidR="00A356D5" w:rsidRPr="0037261A">
        <w:rPr>
          <w:rFonts w:ascii="Arial" w:hAnsi="Arial" w:cs="Arial"/>
          <w:sz w:val="26"/>
          <w:szCs w:val="26"/>
        </w:rPr>
        <w:t xml:space="preserve"> came to power</w:t>
      </w:r>
      <w:r w:rsidR="00D46E2D" w:rsidRPr="0037261A">
        <w:rPr>
          <w:rFonts w:ascii="Arial" w:hAnsi="Arial" w:cs="Arial"/>
          <w:sz w:val="26"/>
          <w:szCs w:val="26"/>
        </w:rPr>
        <w:t>, he has managed to establish th</w:t>
      </w:r>
      <w:r w:rsidR="00A356D5" w:rsidRPr="0037261A">
        <w:rPr>
          <w:rFonts w:ascii="Arial" w:hAnsi="Arial" w:cs="Arial"/>
          <w:sz w:val="26"/>
          <w:szCs w:val="26"/>
        </w:rPr>
        <w:t>e Law to the extent that it permeated local architecture and society, as we can see from the beautiful stela on which the laws were first found.</w:t>
      </w:r>
    </w:p>
    <w:p w14:paraId="14CB7AA0" w14:textId="13F55FBA" w:rsidR="00557426" w:rsidRPr="0037261A" w:rsidRDefault="00557426" w:rsidP="00982E95">
      <w:pPr>
        <w:rPr>
          <w:rFonts w:ascii="Arial" w:hAnsi="Arial" w:cs="Arial"/>
          <w:sz w:val="26"/>
          <w:szCs w:val="26"/>
        </w:rPr>
      </w:pPr>
      <w:r w:rsidRPr="0037261A">
        <w:rPr>
          <w:rFonts w:ascii="Arial" w:hAnsi="Arial" w:cs="Arial"/>
          <w:sz w:val="26"/>
          <w:szCs w:val="26"/>
        </w:rPr>
        <w:t>The first thing I’d like to look at is the presence of bias in the text that has been written. Clearly there is bias towards the Male, as the Female role was subservient to that of the male counterpart. However the Law does seem to strive towards giving the woman a hierarchy to aspire too, and certainly it is the mother who is (according to th</w:t>
      </w:r>
      <w:r w:rsidR="00555C63">
        <w:rPr>
          <w:rFonts w:ascii="Arial" w:hAnsi="Arial" w:cs="Arial"/>
          <w:sz w:val="26"/>
          <w:szCs w:val="26"/>
        </w:rPr>
        <w:t>e extract we have been given)</w:t>
      </w:r>
      <w:r w:rsidRPr="0037261A">
        <w:rPr>
          <w:rFonts w:ascii="Arial" w:hAnsi="Arial" w:cs="Arial"/>
          <w:sz w:val="26"/>
          <w:szCs w:val="26"/>
        </w:rPr>
        <w:t xml:space="preserve"> given the greater respect, above say children. In this extract children are strangely missing from the text. The value seems to surround that of a fertile woman </w:t>
      </w:r>
      <w:r w:rsidRPr="0037261A">
        <w:rPr>
          <w:rFonts w:ascii="Arial" w:hAnsi="Arial" w:cs="Arial"/>
          <w:sz w:val="26"/>
          <w:szCs w:val="26"/>
        </w:rPr>
        <w:lastRenderedPageBreak/>
        <w:t xml:space="preserve">being secure in her position in society. So, despite it clearly being Patriarchal society, women </w:t>
      </w:r>
      <w:r w:rsidR="00687125" w:rsidRPr="0037261A">
        <w:rPr>
          <w:rFonts w:ascii="Arial" w:hAnsi="Arial" w:cs="Arial"/>
          <w:sz w:val="26"/>
          <w:szCs w:val="26"/>
        </w:rPr>
        <w:t>are still seemingly valued above</w:t>
      </w:r>
      <w:r w:rsidRPr="0037261A">
        <w:rPr>
          <w:rFonts w:ascii="Arial" w:hAnsi="Arial" w:cs="Arial"/>
          <w:sz w:val="26"/>
          <w:szCs w:val="26"/>
        </w:rPr>
        <w:t xml:space="preserve"> even Male children.</w:t>
      </w:r>
      <w:r w:rsidR="005F5351" w:rsidRPr="0037261A">
        <w:rPr>
          <w:rFonts w:ascii="Arial" w:hAnsi="Arial" w:cs="Arial"/>
          <w:sz w:val="26"/>
          <w:szCs w:val="26"/>
        </w:rPr>
        <w:t xml:space="preserve"> I am sure however there is bias in relating this Law solely to Hammurabi, as it is highly unlikely </w:t>
      </w:r>
      <w:r w:rsidR="00555C63">
        <w:rPr>
          <w:rFonts w:ascii="Arial" w:hAnsi="Arial" w:cs="Arial"/>
          <w:sz w:val="26"/>
          <w:szCs w:val="26"/>
        </w:rPr>
        <w:t xml:space="preserve">that </w:t>
      </w:r>
      <w:r w:rsidR="005F5351" w:rsidRPr="0037261A">
        <w:rPr>
          <w:rFonts w:ascii="Arial" w:hAnsi="Arial" w:cs="Arial"/>
          <w:sz w:val="26"/>
          <w:szCs w:val="26"/>
        </w:rPr>
        <w:t xml:space="preserve">there was </w:t>
      </w:r>
      <w:r w:rsidR="00555C63">
        <w:rPr>
          <w:rFonts w:ascii="Arial" w:hAnsi="Arial" w:cs="Arial"/>
          <w:sz w:val="26"/>
          <w:szCs w:val="26"/>
        </w:rPr>
        <w:t>no</w:t>
      </w:r>
      <w:r w:rsidR="005F5351" w:rsidRPr="0037261A">
        <w:rPr>
          <w:rFonts w:ascii="Arial" w:hAnsi="Arial" w:cs="Arial"/>
          <w:sz w:val="26"/>
          <w:szCs w:val="26"/>
        </w:rPr>
        <w:t xml:space="preserve"> system of law in place when Hammurabi came into his position.</w:t>
      </w:r>
    </w:p>
    <w:p w14:paraId="49F322A5" w14:textId="47661705" w:rsidR="00874BAD" w:rsidRPr="0037261A" w:rsidRDefault="00874BAD" w:rsidP="00982E95">
      <w:pPr>
        <w:rPr>
          <w:rFonts w:ascii="Arial" w:hAnsi="Arial" w:cs="Arial"/>
          <w:sz w:val="26"/>
          <w:szCs w:val="26"/>
        </w:rPr>
      </w:pPr>
      <w:r w:rsidRPr="0037261A">
        <w:rPr>
          <w:rFonts w:ascii="Arial" w:hAnsi="Arial" w:cs="Arial"/>
          <w:sz w:val="26"/>
          <w:szCs w:val="26"/>
        </w:rPr>
        <w:t xml:space="preserve">How reliable the Hammurabi’s code we find on the </w:t>
      </w:r>
      <w:r w:rsidR="0037261A" w:rsidRPr="0037261A">
        <w:rPr>
          <w:rFonts w:ascii="Arial" w:hAnsi="Arial" w:cs="Arial"/>
          <w:sz w:val="26"/>
          <w:szCs w:val="26"/>
        </w:rPr>
        <w:t>stela</w:t>
      </w:r>
      <w:r w:rsidR="00555C63">
        <w:rPr>
          <w:rFonts w:ascii="Arial" w:hAnsi="Arial" w:cs="Arial"/>
          <w:sz w:val="26"/>
          <w:szCs w:val="26"/>
        </w:rPr>
        <w:t xml:space="preserve"> is,</w:t>
      </w:r>
      <w:r w:rsidRPr="0037261A">
        <w:rPr>
          <w:rFonts w:ascii="Arial" w:hAnsi="Arial" w:cs="Arial"/>
          <w:sz w:val="26"/>
          <w:szCs w:val="26"/>
        </w:rPr>
        <w:t xml:space="preserve"> is debatable. Given that there have been laws used in that part of the world prior to Hammurabi and that the evidence we have of the code is predominantly from a Stella clearly made towards the end of his rule, could the reality of the practice and enforcement of these laws be more theoretical and propaganda based? Claire explains on the Louvre website that </w:t>
      </w:r>
      <w:r w:rsidR="005C371F" w:rsidRPr="0037261A">
        <w:rPr>
          <w:rFonts w:ascii="Arial" w:hAnsi="Arial" w:cs="Arial"/>
          <w:sz w:val="26"/>
          <w:szCs w:val="26"/>
        </w:rPr>
        <w:t xml:space="preserve">Hammurabi’s law wasn’t just </w:t>
      </w:r>
      <w:r w:rsidRPr="0037261A">
        <w:rPr>
          <w:rFonts w:ascii="Arial" w:hAnsi="Arial" w:cs="Arial"/>
          <w:sz w:val="26"/>
          <w:szCs w:val="26"/>
        </w:rPr>
        <w:t>‘a code of the rules and prescriptions established by a sovereign authority</w:t>
      </w:r>
      <w:r w:rsidR="0037261A" w:rsidRPr="0037261A">
        <w:rPr>
          <w:rFonts w:ascii="Arial" w:hAnsi="Arial" w:cs="Arial"/>
          <w:sz w:val="26"/>
          <w:szCs w:val="26"/>
        </w:rPr>
        <w:t>… (</w:t>
      </w:r>
      <w:r w:rsidRPr="0037261A">
        <w:rPr>
          <w:rFonts w:ascii="Arial" w:hAnsi="Arial" w:cs="Arial"/>
          <w:sz w:val="26"/>
          <w:szCs w:val="26"/>
        </w:rPr>
        <w:t>but)…a political te</w:t>
      </w:r>
      <w:r w:rsidR="005C371F" w:rsidRPr="0037261A">
        <w:rPr>
          <w:rFonts w:ascii="Arial" w:hAnsi="Arial" w:cs="Arial"/>
          <w:sz w:val="26"/>
          <w:szCs w:val="26"/>
        </w:rPr>
        <w:t>stament aimed at future princes, for whom it offered a model of wisdom and equity’ (Claire, Accessed 09/11/17)</w:t>
      </w:r>
    </w:p>
    <w:p w14:paraId="5C90260B" w14:textId="63291C78" w:rsidR="005F5351" w:rsidRPr="0037261A" w:rsidRDefault="00555C63" w:rsidP="00982E95">
      <w:pPr>
        <w:rPr>
          <w:rFonts w:ascii="Arial" w:hAnsi="Arial" w:cs="Arial"/>
          <w:sz w:val="26"/>
          <w:szCs w:val="26"/>
        </w:rPr>
      </w:pPr>
      <w:r>
        <w:rPr>
          <w:rFonts w:ascii="Arial" w:hAnsi="Arial" w:cs="Arial"/>
          <w:sz w:val="26"/>
          <w:szCs w:val="26"/>
        </w:rPr>
        <w:t>There may be t</w:t>
      </w:r>
      <w:r w:rsidR="005F5351" w:rsidRPr="0037261A">
        <w:rPr>
          <w:rFonts w:ascii="Arial" w:hAnsi="Arial" w:cs="Arial"/>
          <w:sz w:val="26"/>
          <w:szCs w:val="26"/>
        </w:rPr>
        <w:t xml:space="preserve">ranslator bias. Many of the words used in the translation of Hammurabi’s code are quite ambiguous. Take for example the use of the word ‘free’ when referring to a ‘freeman’ in the text. In our current culture and language there are 18 different variations on the word free, each meaning and relating </w:t>
      </w:r>
      <w:r>
        <w:rPr>
          <w:rFonts w:ascii="Arial" w:hAnsi="Arial" w:cs="Arial"/>
          <w:sz w:val="26"/>
          <w:szCs w:val="26"/>
        </w:rPr>
        <w:t xml:space="preserve">to </w:t>
      </w:r>
      <w:r w:rsidR="005F5351" w:rsidRPr="0037261A">
        <w:rPr>
          <w:rFonts w:ascii="Arial" w:hAnsi="Arial" w:cs="Arial"/>
          <w:sz w:val="26"/>
          <w:szCs w:val="26"/>
        </w:rPr>
        <w:t>a slightly different thing (Thesaurus, 2017). Baring this in mind, it is highly unlikely all the language translated from the original stela is correct and in keeping within the meaning of the culture of ancient Babylonia. However I don’t criticise this as there is no real way for us to know about social uses of language, beyond translating and working with texts that remain.</w:t>
      </w:r>
    </w:p>
    <w:p w14:paraId="27B80880" w14:textId="77777777" w:rsidR="00A10D98" w:rsidRPr="0037261A" w:rsidRDefault="00A10D98" w:rsidP="00982E95">
      <w:pPr>
        <w:rPr>
          <w:rFonts w:ascii="Arial" w:hAnsi="Arial" w:cs="Arial"/>
          <w:sz w:val="26"/>
          <w:szCs w:val="26"/>
        </w:rPr>
      </w:pPr>
    </w:p>
    <w:p w14:paraId="1B6C2C03" w14:textId="3E934398" w:rsidR="00A10D98" w:rsidRPr="0037261A" w:rsidRDefault="00A10D98" w:rsidP="00982E95">
      <w:pPr>
        <w:rPr>
          <w:rFonts w:ascii="Arial" w:hAnsi="Arial" w:cs="Arial"/>
          <w:sz w:val="26"/>
          <w:szCs w:val="26"/>
        </w:rPr>
      </w:pPr>
      <w:r w:rsidRPr="0037261A">
        <w:rPr>
          <w:rFonts w:ascii="Arial" w:hAnsi="Arial" w:cs="Arial"/>
          <w:sz w:val="26"/>
          <w:szCs w:val="26"/>
        </w:rPr>
        <w:t xml:space="preserve">De Blois and VanderSpek in their book ‘An Introduction to the Ancient World’ discuss how the coming together of the Sumerian and Akkadian peoples would have been a time of conflict, although followed by a period of great wealth and power (De Bloise, VanderSpek, 1997). To me the fruition of Hammurabi’s code is a clear indicator of a big push towards peace post-turmoil. In a newly formed but powerful society, with mixed ancestry and peoples, it would have been imperative to keep a certain amount of control on the streets and a set of rules or laws that cover most individuals in society look like the first step towards championing peace. However the only way to secure that these laws are adhered too is if you can enforce said laws. It may be that Hammurabi was simply the first of a long line of rulers trying to impose justice and peace among his people who had the knowhow and the power to promote his laws in such a way. </w:t>
      </w:r>
    </w:p>
    <w:p w14:paraId="486AA6F1" w14:textId="77E97863" w:rsidR="00DD7D46" w:rsidRPr="0037261A" w:rsidRDefault="00DD7D46" w:rsidP="00982E95">
      <w:pPr>
        <w:rPr>
          <w:rFonts w:ascii="Arial" w:hAnsi="Arial" w:cs="Arial"/>
          <w:sz w:val="26"/>
          <w:szCs w:val="26"/>
        </w:rPr>
      </w:pPr>
      <w:r w:rsidRPr="0037261A">
        <w:rPr>
          <w:rFonts w:ascii="Arial" w:hAnsi="Arial" w:cs="Arial"/>
          <w:sz w:val="26"/>
          <w:szCs w:val="26"/>
        </w:rPr>
        <w:t>Women in society although clearly seen in some respects as property, which is made more than clear by the mention of women throughout Hammurabi’s law as almost objects bellowing to men. However</w:t>
      </w:r>
      <w:r w:rsidR="00555C63">
        <w:rPr>
          <w:rFonts w:ascii="Arial" w:hAnsi="Arial" w:cs="Arial"/>
          <w:sz w:val="26"/>
          <w:szCs w:val="26"/>
        </w:rPr>
        <w:t xml:space="preserve"> if they are seen as objects, they are seen as objects </w:t>
      </w:r>
      <w:r w:rsidRPr="0037261A">
        <w:rPr>
          <w:rFonts w:ascii="Arial" w:hAnsi="Arial" w:cs="Arial"/>
          <w:sz w:val="26"/>
          <w:szCs w:val="26"/>
        </w:rPr>
        <w:t xml:space="preserve">with feelings and choices. Their choices are severely limited compared to men but there is a clear respect in particular to women who are seen as fertile/bare children. Most references to women owning property or goods, are in relation to their ability to conceive and be a good wife. They maintain custody of the children, even if the father has taken a new wife, the inheritance goes to them directly and neither children nor family are </w:t>
      </w:r>
      <w:r w:rsidRPr="0037261A">
        <w:rPr>
          <w:rFonts w:ascii="Arial" w:hAnsi="Arial" w:cs="Arial"/>
          <w:sz w:val="26"/>
          <w:szCs w:val="26"/>
        </w:rPr>
        <w:lastRenderedPageBreak/>
        <w:t>allowed to make a claim. There is a quiet respect for women and what they bring to society. The Laws read almost like a reward scheme for fertile well behaved women. From this it is clear that female value is derived directly in relation to what and how they provide to the patriarchal society around them.</w:t>
      </w:r>
    </w:p>
    <w:p w14:paraId="68A518FC" w14:textId="04ED1402" w:rsidR="00DD7D46" w:rsidRPr="0037261A" w:rsidRDefault="00DD7D46" w:rsidP="00982E95">
      <w:pPr>
        <w:rPr>
          <w:rFonts w:ascii="Arial" w:hAnsi="Arial" w:cs="Arial"/>
          <w:sz w:val="26"/>
          <w:szCs w:val="26"/>
        </w:rPr>
      </w:pPr>
      <w:r w:rsidRPr="0037261A">
        <w:rPr>
          <w:rFonts w:ascii="Arial" w:hAnsi="Arial" w:cs="Arial"/>
          <w:sz w:val="26"/>
          <w:szCs w:val="26"/>
        </w:rPr>
        <w:t xml:space="preserve">Given the right behaviour, Law 137 makes it clear that woman have access to considerable wealth and freedom once that roll is seemingly filled. As Budin mentions regarding burials from the period “The woman was …buried with a diadem and golden </w:t>
      </w:r>
      <w:r w:rsidR="0037261A" w:rsidRPr="0037261A">
        <w:rPr>
          <w:rFonts w:ascii="Arial" w:hAnsi="Arial" w:cs="Arial"/>
          <w:sz w:val="26"/>
          <w:szCs w:val="26"/>
        </w:rPr>
        <w:t>jewe</w:t>
      </w:r>
      <w:r w:rsidR="0037261A">
        <w:rPr>
          <w:rFonts w:ascii="Arial" w:hAnsi="Arial" w:cs="Arial"/>
          <w:sz w:val="26"/>
          <w:szCs w:val="26"/>
        </w:rPr>
        <w:t>l</w:t>
      </w:r>
      <w:r w:rsidR="0037261A" w:rsidRPr="0037261A">
        <w:rPr>
          <w:rFonts w:ascii="Arial" w:hAnsi="Arial" w:cs="Arial"/>
          <w:sz w:val="26"/>
          <w:szCs w:val="26"/>
        </w:rPr>
        <w:t>lery</w:t>
      </w:r>
      <w:r w:rsidRPr="0037261A">
        <w:rPr>
          <w:rFonts w:ascii="Arial" w:hAnsi="Arial" w:cs="Arial"/>
          <w:sz w:val="26"/>
          <w:szCs w:val="26"/>
        </w:rPr>
        <w:t>…</w:t>
      </w:r>
      <w:r w:rsidR="0037261A" w:rsidRPr="0037261A">
        <w:rPr>
          <w:rFonts w:ascii="Arial" w:hAnsi="Arial" w:cs="Arial"/>
          <w:sz w:val="26"/>
          <w:szCs w:val="26"/>
        </w:rPr>
        <w:t>. (</w:t>
      </w:r>
      <w:proofErr w:type="gramStart"/>
      <w:r w:rsidRPr="0037261A">
        <w:rPr>
          <w:rFonts w:ascii="Arial" w:hAnsi="Arial" w:cs="Arial"/>
          <w:sz w:val="26"/>
          <w:szCs w:val="26"/>
        </w:rPr>
        <w:t>it</w:t>
      </w:r>
      <w:proofErr w:type="gramEnd"/>
      <w:r w:rsidRPr="0037261A">
        <w:rPr>
          <w:rFonts w:ascii="Arial" w:hAnsi="Arial" w:cs="Arial"/>
          <w:sz w:val="26"/>
          <w:szCs w:val="26"/>
        </w:rPr>
        <w:t>)….suggested that she was of great wealth and high status</w:t>
      </w:r>
      <w:r w:rsidR="0037261A" w:rsidRPr="0037261A">
        <w:rPr>
          <w:rFonts w:ascii="Arial" w:hAnsi="Arial" w:cs="Arial"/>
          <w:sz w:val="26"/>
          <w:szCs w:val="26"/>
        </w:rPr>
        <w:t>” (</w:t>
      </w:r>
      <w:r w:rsidRPr="0037261A">
        <w:rPr>
          <w:rFonts w:ascii="Arial" w:hAnsi="Arial" w:cs="Arial"/>
          <w:sz w:val="26"/>
          <w:szCs w:val="26"/>
        </w:rPr>
        <w:t>Budin, S. 2014).</w:t>
      </w:r>
    </w:p>
    <w:p w14:paraId="24F186EF" w14:textId="102F78C0" w:rsidR="00DD7D46" w:rsidRPr="0037261A" w:rsidRDefault="00DD7D46" w:rsidP="00982E95">
      <w:pPr>
        <w:rPr>
          <w:rFonts w:ascii="Arial" w:hAnsi="Arial" w:cs="Arial"/>
          <w:sz w:val="26"/>
          <w:szCs w:val="26"/>
        </w:rPr>
      </w:pPr>
      <w:r w:rsidRPr="0037261A">
        <w:rPr>
          <w:rFonts w:ascii="Arial" w:hAnsi="Arial" w:cs="Arial"/>
          <w:sz w:val="26"/>
          <w:szCs w:val="26"/>
        </w:rPr>
        <w:t xml:space="preserve">Strangely although fertility seems to be important, there is a distinct lack of information on the treatment or life of children in the extract we have been given. </w:t>
      </w:r>
      <w:r w:rsidR="00555C63">
        <w:rPr>
          <w:rFonts w:ascii="Arial" w:hAnsi="Arial" w:cs="Arial"/>
          <w:sz w:val="26"/>
          <w:szCs w:val="26"/>
        </w:rPr>
        <w:t xml:space="preserve">The only mention of them I regarding </w:t>
      </w:r>
      <w:r w:rsidR="009C330A" w:rsidRPr="0037261A">
        <w:rPr>
          <w:rFonts w:ascii="Arial" w:hAnsi="Arial" w:cs="Arial"/>
          <w:sz w:val="26"/>
          <w:szCs w:val="26"/>
        </w:rPr>
        <w:t>what they are not allowed to have and that they stay with their mother if their father no longer wants their mother. There is no mention of preferential treatment to male children, and I am surprised about this</w:t>
      </w:r>
      <w:r w:rsidR="0037261A" w:rsidRPr="0037261A">
        <w:rPr>
          <w:rFonts w:ascii="Arial" w:hAnsi="Arial" w:cs="Arial"/>
          <w:sz w:val="26"/>
          <w:szCs w:val="26"/>
        </w:rPr>
        <w:t>, in</w:t>
      </w:r>
      <w:r w:rsidR="009C330A" w:rsidRPr="0037261A">
        <w:rPr>
          <w:rFonts w:ascii="Arial" w:hAnsi="Arial" w:cs="Arial"/>
          <w:sz w:val="26"/>
          <w:szCs w:val="26"/>
        </w:rPr>
        <w:t xml:space="preserve"> particular when it comes to children of an older age. Similarly in the Epic of Gilgamesh, although the symbolism of mother and child is discussed, that of the main protagonist’s relationship with parental figures, there is very little insight given to the day to day lives/rights/structure around children (Sandars, 1972). Children must have been important, which is made clear by the laws structure, essentially allowing a man to conceive a child no matter what situation he is in. But beyond that point it seems the wife is trusted with the child’s upbringing and arguably with which child gets any </w:t>
      </w:r>
      <w:r w:rsidR="009C330A" w:rsidRPr="0037261A">
        <w:rPr>
          <w:rFonts w:ascii="Arial" w:hAnsi="Arial" w:cs="Arial"/>
          <w:sz w:val="26"/>
          <w:szCs w:val="26"/>
        </w:rPr>
        <w:lastRenderedPageBreak/>
        <w:t>inheritance: ‘The mother after her (death)may will to her child whom she loves’</w:t>
      </w:r>
      <w:r w:rsidR="005C371F" w:rsidRPr="0037261A">
        <w:rPr>
          <w:rFonts w:ascii="Arial" w:hAnsi="Arial" w:cs="Arial"/>
          <w:sz w:val="26"/>
          <w:szCs w:val="26"/>
        </w:rPr>
        <w:t>.</w:t>
      </w:r>
    </w:p>
    <w:p w14:paraId="42CC6BB9" w14:textId="795E0CDF" w:rsidR="005C371F" w:rsidRPr="0037261A" w:rsidRDefault="005C371F" w:rsidP="00982E95">
      <w:pPr>
        <w:rPr>
          <w:rFonts w:ascii="Arial" w:hAnsi="Arial" w:cs="Arial"/>
          <w:sz w:val="26"/>
          <w:szCs w:val="26"/>
        </w:rPr>
      </w:pPr>
      <w:r w:rsidRPr="0037261A">
        <w:rPr>
          <w:rFonts w:ascii="Arial" w:hAnsi="Arial" w:cs="Arial"/>
          <w:sz w:val="26"/>
          <w:szCs w:val="26"/>
        </w:rPr>
        <w:t>Couto-Ferreira suggest that, whether fertile or not, there was always a ‘mothering’ role available in the community</w:t>
      </w:r>
      <w:r w:rsidR="00415178" w:rsidRPr="0037261A">
        <w:rPr>
          <w:rFonts w:ascii="Arial" w:hAnsi="Arial" w:cs="Arial"/>
          <w:sz w:val="26"/>
          <w:szCs w:val="26"/>
        </w:rPr>
        <w:t>, that from wet nursing, to caring for children to making clothes, there was a communal aspect to motherhood that meant no women missed out on the that experience, that in fact the experience of motherhood in some respect was vital to how a woman was perceived (Couto-Feerreira, 2014)</w:t>
      </w:r>
    </w:p>
    <w:p w14:paraId="73383AC1" w14:textId="66FA9181" w:rsidR="00874BAD" w:rsidRPr="0037261A" w:rsidRDefault="00874BAD" w:rsidP="00982E95">
      <w:pPr>
        <w:rPr>
          <w:rFonts w:ascii="Arial" w:hAnsi="Arial" w:cs="Arial"/>
          <w:sz w:val="26"/>
          <w:szCs w:val="26"/>
        </w:rPr>
      </w:pPr>
      <w:r w:rsidRPr="0037261A">
        <w:rPr>
          <w:rFonts w:ascii="Arial" w:hAnsi="Arial" w:cs="Arial"/>
          <w:sz w:val="26"/>
          <w:szCs w:val="26"/>
        </w:rPr>
        <w:t>I wonder if fertility, rather than being associated directly with childbirth and the importance of children, were more to do with a stable economy. That in a growing power, a stable social and economic growth was quite important and so having children became a central theme of life, but the importance of children themselves, beyond feeding the growing power machine wasn’t highlighted very much. As Harris discusses there is a strange absence of any relevant information on this subject “no tracts on family relations, no diaries or memoirs from Mesopotamia exist to give insight into every day familial life” (Harris, R. 2003). We do however have proverbs and myths which of course cannot be taken at face value, but give the record a slightly more human feel to their approach to their youth.</w:t>
      </w:r>
    </w:p>
    <w:p w14:paraId="033B977D" w14:textId="08380DC8" w:rsidR="00415178" w:rsidRPr="0037261A" w:rsidRDefault="00415178" w:rsidP="00982E95">
      <w:pPr>
        <w:rPr>
          <w:rFonts w:ascii="Arial" w:hAnsi="Arial" w:cs="Arial"/>
          <w:sz w:val="26"/>
          <w:szCs w:val="26"/>
        </w:rPr>
      </w:pPr>
      <w:r w:rsidRPr="0037261A">
        <w:rPr>
          <w:rFonts w:ascii="Arial" w:hAnsi="Arial" w:cs="Arial"/>
          <w:sz w:val="26"/>
          <w:szCs w:val="26"/>
        </w:rPr>
        <w:t>The reference to women and their ‘defects’ is quite alarming t</w:t>
      </w:r>
      <w:r w:rsidR="00555C63">
        <w:rPr>
          <w:rFonts w:ascii="Arial" w:hAnsi="Arial" w:cs="Arial"/>
          <w:sz w:val="26"/>
          <w:szCs w:val="26"/>
        </w:rPr>
        <w:t>o t</w:t>
      </w:r>
      <w:r w:rsidRPr="0037261A">
        <w:rPr>
          <w:rFonts w:ascii="Arial" w:hAnsi="Arial" w:cs="Arial"/>
          <w:sz w:val="26"/>
          <w:szCs w:val="26"/>
        </w:rPr>
        <w:t xml:space="preserve">he modern ear. </w:t>
      </w:r>
      <w:r w:rsidR="008A3502" w:rsidRPr="0037261A">
        <w:rPr>
          <w:rFonts w:ascii="Arial" w:hAnsi="Arial" w:cs="Arial"/>
          <w:sz w:val="26"/>
          <w:szCs w:val="26"/>
        </w:rPr>
        <w:t xml:space="preserve">I find </w:t>
      </w:r>
      <w:r w:rsidRPr="0037261A">
        <w:rPr>
          <w:rFonts w:ascii="Arial" w:hAnsi="Arial" w:cs="Arial"/>
          <w:sz w:val="26"/>
          <w:szCs w:val="26"/>
        </w:rPr>
        <w:t>‘defects’</w:t>
      </w:r>
      <w:r w:rsidR="008A3502" w:rsidRPr="0037261A">
        <w:rPr>
          <w:rFonts w:ascii="Arial" w:hAnsi="Arial" w:cs="Arial"/>
          <w:sz w:val="26"/>
          <w:szCs w:val="26"/>
        </w:rPr>
        <w:t xml:space="preserve"> to be</w:t>
      </w:r>
      <w:r w:rsidRPr="0037261A">
        <w:rPr>
          <w:rFonts w:ascii="Arial" w:hAnsi="Arial" w:cs="Arial"/>
          <w:sz w:val="26"/>
          <w:szCs w:val="26"/>
        </w:rPr>
        <w:t xml:space="preserve"> another ambiguous term that could be translate</w:t>
      </w:r>
      <w:r w:rsidR="008A3502" w:rsidRPr="0037261A">
        <w:rPr>
          <w:rFonts w:ascii="Arial" w:hAnsi="Arial" w:cs="Arial"/>
          <w:sz w:val="26"/>
          <w:szCs w:val="26"/>
        </w:rPr>
        <w:t>d</w:t>
      </w:r>
      <w:r w:rsidRPr="0037261A">
        <w:rPr>
          <w:rFonts w:ascii="Arial" w:hAnsi="Arial" w:cs="Arial"/>
          <w:sz w:val="26"/>
          <w:szCs w:val="26"/>
        </w:rPr>
        <w:t xml:space="preserve"> in any number of ways. From an age old way of discussing family history, to malformations, to personality disorders, this word could refer to anything.</w:t>
      </w:r>
      <w:r w:rsidR="008A3502" w:rsidRPr="0037261A">
        <w:rPr>
          <w:rFonts w:ascii="Arial" w:hAnsi="Arial" w:cs="Arial"/>
          <w:sz w:val="26"/>
          <w:szCs w:val="26"/>
        </w:rPr>
        <w:t xml:space="preserve"> </w:t>
      </w:r>
      <w:r w:rsidR="008A3502" w:rsidRPr="0037261A">
        <w:rPr>
          <w:rFonts w:ascii="Arial" w:hAnsi="Arial" w:cs="Arial"/>
          <w:sz w:val="26"/>
          <w:szCs w:val="26"/>
        </w:rPr>
        <w:lastRenderedPageBreak/>
        <w:t>Byron suggests however that the word was simply one used to allow a husband to move his wife to one side if he wanted to take another woman into his bed (Byron, 2011). I disagree with this, there are plenty of other options for husbands made more than clear by the Laws of how he might ‘set his face’ to another woman. I feel this may very well relate to mental and social health. The woman’s behavioural history and that of her family.</w:t>
      </w:r>
    </w:p>
    <w:p w14:paraId="093A40C1" w14:textId="1FD27868" w:rsidR="00415178" w:rsidRPr="0037261A" w:rsidRDefault="00555C63" w:rsidP="00982E95">
      <w:pPr>
        <w:rPr>
          <w:rFonts w:ascii="Arial" w:hAnsi="Arial" w:cs="Arial"/>
          <w:sz w:val="26"/>
          <w:szCs w:val="26"/>
        </w:rPr>
      </w:pPr>
      <w:r>
        <w:rPr>
          <w:rFonts w:ascii="Arial" w:hAnsi="Arial" w:cs="Arial"/>
          <w:sz w:val="26"/>
          <w:szCs w:val="26"/>
        </w:rPr>
        <w:t>As a p</w:t>
      </w:r>
      <w:r w:rsidR="00415178" w:rsidRPr="0037261A">
        <w:rPr>
          <w:rFonts w:ascii="Arial" w:hAnsi="Arial" w:cs="Arial"/>
          <w:sz w:val="26"/>
          <w:szCs w:val="26"/>
        </w:rPr>
        <w:t>atriarchal text and society</w:t>
      </w:r>
      <w:r>
        <w:rPr>
          <w:rFonts w:ascii="Arial" w:hAnsi="Arial" w:cs="Arial"/>
          <w:sz w:val="26"/>
          <w:szCs w:val="26"/>
        </w:rPr>
        <w:t>,</w:t>
      </w:r>
      <w:r w:rsidR="00415178" w:rsidRPr="0037261A">
        <w:rPr>
          <w:rFonts w:ascii="Arial" w:hAnsi="Arial" w:cs="Arial"/>
          <w:sz w:val="26"/>
          <w:szCs w:val="26"/>
        </w:rPr>
        <w:t xml:space="preserve"> </w:t>
      </w:r>
      <w:r w:rsidR="008A3502" w:rsidRPr="0037261A">
        <w:rPr>
          <w:rFonts w:ascii="Arial" w:hAnsi="Arial" w:cs="Arial"/>
          <w:sz w:val="26"/>
          <w:szCs w:val="26"/>
        </w:rPr>
        <w:t>men’s</w:t>
      </w:r>
      <w:r w:rsidR="00415178" w:rsidRPr="0037261A">
        <w:rPr>
          <w:rFonts w:ascii="Arial" w:hAnsi="Arial" w:cs="Arial"/>
          <w:sz w:val="26"/>
          <w:szCs w:val="26"/>
        </w:rPr>
        <w:t xml:space="preserve"> representation is in all the oppositions to how women are treated. However the use of the word ‘freeman’ begs the question, who was the freeman and how did he differ from the average male. Could this refer to a ‘</w:t>
      </w:r>
      <w:r w:rsidR="008A3502" w:rsidRPr="0037261A">
        <w:rPr>
          <w:rFonts w:ascii="Arial" w:hAnsi="Arial" w:cs="Arial"/>
          <w:sz w:val="26"/>
          <w:szCs w:val="26"/>
        </w:rPr>
        <w:t>freed</w:t>
      </w:r>
      <w:r w:rsidR="00415178" w:rsidRPr="0037261A">
        <w:rPr>
          <w:rFonts w:ascii="Arial" w:hAnsi="Arial" w:cs="Arial"/>
          <w:sz w:val="26"/>
          <w:szCs w:val="26"/>
        </w:rPr>
        <w:t xml:space="preserve"> man’ or was this a term used for someone who was </w:t>
      </w:r>
      <w:r w:rsidR="008A3502" w:rsidRPr="0037261A">
        <w:rPr>
          <w:rFonts w:ascii="Arial" w:hAnsi="Arial" w:cs="Arial"/>
          <w:sz w:val="26"/>
          <w:szCs w:val="26"/>
        </w:rPr>
        <w:t>self-employed</w:t>
      </w:r>
      <w:r w:rsidR="00415178" w:rsidRPr="0037261A">
        <w:rPr>
          <w:rFonts w:ascii="Arial" w:hAnsi="Arial" w:cs="Arial"/>
          <w:sz w:val="26"/>
          <w:szCs w:val="26"/>
        </w:rPr>
        <w:t xml:space="preserve"> or of a different community. Lyon suggest t</w:t>
      </w:r>
      <w:r w:rsidR="008A3502" w:rsidRPr="0037261A">
        <w:rPr>
          <w:rFonts w:ascii="Arial" w:hAnsi="Arial" w:cs="Arial"/>
          <w:sz w:val="26"/>
          <w:szCs w:val="26"/>
        </w:rPr>
        <w:t xml:space="preserve">hat </w:t>
      </w:r>
      <w:r w:rsidR="00415178" w:rsidRPr="0037261A">
        <w:rPr>
          <w:rFonts w:ascii="Arial" w:hAnsi="Arial" w:cs="Arial"/>
          <w:sz w:val="26"/>
          <w:szCs w:val="26"/>
        </w:rPr>
        <w:t>a ‘</w:t>
      </w:r>
      <w:r w:rsidR="008A3502" w:rsidRPr="0037261A">
        <w:rPr>
          <w:rFonts w:ascii="Arial" w:hAnsi="Arial" w:cs="Arial"/>
          <w:sz w:val="26"/>
          <w:szCs w:val="26"/>
        </w:rPr>
        <w:t>freedman</w:t>
      </w:r>
      <w:r w:rsidR="00415178" w:rsidRPr="0037261A">
        <w:rPr>
          <w:rFonts w:ascii="Arial" w:hAnsi="Arial" w:cs="Arial"/>
          <w:sz w:val="26"/>
          <w:szCs w:val="26"/>
        </w:rPr>
        <w:t>’ was a class of fief holders (Lyon, 1904). In turn the use of the word ‘brother’ in the text implies the use of the word in a familial or communal sense. Someone of the same background and kin as the other.</w:t>
      </w:r>
    </w:p>
    <w:p w14:paraId="460C753D" w14:textId="14B34FCF" w:rsidR="005C371F" w:rsidRDefault="005C371F" w:rsidP="00982E95">
      <w:pPr>
        <w:rPr>
          <w:rFonts w:ascii="Arial" w:hAnsi="Arial" w:cs="Arial"/>
          <w:sz w:val="26"/>
          <w:szCs w:val="26"/>
        </w:rPr>
      </w:pPr>
      <w:r w:rsidRPr="0037261A">
        <w:rPr>
          <w:rFonts w:ascii="Arial" w:hAnsi="Arial" w:cs="Arial"/>
          <w:sz w:val="26"/>
          <w:szCs w:val="26"/>
        </w:rPr>
        <w:t>The text itself shows us several aspects of life. Clearly they understood math and had a system of counting and a system of money, which is mentioned as ‘mana’ in the Laws. Kimble discusses how they came to this understanding of money and it shows us a complex ability to account for money and goods during this period (Kimble, 1079). The expectation that a man could pay back a dowry or pay a mana to a wife he no longer wanted or who wanted to leave, leaves us with the impression that the society was so wealt</w:t>
      </w:r>
      <w:r w:rsidR="00555C63">
        <w:rPr>
          <w:rFonts w:ascii="Arial" w:hAnsi="Arial" w:cs="Arial"/>
          <w:sz w:val="26"/>
          <w:szCs w:val="26"/>
        </w:rPr>
        <w:t>hy</w:t>
      </w:r>
      <w:r w:rsidRPr="0037261A">
        <w:rPr>
          <w:rFonts w:ascii="Arial" w:hAnsi="Arial" w:cs="Arial"/>
          <w:sz w:val="26"/>
          <w:szCs w:val="26"/>
        </w:rPr>
        <w:t xml:space="preserve"> that this was not thought of as an expense the average man could not manage. </w:t>
      </w:r>
    </w:p>
    <w:p w14:paraId="48081658" w14:textId="77777777" w:rsidR="00555C63" w:rsidRPr="0037261A" w:rsidRDefault="00555C63" w:rsidP="00555C63">
      <w:pPr>
        <w:rPr>
          <w:rFonts w:ascii="Arial" w:hAnsi="Arial" w:cs="Arial"/>
          <w:sz w:val="26"/>
          <w:szCs w:val="26"/>
        </w:rPr>
      </w:pPr>
      <w:r w:rsidRPr="0037261A">
        <w:rPr>
          <w:rFonts w:ascii="Arial" w:hAnsi="Arial" w:cs="Arial"/>
          <w:sz w:val="26"/>
          <w:szCs w:val="26"/>
        </w:rPr>
        <w:lastRenderedPageBreak/>
        <w:t xml:space="preserve">As someone who speaks several languages myself I would read any translation with a pinch of salt, and Hammurabi’s law code is no exception. As Doughty explains when talking about translating Polish to English “Every culture has its own rules and values, but we often don’t notice them because they are ingrained in the way we use language, not just in the words we use but in grammar and sentence structure” (Doughty, 2012) – thus, our perception of Hammurabi’s laws may be miles away from the original intention. </w:t>
      </w:r>
    </w:p>
    <w:p w14:paraId="1023C9F9" w14:textId="77777777" w:rsidR="00555C63" w:rsidRPr="0037261A" w:rsidRDefault="00555C63" w:rsidP="00982E95">
      <w:pPr>
        <w:rPr>
          <w:rFonts w:ascii="Arial" w:hAnsi="Arial" w:cs="Arial"/>
          <w:sz w:val="26"/>
          <w:szCs w:val="26"/>
        </w:rPr>
      </w:pPr>
      <w:bookmarkStart w:id="0" w:name="_GoBack"/>
      <w:bookmarkEnd w:id="0"/>
    </w:p>
    <w:p w14:paraId="7A8AA755" w14:textId="19326B59" w:rsidR="008A3502" w:rsidRPr="0037261A" w:rsidRDefault="00555C63" w:rsidP="00982E95">
      <w:pPr>
        <w:rPr>
          <w:rFonts w:ascii="Arial" w:hAnsi="Arial" w:cs="Arial"/>
          <w:sz w:val="26"/>
          <w:szCs w:val="26"/>
        </w:rPr>
      </w:pPr>
      <w:proofErr w:type="spellStart"/>
      <w:r>
        <w:rPr>
          <w:rFonts w:ascii="Arial" w:hAnsi="Arial" w:cs="Arial"/>
          <w:sz w:val="26"/>
          <w:szCs w:val="26"/>
        </w:rPr>
        <w:t>Slanski</w:t>
      </w:r>
      <w:proofErr w:type="spellEnd"/>
      <w:r>
        <w:rPr>
          <w:rFonts w:ascii="Arial" w:hAnsi="Arial" w:cs="Arial"/>
          <w:sz w:val="26"/>
          <w:szCs w:val="26"/>
        </w:rPr>
        <w:t xml:space="preserve"> thinks that l</w:t>
      </w:r>
      <w:r w:rsidR="008A3502" w:rsidRPr="0037261A">
        <w:rPr>
          <w:rFonts w:ascii="Arial" w:hAnsi="Arial" w:cs="Arial"/>
          <w:sz w:val="26"/>
          <w:szCs w:val="26"/>
        </w:rPr>
        <w:t xml:space="preserve">aws were designed as a stabilising force, the stela itself designed to </w:t>
      </w:r>
      <w:r w:rsidR="00393A68" w:rsidRPr="0037261A">
        <w:rPr>
          <w:rFonts w:ascii="Arial" w:hAnsi="Arial" w:cs="Arial"/>
          <w:sz w:val="26"/>
          <w:szCs w:val="26"/>
        </w:rPr>
        <w:t>perpetrate</w:t>
      </w:r>
      <w:r w:rsidR="008A3502" w:rsidRPr="0037261A">
        <w:rPr>
          <w:rFonts w:ascii="Arial" w:hAnsi="Arial" w:cs="Arial"/>
          <w:sz w:val="26"/>
          <w:szCs w:val="26"/>
        </w:rPr>
        <w:t xml:space="preserve"> the laws and the memory of Hammurabi himself</w:t>
      </w:r>
      <w:r w:rsidR="00393A68" w:rsidRPr="0037261A">
        <w:rPr>
          <w:rFonts w:ascii="Arial" w:hAnsi="Arial" w:cs="Arial"/>
          <w:sz w:val="26"/>
          <w:szCs w:val="26"/>
        </w:rPr>
        <w:t>, it solidified his memory as that</w:t>
      </w:r>
      <w:r w:rsidR="008A3502" w:rsidRPr="0037261A">
        <w:rPr>
          <w:rFonts w:ascii="Arial" w:hAnsi="Arial" w:cs="Arial"/>
          <w:sz w:val="26"/>
          <w:szCs w:val="26"/>
        </w:rPr>
        <w:t xml:space="preserve"> of a just ruler (Slanski, 2012). I strongly agree with this assessment. These laws may not have literally been enforced in </w:t>
      </w:r>
      <w:r w:rsidR="00393A68" w:rsidRPr="0037261A">
        <w:rPr>
          <w:rFonts w:ascii="Arial" w:hAnsi="Arial" w:cs="Arial"/>
          <w:sz w:val="26"/>
          <w:szCs w:val="26"/>
        </w:rPr>
        <w:t>everyday</w:t>
      </w:r>
      <w:r w:rsidR="008A3502" w:rsidRPr="0037261A">
        <w:rPr>
          <w:rFonts w:ascii="Arial" w:hAnsi="Arial" w:cs="Arial"/>
          <w:sz w:val="26"/>
          <w:szCs w:val="26"/>
        </w:rPr>
        <w:t xml:space="preserve"> life, but the memorial of them was cemented by Hammurabi and his actions. </w:t>
      </w:r>
    </w:p>
    <w:p w14:paraId="2FAC846B" w14:textId="77777777" w:rsidR="00D92038" w:rsidRPr="0037261A" w:rsidRDefault="00D92038" w:rsidP="005E697E">
      <w:pPr>
        <w:jc w:val="center"/>
        <w:rPr>
          <w:rFonts w:ascii="Arial" w:hAnsi="Arial" w:cs="Arial"/>
          <w:b/>
          <w:sz w:val="32"/>
          <w:szCs w:val="32"/>
          <w:u w:val="single"/>
        </w:rPr>
      </w:pPr>
    </w:p>
    <w:p w14:paraId="20A5EC09" w14:textId="77777777" w:rsidR="00D92038" w:rsidRDefault="00D92038" w:rsidP="005E697E">
      <w:pPr>
        <w:jc w:val="center"/>
        <w:rPr>
          <w:rFonts w:ascii="Arial" w:hAnsi="Arial" w:cs="Arial"/>
          <w:b/>
          <w:sz w:val="32"/>
          <w:szCs w:val="32"/>
          <w:u w:val="single"/>
        </w:rPr>
      </w:pPr>
    </w:p>
    <w:p w14:paraId="40144EB4" w14:textId="6A7C7FAF" w:rsidR="0037261A" w:rsidRDefault="0037261A" w:rsidP="005E697E">
      <w:pPr>
        <w:jc w:val="center"/>
        <w:rPr>
          <w:rFonts w:ascii="Arial" w:hAnsi="Arial" w:cs="Arial"/>
          <w:b/>
          <w:sz w:val="32"/>
          <w:szCs w:val="32"/>
          <w:u w:val="single"/>
        </w:rPr>
      </w:pPr>
    </w:p>
    <w:p w14:paraId="5830FD91" w14:textId="77777777" w:rsidR="0037261A" w:rsidRDefault="0037261A" w:rsidP="005E697E">
      <w:pPr>
        <w:jc w:val="center"/>
        <w:rPr>
          <w:rFonts w:ascii="Arial" w:hAnsi="Arial" w:cs="Arial"/>
          <w:b/>
          <w:sz w:val="32"/>
          <w:szCs w:val="32"/>
          <w:u w:val="single"/>
        </w:rPr>
      </w:pPr>
    </w:p>
    <w:p w14:paraId="392F492A" w14:textId="77777777" w:rsidR="0037261A" w:rsidRPr="0037261A" w:rsidRDefault="0037261A" w:rsidP="005E697E">
      <w:pPr>
        <w:jc w:val="center"/>
        <w:rPr>
          <w:rFonts w:ascii="Arial" w:hAnsi="Arial" w:cs="Arial"/>
          <w:b/>
          <w:sz w:val="32"/>
          <w:szCs w:val="32"/>
          <w:u w:val="single"/>
        </w:rPr>
      </w:pPr>
    </w:p>
    <w:p w14:paraId="50A069F1" w14:textId="77777777" w:rsidR="005E697E" w:rsidRPr="0037261A" w:rsidRDefault="005E697E" w:rsidP="005E697E">
      <w:pPr>
        <w:jc w:val="center"/>
        <w:rPr>
          <w:rFonts w:ascii="Arial" w:hAnsi="Arial" w:cs="Arial"/>
          <w:b/>
          <w:sz w:val="32"/>
          <w:szCs w:val="32"/>
          <w:u w:val="single"/>
        </w:rPr>
      </w:pPr>
    </w:p>
    <w:p w14:paraId="5368AE0B" w14:textId="64EFFD66" w:rsidR="00F04E07" w:rsidRPr="0037261A" w:rsidRDefault="001A751D" w:rsidP="00F04E07">
      <w:pPr>
        <w:rPr>
          <w:rFonts w:ascii="Arial" w:hAnsi="Arial" w:cs="Arial"/>
          <w:b/>
          <w:sz w:val="28"/>
          <w:szCs w:val="28"/>
        </w:rPr>
      </w:pPr>
      <w:r w:rsidRPr="0037261A">
        <w:rPr>
          <w:rFonts w:ascii="Arial" w:hAnsi="Arial" w:cs="Arial"/>
          <w:b/>
          <w:sz w:val="28"/>
          <w:szCs w:val="28"/>
        </w:rPr>
        <w:t>Reference List</w:t>
      </w:r>
    </w:p>
    <w:p w14:paraId="1D249B7C" w14:textId="00C6AC46" w:rsidR="001A751D" w:rsidRPr="0037261A" w:rsidRDefault="00F04E07" w:rsidP="001A751D">
      <w:pPr>
        <w:pStyle w:val="ListParagraph"/>
        <w:numPr>
          <w:ilvl w:val="0"/>
          <w:numId w:val="3"/>
        </w:numPr>
        <w:rPr>
          <w:rFonts w:ascii="Arial" w:hAnsi="Arial" w:cs="Arial"/>
          <w:b/>
          <w:sz w:val="20"/>
          <w:szCs w:val="20"/>
        </w:rPr>
      </w:pPr>
      <w:r w:rsidRPr="0037261A">
        <w:rPr>
          <w:rFonts w:ascii="Arial" w:hAnsi="Arial" w:cs="Arial"/>
          <w:b/>
          <w:sz w:val="20"/>
          <w:szCs w:val="20"/>
        </w:rPr>
        <w:t xml:space="preserve">Ascaso, F.J., Singh, A.D. &amp; Dua, H.S., 2011. Decoding eyes in the Code of Hammurabi. </w:t>
      </w:r>
      <w:r w:rsidRPr="0037261A">
        <w:rPr>
          <w:rFonts w:ascii="Arial" w:hAnsi="Arial" w:cs="Arial"/>
          <w:b/>
          <w:i/>
          <w:iCs/>
          <w:sz w:val="20"/>
          <w:szCs w:val="20"/>
        </w:rPr>
        <w:t>British Journal of Ophthalmology</w:t>
      </w:r>
      <w:r w:rsidRPr="0037261A">
        <w:rPr>
          <w:rFonts w:ascii="Arial" w:hAnsi="Arial" w:cs="Arial"/>
          <w:b/>
          <w:sz w:val="20"/>
          <w:szCs w:val="20"/>
        </w:rPr>
        <w:t>, 95(6), pp.760–760.</w:t>
      </w:r>
      <w:r w:rsidR="00B475D0" w:rsidRPr="0037261A">
        <w:rPr>
          <w:rFonts w:ascii="Arial" w:hAnsi="Arial" w:cs="Arial"/>
          <w:b/>
          <w:sz w:val="20"/>
          <w:szCs w:val="20"/>
        </w:rPr>
        <w:t xml:space="preserve"> </w:t>
      </w:r>
      <w:r w:rsidR="0081617D" w:rsidRPr="0037261A">
        <w:rPr>
          <w:rFonts w:ascii="Arial" w:hAnsi="Arial" w:cs="Arial"/>
          <w:b/>
          <w:sz w:val="20"/>
          <w:szCs w:val="20"/>
        </w:rPr>
        <w:t xml:space="preserve">   </w:t>
      </w:r>
    </w:p>
    <w:p w14:paraId="04C931ED" w14:textId="01EB342D" w:rsidR="001A751D" w:rsidRPr="0037261A" w:rsidRDefault="001A751D" w:rsidP="001A751D">
      <w:pPr>
        <w:pStyle w:val="ListParagraph"/>
        <w:numPr>
          <w:ilvl w:val="0"/>
          <w:numId w:val="3"/>
        </w:numPr>
        <w:rPr>
          <w:rFonts w:ascii="Arial" w:hAnsi="Arial" w:cs="Arial"/>
          <w:b/>
          <w:sz w:val="20"/>
          <w:szCs w:val="20"/>
        </w:rPr>
      </w:pPr>
      <w:r w:rsidRPr="0037261A">
        <w:rPr>
          <w:rFonts w:ascii="Arial" w:hAnsi="Arial" w:cs="Arial"/>
          <w:b/>
          <w:color w:val="000000" w:themeColor="text1"/>
          <w:sz w:val="20"/>
          <w:szCs w:val="20"/>
        </w:rPr>
        <w:t>Bahrani, S. 2017. Mesopotamia: Ancient Art and Architect</w:t>
      </w:r>
      <w:r w:rsidR="00557426" w:rsidRPr="0037261A">
        <w:rPr>
          <w:rFonts w:ascii="Arial" w:hAnsi="Arial" w:cs="Arial"/>
          <w:b/>
          <w:color w:val="000000" w:themeColor="text1"/>
          <w:sz w:val="20"/>
          <w:szCs w:val="20"/>
        </w:rPr>
        <w:t>ure.</w:t>
      </w:r>
      <w:r w:rsidRPr="0037261A">
        <w:rPr>
          <w:rFonts w:ascii="Arial" w:hAnsi="Arial" w:cs="Arial"/>
          <w:b/>
          <w:color w:val="000000" w:themeColor="text1"/>
          <w:sz w:val="20"/>
          <w:szCs w:val="20"/>
        </w:rPr>
        <w:t xml:space="preserve"> London: Thames and Hudson</w:t>
      </w:r>
      <w:r w:rsidR="00557426" w:rsidRPr="0037261A">
        <w:rPr>
          <w:rFonts w:ascii="Arial" w:hAnsi="Arial" w:cs="Arial"/>
          <w:b/>
          <w:color w:val="000000" w:themeColor="text1"/>
          <w:sz w:val="20"/>
          <w:szCs w:val="20"/>
        </w:rPr>
        <w:t>. Ch. 8.</w:t>
      </w:r>
      <w:r w:rsidRPr="0037261A">
        <w:rPr>
          <w:rFonts w:ascii="Arial" w:hAnsi="Arial" w:cs="Arial"/>
          <w:b/>
          <w:color w:val="000000" w:themeColor="text1"/>
          <w:sz w:val="20"/>
          <w:szCs w:val="20"/>
        </w:rPr>
        <w:t xml:space="preserve"> </w:t>
      </w:r>
      <w:r w:rsidR="00B475D0" w:rsidRPr="0037261A">
        <w:rPr>
          <w:rFonts w:ascii="Arial" w:hAnsi="Arial" w:cs="Arial"/>
          <w:b/>
          <w:color w:val="000000" w:themeColor="text1"/>
          <w:sz w:val="20"/>
          <w:szCs w:val="20"/>
        </w:rPr>
        <w:t xml:space="preserve"> </w:t>
      </w:r>
      <w:r w:rsidR="0081617D" w:rsidRPr="0037261A">
        <w:rPr>
          <w:rFonts w:ascii="Arial" w:hAnsi="Arial" w:cs="Arial"/>
          <w:b/>
          <w:color w:val="000000" w:themeColor="text1"/>
          <w:sz w:val="20"/>
          <w:szCs w:val="20"/>
        </w:rPr>
        <w:t xml:space="preserve">    </w:t>
      </w:r>
    </w:p>
    <w:p w14:paraId="53F77368" w14:textId="15CDDF9C" w:rsidR="00B72277" w:rsidRPr="0037261A" w:rsidRDefault="00B72277" w:rsidP="00F04E07">
      <w:pPr>
        <w:pStyle w:val="ListParagraph"/>
        <w:numPr>
          <w:ilvl w:val="0"/>
          <w:numId w:val="3"/>
        </w:numPr>
        <w:rPr>
          <w:rFonts w:ascii="Arial" w:hAnsi="Arial" w:cs="Arial"/>
          <w:b/>
          <w:sz w:val="20"/>
          <w:szCs w:val="20"/>
        </w:rPr>
      </w:pPr>
      <w:r w:rsidRPr="0037261A">
        <w:rPr>
          <w:rFonts w:ascii="Arial" w:hAnsi="Arial" w:cs="Arial"/>
          <w:b/>
          <w:color w:val="32322F"/>
          <w:sz w:val="20"/>
          <w:szCs w:val="20"/>
          <w:lang w:val="en-US"/>
        </w:rPr>
        <w:t xml:space="preserve">Blois et al., 1997. </w:t>
      </w:r>
      <w:r w:rsidRPr="0037261A">
        <w:rPr>
          <w:rFonts w:ascii="Arial" w:hAnsi="Arial" w:cs="Arial"/>
          <w:b/>
          <w:i/>
          <w:iCs/>
          <w:color w:val="32322F"/>
          <w:sz w:val="20"/>
          <w:szCs w:val="20"/>
          <w:lang w:val="en-US"/>
        </w:rPr>
        <w:t>An introduction to the ancient world</w:t>
      </w:r>
      <w:r w:rsidRPr="0037261A">
        <w:rPr>
          <w:rFonts w:ascii="Arial" w:hAnsi="Arial" w:cs="Arial"/>
          <w:b/>
          <w:color w:val="32322F"/>
          <w:sz w:val="20"/>
          <w:szCs w:val="20"/>
          <w:lang w:val="en-US"/>
        </w:rPr>
        <w:t>, London: Routledge.</w:t>
      </w:r>
      <w:r w:rsidR="007F03FD" w:rsidRPr="0037261A">
        <w:rPr>
          <w:rFonts w:ascii="Arial" w:hAnsi="Arial" w:cs="Arial"/>
          <w:b/>
          <w:color w:val="32322F"/>
          <w:sz w:val="20"/>
          <w:szCs w:val="20"/>
          <w:lang w:val="en-US"/>
        </w:rPr>
        <w:t xml:space="preserve"> </w:t>
      </w:r>
      <w:r w:rsidR="00557426" w:rsidRPr="0037261A">
        <w:rPr>
          <w:rFonts w:ascii="Arial" w:hAnsi="Arial" w:cs="Arial"/>
          <w:b/>
          <w:color w:val="32322F"/>
          <w:sz w:val="20"/>
          <w:szCs w:val="20"/>
          <w:lang w:val="en-US"/>
        </w:rPr>
        <w:t>PP. 12, 17-19, 24.</w:t>
      </w:r>
    </w:p>
    <w:p w14:paraId="6A966F1F" w14:textId="16A9A971" w:rsidR="00A46A52" w:rsidRPr="0037261A" w:rsidRDefault="00A46A52" w:rsidP="00F04E07">
      <w:pPr>
        <w:pStyle w:val="ListParagraph"/>
        <w:numPr>
          <w:ilvl w:val="0"/>
          <w:numId w:val="3"/>
        </w:numPr>
        <w:rPr>
          <w:rFonts w:ascii="Arial" w:hAnsi="Arial" w:cs="Arial"/>
          <w:b/>
          <w:sz w:val="20"/>
          <w:szCs w:val="20"/>
        </w:rPr>
      </w:pPr>
      <w:r w:rsidRPr="0037261A">
        <w:rPr>
          <w:rFonts w:ascii="Arial" w:hAnsi="Arial" w:cs="Arial"/>
          <w:b/>
          <w:sz w:val="20"/>
          <w:szCs w:val="20"/>
        </w:rPr>
        <w:t xml:space="preserve">Budin, S.L., 2014. </w:t>
      </w:r>
      <w:r w:rsidRPr="0037261A">
        <w:rPr>
          <w:rFonts w:ascii="Arial" w:hAnsi="Arial" w:cs="Arial"/>
          <w:b/>
          <w:i/>
          <w:iCs/>
          <w:sz w:val="20"/>
          <w:szCs w:val="20"/>
        </w:rPr>
        <w:t xml:space="preserve">Images of woman and child from the Bronze </w:t>
      </w:r>
      <w:r w:rsidR="00D92038" w:rsidRPr="0037261A">
        <w:rPr>
          <w:rFonts w:ascii="Arial" w:hAnsi="Arial" w:cs="Arial"/>
          <w:b/>
          <w:i/>
          <w:iCs/>
          <w:sz w:val="20"/>
          <w:szCs w:val="20"/>
        </w:rPr>
        <w:t>Age:</w:t>
      </w:r>
      <w:r w:rsidRPr="0037261A">
        <w:rPr>
          <w:rFonts w:ascii="Arial" w:hAnsi="Arial" w:cs="Arial"/>
          <w:b/>
          <w:i/>
          <w:iCs/>
          <w:sz w:val="20"/>
          <w:szCs w:val="20"/>
        </w:rPr>
        <w:t xml:space="preserve"> reconsidering fertility, maternity, and gender in the ancient world</w:t>
      </w:r>
      <w:r w:rsidR="00D92038" w:rsidRPr="0037261A">
        <w:rPr>
          <w:rFonts w:ascii="Arial" w:hAnsi="Arial" w:cs="Arial"/>
          <w:b/>
          <w:sz w:val="20"/>
          <w:szCs w:val="20"/>
        </w:rPr>
        <w:t xml:space="preserve"> First paperback</w:t>
      </w:r>
      <w:r w:rsidRPr="0037261A">
        <w:rPr>
          <w:rFonts w:ascii="Arial" w:hAnsi="Arial" w:cs="Arial"/>
          <w:b/>
          <w:sz w:val="20"/>
          <w:szCs w:val="20"/>
        </w:rPr>
        <w:t>, New York, NY: Cambridge University Press.</w:t>
      </w:r>
    </w:p>
    <w:p w14:paraId="592BA055" w14:textId="5F7804E0" w:rsidR="00687125" w:rsidRPr="0037261A" w:rsidRDefault="00687125" w:rsidP="00687125">
      <w:pPr>
        <w:pStyle w:val="ListParagraph"/>
        <w:numPr>
          <w:ilvl w:val="0"/>
          <w:numId w:val="3"/>
        </w:numPr>
        <w:rPr>
          <w:rFonts w:ascii="Arial" w:hAnsi="Arial" w:cs="Arial"/>
          <w:b/>
          <w:sz w:val="20"/>
          <w:szCs w:val="20"/>
        </w:rPr>
      </w:pPr>
      <w:r w:rsidRPr="0037261A">
        <w:rPr>
          <w:rFonts w:ascii="Arial" w:hAnsi="Arial" w:cs="Arial"/>
          <w:b/>
          <w:sz w:val="20"/>
          <w:szCs w:val="20"/>
        </w:rPr>
        <w:t>Byron, J. Jan 26</w:t>
      </w:r>
      <w:r w:rsidRPr="0037261A">
        <w:rPr>
          <w:rFonts w:ascii="Arial" w:hAnsi="Arial" w:cs="Arial"/>
          <w:b/>
          <w:sz w:val="20"/>
          <w:szCs w:val="20"/>
          <w:vertAlign w:val="superscript"/>
        </w:rPr>
        <w:t>th</w:t>
      </w:r>
      <w:r w:rsidRPr="0037261A">
        <w:rPr>
          <w:rFonts w:ascii="Arial" w:hAnsi="Arial" w:cs="Arial"/>
          <w:b/>
          <w:sz w:val="20"/>
          <w:szCs w:val="20"/>
        </w:rPr>
        <w:t xml:space="preserve"> 2011. </w:t>
      </w:r>
      <w:r w:rsidRPr="0037261A">
        <w:rPr>
          <w:rFonts w:ascii="Arial" w:hAnsi="Arial" w:cs="Arial"/>
          <w:b/>
          <w:i/>
          <w:color w:val="222222"/>
          <w:sz w:val="20"/>
          <w:szCs w:val="20"/>
        </w:rPr>
        <w:t>Infertility and the Bible 2: The Defective Wife</w:t>
      </w:r>
      <w:r w:rsidRPr="0037261A">
        <w:rPr>
          <w:rFonts w:ascii="Arial" w:hAnsi="Arial" w:cs="Arial"/>
          <w:b/>
          <w:color w:val="222222"/>
          <w:sz w:val="20"/>
          <w:szCs w:val="20"/>
        </w:rPr>
        <w:t xml:space="preserve"> [ONLINE]. Available at:</w:t>
      </w:r>
      <w:r w:rsidRPr="0037261A">
        <w:rPr>
          <w:rFonts w:ascii="Arial" w:hAnsi="Arial" w:cs="Arial"/>
          <w:b/>
          <w:sz w:val="20"/>
          <w:szCs w:val="20"/>
        </w:rPr>
        <w:t xml:space="preserve"> </w:t>
      </w:r>
      <w:hyperlink r:id="rId8" w:history="1">
        <w:r w:rsidRPr="0037261A">
          <w:rPr>
            <w:rStyle w:val="Hyperlink"/>
            <w:rFonts w:ascii="Arial" w:hAnsi="Arial" w:cs="Arial"/>
            <w:b/>
            <w:sz w:val="20"/>
            <w:szCs w:val="20"/>
          </w:rPr>
          <w:t>http://thebiblicalworld.blogspot.co.uk/2011/01/childlessness-and-bible-2-defective.html</w:t>
        </w:r>
      </w:hyperlink>
      <w:r w:rsidRPr="0037261A">
        <w:rPr>
          <w:rFonts w:ascii="Arial" w:hAnsi="Arial" w:cs="Arial"/>
          <w:b/>
          <w:sz w:val="20"/>
          <w:szCs w:val="20"/>
        </w:rPr>
        <w:t xml:space="preserve"> [accessed 14/11/17]</w:t>
      </w:r>
    </w:p>
    <w:p w14:paraId="12ED03A9" w14:textId="7DA5FD40" w:rsidR="00D917BC" w:rsidRPr="0037261A" w:rsidRDefault="00D917BC" w:rsidP="00F04E07">
      <w:pPr>
        <w:pStyle w:val="ListParagraph"/>
        <w:numPr>
          <w:ilvl w:val="0"/>
          <w:numId w:val="3"/>
        </w:numPr>
        <w:rPr>
          <w:rFonts w:ascii="Arial" w:hAnsi="Arial" w:cs="Arial"/>
          <w:b/>
          <w:sz w:val="20"/>
          <w:szCs w:val="20"/>
        </w:rPr>
      </w:pPr>
      <w:r w:rsidRPr="0037261A">
        <w:rPr>
          <w:rFonts w:ascii="Arial" w:hAnsi="Arial" w:cs="Arial"/>
          <w:b/>
          <w:color w:val="32322F"/>
          <w:sz w:val="20"/>
          <w:szCs w:val="20"/>
          <w:lang w:val="en-US"/>
        </w:rPr>
        <w:t xml:space="preserve">Cantu, A., 2001. The Shakespeare Conspiracy. </w:t>
      </w:r>
      <w:r w:rsidRPr="0037261A">
        <w:rPr>
          <w:rFonts w:ascii="Arial" w:hAnsi="Arial" w:cs="Arial"/>
          <w:b/>
          <w:i/>
          <w:iCs/>
          <w:color w:val="32322F"/>
          <w:sz w:val="20"/>
          <w:szCs w:val="20"/>
          <w:lang w:val="en-US"/>
        </w:rPr>
        <w:t>Library Journal</w:t>
      </w:r>
      <w:r w:rsidRPr="0037261A">
        <w:rPr>
          <w:rFonts w:ascii="Arial" w:hAnsi="Arial" w:cs="Arial"/>
          <w:b/>
          <w:color w:val="32322F"/>
          <w:sz w:val="20"/>
          <w:szCs w:val="20"/>
          <w:lang w:val="en-US"/>
        </w:rPr>
        <w:t>, 126(3), p.214.</w:t>
      </w:r>
    </w:p>
    <w:p w14:paraId="70298F09" w14:textId="72C55BFC" w:rsidR="004A3B63" w:rsidRPr="0037261A" w:rsidRDefault="004A3B63" w:rsidP="00F04E07">
      <w:pPr>
        <w:pStyle w:val="ListParagraph"/>
        <w:numPr>
          <w:ilvl w:val="0"/>
          <w:numId w:val="3"/>
        </w:numPr>
        <w:rPr>
          <w:rFonts w:ascii="Arial" w:hAnsi="Arial" w:cs="Arial"/>
          <w:b/>
          <w:sz w:val="20"/>
          <w:szCs w:val="20"/>
        </w:rPr>
      </w:pPr>
      <w:r w:rsidRPr="0037261A">
        <w:rPr>
          <w:rFonts w:ascii="Arial" w:hAnsi="Arial" w:cs="Arial"/>
          <w:b/>
          <w:sz w:val="20"/>
          <w:szCs w:val="20"/>
        </w:rPr>
        <w:t xml:space="preserve">Charpin, D. 24th April, 2012. </w:t>
      </w:r>
      <w:r w:rsidRPr="0037261A">
        <w:rPr>
          <w:rFonts w:ascii="Arial" w:hAnsi="Arial" w:cs="Arial"/>
          <w:b/>
          <w:i/>
          <w:sz w:val="20"/>
          <w:szCs w:val="20"/>
        </w:rPr>
        <w:t xml:space="preserve">Hammurabi of Babylon. </w:t>
      </w:r>
      <w:r w:rsidRPr="0037261A">
        <w:rPr>
          <w:rFonts w:ascii="Arial" w:hAnsi="Arial" w:cs="Arial"/>
          <w:b/>
          <w:sz w:val="20"/>
          <w:szCs w:val="20"/>
        </w:rPr>
        <w:t>I.B.Tauris</w:t>
      </w:r>
    </w:p>
    <w:p w14:paraId="7833B576" w14:textId="5CBFD2F2" w:rsidR="005C371F" w:rsidRPr="0037261A" w:rsidRDefault="005C371F" w:rsidP="005C371F">
      <w:pPr>
        <w:pStyle w:val="ListParagraph"/>
        <w:numPr>
          <w:ilvl w:val="0"/>
          <w:numId w:val="3"/>
        </w:numPr>
        <w:rPr>
          <w:rFonts w:ascii="Arial" w:hAnsi="Arial" w:cs="Arial"/>
          <w:b/>
          <w:sz w:val="20"/>
          <w:szCs w:val="20"/>
        </w:rPr>
      </w:pPr>
      <w:r w:rsidRPr="0037261A">
        <w:rPr>
          <w:rFonts w:ascii="Arial" w:hAnsi="Arial" w:cs="Arial"/>
          <w:b/>
          <w:sz w:val="20"/>
          <w:szCs w:val="20"/>
        </w:rPr>
        <w:t xml:space="preserve">Claire, Iselin. </w:t>
      </w:r>
      <w:r w:rsidRPr="0037261A">
        <w:rPr>
          <w:rFonts w:ascii="Arial" w:hAnsi="Arial" w:cs="Arial"/>
          <w:b/>
          <w:i/>
          <w:color w:val="000000"/>
          <w:sz w:val="20"/>
          <w:szCs w:val="20"/>
          <w:lang w:val="en"/>
        </w:rPr>
        <w:t xml:space="preserve">Law Code of Hammurabi, king of Babylon </w:t>
      </w:r>
      <w:r w:rsidRPr="0037261A">
        <w:rPr>
          <w:rFonts w:ascii="Arial" w:hAnsi="Arial" w:cs="Arial"/>
          <w:b/>
          <w:color w:val="000000"/>
          <w:sz w:val="20"/>
          <w:szCs w:val="20"/>
          <w:lang w:val="en"/>
        </w:rPr>
        <w:t xml:space="preserve">[ONLINE]. Available at: </w:t>
      </w:r>
      <w:hyperlink r:id="rId9" w:history="1">
        <w:r w:rsidRPr="0037261A">
          <w:rPr>
            <w:rStyle w:val="Hyperlink"/>
            <w:rFonts w:ascii="Arial" w:hAnsi="Arial" w:cs="Arial"/>
            <w:b/>
            <w:sz w:val="20"/>
            <w:szCs w:val="20"/>
            <w:lang w:val="en"/>
          </w:rPr>
          <w:t>http://www.louvre.fr/en/oeuvre-notices/law-code-hammurabi-king-babylon</w:t>
        </w:r>
      </w:hyperlink>
      <w:r w:rsidRPr="0037261A">
        <w:rPr>
          <w:rFonts w:ascii="Arial" w:hAnsi="Arial" w:cs="Arial"/>
          <w:b/>
          <w:color w:val="000000"/>
          <w:sz w:val="20"/>
          <w:szCs w:val="20"/>
          <w:lang w:val="en"/>
        </w:rPr>
        <w:t xml:space="preserve"> [Accessed on 09/11/2017]</w:t>
      </w:r>
    </w:p>
    <w:p w14:paraId="3AF92988" w14:textId="7E339FFD" w:rsidR="00E97579" w:rsidRPr="0037261A" w:rsidRDefault="00E97579" w:rsidP="00F04E07">
      <w:pPr>
        <w:pStyle w:val="ListParagraph"/>
        <w:numPr>
          <w:ilvl w:val="0"/>
          <w:numId w:val="3"/>
        </w:numPr>
        <w:rPr>
          <w:rFonts w:ascii="Arial" w:hAnsi="Arial" w:cs="Arial"/>
          <w:b/>
          <w:sz w:val="20"/>
          <w:szCs w:val="20"/>
        </w:rPr>
      </w:pPr>
      <w:r w:rsidRPr="0037261A">
        <w:rPr>
          <w:rFonts w:ascii="Arial" w:hAnsi="Arial" w:cs="Arial"/>
          <w:b/>
          <w:color w:val="32322F"/>
          <w:sz w:val="20"/>
          <w:szCs w:val="20"/>
          <w:lang w:val="en-US"/>
        </w:rPr>
        <w:t xml:space="preserve">Cook, S., &amp; United Theological College, Aberystwyth former location. (1903). </w:t>
      </w:r>
      <w:r w:rsidRPr="0037261A">
        <w:rPr>
          <w:rFonts w:ascii="Arial" w:hAnsi="Arial" w:cs="Arial"/>
          <w:b/>
          <w:i/>
          <w:iCs/>
          <w:color w:val="32322F"/>
          <w:sz w:val="20"/>
          <w:szCs w:val="20"/>
          <w:lang w:val="en-US"/>
        </w:rPr>
        <w:t xml:space="preserve">The laws of Moses and the code of </w:t>
      </w:r>
      <w:r w:rsidR="00D92038" w:rsidRPr="0037261A">
        <w:rPr>
          <w:rFonts w:ascii="Arial" w:hAnsi="Arial" w:cs="Arial"/>
          <w:b/>
          <w:i/>
          <w:iCs/>
          <w:color w:val="32322F"/>
          <w:sz w:val="20"/>
          <w:szCs w:val="20"/>
          <w:lang w:val="en-US"/>
        </w:rPr>
        <w:t>Hammurabi</w:t>
      </w:r>
      <w:r w:rsidRPr="0037261A">
        <w:rPr>
          <w:rFonts w:ascii="Arial" w:hAnsi="Arial" w:cs="Arial"/>
          <w:b/>
          <w:color w:val="32322F"/>
          <w:sz w:val="20"/>
          <w:szCs w:val="20"/>
          <w:lang w:val="en-US"/>
        </w:rPr>
        <w:t>. London: Adam and Charles Black.</w:t>
      </w:r>
    </w:p>
    <w:p w14:paraId="32ABD083" w14:textId="2820B130" w:rsidR="00B475D0" w:rsidRPr="0037261A" w:rsidRDefault="00B475D0" w:rsidP="00F04E07">
      <w:pPr>
        <w:pStyle w:val="ListParagraph"/>
        <w:numPr>
          <w:ilvl w:val="0"/>
          <w:numId w:val="3"/>
        </w:numPr>
        <w:rPr>
          <w:rFonts w:ascii="Arial" w:hAnsi="Arial" w:cs="Arial"/>
          <w:b/>
          <w:sz w:val="20"/>
          <w:szCs w:val="20"/>
        </w:rPr>
      </w:pPr>
      <w:r w:rsidRPr="0037261A">
        <w:rPr>
          <w:rFonts w:ascii="Arial" w:hAnsi="Arial" w:cs="Arial"/>
          <w:b/>
          <w:sz w:val="20"/>
          <w:szCs w:val="20"/>
        </w:rPr>
        <w:t xml:space="preserve">Couto-Ferreira, </w:t>
      </w:r>
      <w:r w:rsidRPr="0037261A">
        <w:rPr>
          <w:rFonts w:ascii="Arial" w:hAnsi="Arial" w:cs="Arial"/>
          <w:b/>
          <w:i/>
          <w:sz w:val="20"/>
          <w:szCs w:val="20"/>
        </w:rPr>
        <w:t xml:space="preserve">Being Mothers (or) Acting Like Mothers: constructing motherhood in ancient Mesopotamia, </w:t>
      </w:r>
      <w:r w:rsidRPr="0037261A">
        <w:rPr>
          <w:rFonts w:ascii="Arial" w:hAnsi="Arial" w:cs="Arial"/>
          <w:b/>
          <w:color w:val="000000"/>
          <w:sz w:val="20"/>
          <w:szCs w:val="20"/>
        </w:rPr>
        <w:t xml:space="preserve">Budin and J.M. Turfa (eds) </w:t>
      </w:r>
      <w:r w:rsidR="00415178" w:rsidRPr="0037261A">
        <w:rPr>
          <w:rFonts w:ascii="Arial" w:hAnsi="Arial" w:cs="Arial"/>
          <w:b/>
          <w:color w:val="000000"/>
          <w:sz w:val="20"/>
          <w:szCs w:val="20"/>
        </w:rPr>
        <w:t xml:space="preserve">2014 </w:t>
      </w:r>
      <w:r w:rsidRPr="0037261A">
        <w:rPr>
          <w:rFonts w:ascii="Arial" w:hAnsi="Arial" w:cs="Arial"/>
          <w:b/>
          <w:color w:val="000000"/>
          <w:sz w:val="20"/>
          <w:szCs w:val="20"/>
        </w:rPr>
        <w:t>Women in Antiquity: Real Women Across the Ancient World. London: New York: Routledge</w:t>
      </w:r>
      <w:r w:rsidR="00557426" w:rsidRPr="0037261A">
        <w:rPr>
          <w:rFonts w:ascii="Arial" w:hAnsi="Arial" w:cs="Arial"/>
          <w:b/>
          <w:color w:val="000000"/>
          <w:sz w:val="20"/>
          <w:szCs w:val="20"/>
        </w:rPr>
        <w:t>. Pp. 25-34.</w:t>
      </w:r>
    </w:p>
    <w:p w14:paraId="7518A0B2" w14:textId="5E2A7709" w:rsidR="0037261A" w:rsidRPr="0037261A" w:rsidRDefault="0037261A" w:rsidP="0037261A">
      <w:pPr>
        <w:pStyle w:val="ListParagraph"/>
        <w:numPr>
          <w:ilvl w:val="0"/>
          <w:numId w:val="3"/>
        </w:numPr>
        <w:rPr>
          <w:rFonts w:ascii="Arial" w:hAnsi="Arial" w:cs="Arial"/>
          <w:b/>
          <w:sz w:val="20"/>
          <w:szCs w:val="20"/>
        </w:rPr>
      </w:pPr>
      <w:r w:rsidRPr="0037261A">
        <w:rPr>
          <w:rFonts w:ascii="Arial" w:hAnsi="Arial" w:cs="Arial"/>
          <w:b/>
          <w:sz w:val="20"/>
          <w:szCs w:val="20"/>
        </w:rPr>
        <w:t>Doughty, S. 14</w:t>
      </w:r>
      <w:r w:rsidRPr="0037261A">
        <w:rPr>
          <w:rFonts w:ascii="Arial" w:hAnsi="Arial" w:cs="Arial"/>
          <w:b/>
          <w:sz w:val="20"/>
          <w:szCs w:val="20"/>
          <w:vertAlign w:val="superscript"/>
        </w:rPr>
        <w:t>th</w:t>
      </w:r>
      <w:r w:rsidRPr="0037261A">
        <w:rPr>
          <w:rFonts w:ascii="Arial" w:hAnsi="Arial" w:cs="Arial"/>
          <w:b/>
          <w:sz w:val="20"/>
          <w:szCs w:val="20"/>
        </w:rPr>
        <w:t xml:space="preserve"> Feb 2012.</w:t>
      </w:r>
      <w:r w:rsidRPr="0037261A">
        <w:rPr>
          <w:rFonts w:ascii="Arial" w:hAnsi="Arial" w:cs="Arial"/>
          <w:b/>
          <w:i/>
          <w:sz w:val="20"/>
          <w:szCs w:val="20"/>
        </w:rPr>
        <w:t xml:space="preserve"> </w:t>
      </w:r>
      <w:r w:rsidRPr="0037261A">
        <w:rPr>
          <w:rFonts w:ascii="Arial" w:hAnsi="Arial" w:cs="Arial"/>
          <w:b/>
          <w:i/>
          <w:color w:val="000000"/>
          <w:sz w:val="20"/>
          <w:szCs w:val="20"/>
        </w:rPr>
        <w:t>Why a Pole's politeness can be lost in translation</w:t>
      </w:r>
      <w:r w:rsidRPr="0037261A">
        <w:rPr>
          <w:rFonts w:ascii="Arial" w:hAnsi="Arial" w:cs="Arial"/>
          <w:b/>
          <w:color w:val="000000"/>
          <w:sz w:val="20"/>
          <w:szCs w:val="20"/>
        </w:rPr>
        <w:t xml:space="preserve"> [ONLINE]. Available at: </w:t>
      </w:r>
      <w:hyperlink r:id="rId10" w:history="1">
        <w:r w:rsidRPr="0037261A">
          <w:rPr>
            <w:rStyle w:val="Hyperlink"/>
            <w:rFonts w:ascii="Arial" w:hAnsi="Arial" w:cs="Arial"/>
            <w:b/>
            <w:sz w:val="20"/>
            <w:szCs w:val="20"/>
          </w:rPr>
          <w:t>http://www.dailymail.co.uk/news/article-2100727/Why-Poles-politeness-lost-translation.html</w:t>
        </w:r>
      </w:hyperlink>
      <w:r w:rsidRPr="0037261A">
        <w:rPr>
          <w:rFonts w:ascii="Arial" w:hAnsi="Arial" w:cs="Arial"/>
          <w:b/>
          <w:color w:val="000000"/>
          <w:sz w:val="20"/>
          <w:szCs w:val="20"/>
        </w:rPr>
        <w:t xml:space="preserve"> [Accessed 14/11/2017]</w:t>
      </w:r>
    </w:p>
    <w:p w14:paraId="73EAE6A6" w14:textId="37EA5553" w:rsidR="00687125" w:rsidRPr="0037261A" w:rsidRDefault="00687125" w:rsidP="00687125">
      <w:pPr>
        <w:pStyle w:val="ListParagraph"/>
        <w:numPr>
          <w:ilvl w:val="0"/>
          <w:numId w:val="3"/>
        </w:numPr>
        <w:rPr>
          <w:rFonts w:ascii="Arial" w:hAnsi="Arial" w:cs="Arial"/>
          <w:b/>
          <w:sz w:val="20"/>
          <w:szCs w:val="20"/>
        </w:rPr>
      </w:pPr>
      <w:r w:rsidRPr="0037261A">
        <w:rPr>
          <w:rFonts w:ascii="Arial" w:hAnsi="Arial" w:cs="Arial"/>
          <w:b/>
          <w:sz w:val="20"/>
          <w:szCs w:val="20"/>
        </w:rPr>
        <w:t xml:space="preserve">Elish, E. </w:t>
      </w:r>
      <w:r w:rsidRPr="0037261A">
        <w:rPr>
          <w:rFonts w:ascii="Arial" w:hAnsi="Arial" w:cs="Arial"/>
          <w:b/>
          <w:i/>
          <w:sz w:val="20"/>
          <w:szCs w:val="20"/>
        </w:rPr>
        <w:t xml:space="preserve">Babylon </w:t>
      </w:r>
      <w:r w:rsidRPr="0037261A">
        <w:rPr>
          <w:rFonts w:ascii="Arial" w:hAnsi="Arial" w:cs="Arial"/>
          <w:b/>
          <w:sz w:val="20"/>
          <w:szCs w:val="20"/>
        </w:rPr>
        <w:t xml:space="preserve">[ONLINE]. Available at </w:t>
      </w:r>
      <w:hyperlink r:id="rId11" w:history="1">
        <w:r w:rsidRPr="0037261A">
          <w:rPr>
            <w:rStyle w:val="Hyperlink"/>
            <w:rFonts w:ascii="Arial" w:hAnsi="Arial" w:cs="Arial"/>
            <w:b/>
            <w:sz w:val="20"/>
            <w:szCs w:val="20"/>
          </w:rPr>
          <w:t>http://www.crystalinks.com/babylonia.html</w:t>
        </w:r>
      </w:hyperlink>
      <w:r w:rsidRPr="0037261A">
        <w:rPr>
          <w:rFonts w:ascii="Arial" w:hAnsi="Arial" w:cs="Arial"/>
          <w:b/>
          <w:color w:val="000000"/>
          <w:sz w:val="20"/>
          <w:szCs w:val="20"/>
        </w:rPr>
        <w:t xml:space="preserve"> [accessed 10/11/2017]</w:t>
      </w:r>
    </w:p>
    <w:p w14:paraId="25C6DAE9" w14:textId="43FB6B72" w:rsidR="003B41AB" w:rsidRPr="0037261A" w:rsidRDefault="003B41AB" w:rsidP="00F04E07">
      <w:pPr>
        <w:pStyle w:val="ListParagraph"/>
        <w:numPr>
          <w:ilvl w:val="0"/>
          <w:numId w:val="3"/>
        </w:numPr>
        <w:rPr>
          <w:rFonts w:ascii="Arial" w:hAnsi="Arial" w:cs="Arial"/>
          <w:b/>
          <w:sz w:val="20"/>
          <w:szCs w:val="20"/>
        </w:rPr>
      </w:pPr>
      <w:r w:rsidRPr="0037261A">
        <w:rPr>
          <w:rFonts w:ascii="Arial" w:hAnsi="Arial" w:cs="Arial"/>
          <w:b/>
          <w:color w:val="32322F"/>
          <w:sz w:val="20"/>
          <w:szCs w:val="20"/>
          <w:lang w:val="en-US"/>
        </w:rPr>
        <w:lastRenderedPageBreak/>
        <w:t xml:space="preserve">Fidler, Florence G., 1913. Position of women under the Hammurabi code. </w:t>
      </w:r>
      <w:r w:rsidRPr="0037261A">
        <w:rPr>
          <w:rFonts w:ascii="Arial" w:hAnsi="Arial" w:cs="Arial"/>
          <w:b/>
          <w:i/>
          <w:iCs/>
          <w:color w:val="32322F"/>
          <w:sz w:val="20"/>
          <w:szCs w:val="20"/>
          <w:lang w:val="en-US"/>
        </w:rPr>
        <w:t>English Review (London, England: 1908)</w:t>
      </w:r>
      <w:r w:rsidRPr="0037261A">
        <w:rPr>
          <w:rFonts w:ascii="Arial" w:hAnsi="Arial" w:cs="Arial"/>
          <w:b/>
          <w:color w:val="32322F"/>
          <w:sz w:val="20"/>
          <w:szCs w:val="20"/>
          <w:lang w:val="en-US"/>
        </w:rPr>
        <w:t>, 15, pp.422–430.</w:t>
      </w:r>
    </w:p>
    <w:p w14:paraId="74753417" w14:textId="42D3A976" w:rsidR="00E25F62" w:rsidRPr="0037261A" w:rsidRDefault="00E25F62" w:rsidP="00F04E07">
      <w:pPr>
        <w:pStyle w:val="ListParagraph"/>
        <w:numPr>
          <w:ilvl w:val="0"/>
          <w:numId w:val="3"/>
        </w:numPr>
        <w:rPr>
          <w:rFonts w:ascii="Arial" w:hAnsi="Arial" w:cs="Arial"/>
          <w:b/>
          <w:sz w:val="20"/>
          <w:szCs w:val="20"/>
        </w:rPr>
      </w:pPr>
      <w:r w:rsidRPr="0037261A">
        <w:rPr>
          <w:rFonts w:ascii="Arial" w:hAnsi="Arial" w:cs="Arial"/>
          <w:b/>
          <w:color w:val="32322F"/>
          <w:sz w:val="20"/>
          <w:szCs w:val="20"/>
          <w:lang w:val="en-US"/>
        </w:rPr>
        <w:t xml:space="preserve">Finkelstein, J.J., 1968. The Laws of Ur-Nammu. </w:t>
      </w:r>
      <w:r w:rsidRPr="0037261A">
        <w:rPr>
          <w:rFonts w:ascii="Arial" w:hAnsi="Arial" w:cs="Arial"/>
          <w:b/>
          <w:i/>
          <w:iCs/>
          <w:color w:val="32322F"/>
          <w:sz w:val="20"/>
          <w:szCs w:val="20"/>
          <w:lang w:val="en-US"/>
        </w:rPr>
        <w:t>Journal of Cuneiform Studies</w:t>
      </w:r>
      <w:r w:rsidRPr="0037261A">
        <w:rPr>
          <w:rFonts w:ascii="Arial" w:hAnsi="Arial" w:cs="Arial"/>
          <w:b/>
          <w:color w:val="32322F"/>
          <w:sz w:val="20"/>
          <w:szCs w:val="20"/>
          <w:lang w:val="en-US"/>
        </w:rPr>
        <w:t>, 22(3/4), pp.66–82.</w:t>
      </w:r>
    </w:p>
    <w:p w14:paraId="5CB1E1DA" w14:textId="2B7FC0DD" w:rsidR="00F25B3D" w:rsidRPr="0037261A" w:rsidRDefault="00F25B3D" w:rsidP="00F04E07">
      <w:pPr>
        <w:pStyle w:val="ListParagraph"/>
        <w:numPr>
          <w:ilvl w:val="0"/>
          <w:numId w:val="3"/>
        </w:numPr>
        <w:rPr>
          <w:rFonts w:ascii="Arial" w:hAnsi="Arial" w:cs="Arial"/>
          <w:b/>
          <w:sz w:val="20"/>
          <w:szCs w:val="20"/>
        </w:rPr>
      </w:pPr>
      <w:r w:rsidRPr="0037261A">
        <w:rPr>
          <w:rFonts w:ascii="Arial" w:hAnsi="Arial" w:cs="Arial"/>
          <w:b/>
          <w:sz w:val="20"/>
          <w:szCs w:val="20"/>
        </w:rPr>
        <w:t xml:space="preserve">Gates, C., 2003. </w:t>
      </w:r>
      <w:r w:rsidRPr="0037261A">
        <w:rPr>
          <w:rFonts w:ascii="Arial" w:hAnsi="Arial" w:cs="Arial"/>
          <w:b/>
          <w:i/>
          <w:iCs/>
          <w:sz w:val="20"/>
          <w:szCs w:val="20"/>
        </w:rPr>
        <w:t xml:space="preserve">Ancient </w:t>
      </w:r>
      <w:r w:rsidR="00D92038" w:rsidRPr="0037261A">
        <w:rPr>
          <w:rFonts w:ascii="Arial" w:hAnsi="Arial" w:cs="Arial"/>
          <w:b/>
          <w:i/>
          <w:iCs/>
          <w:sz w:val="20"/>
          <w:szCs w:val="20"/>
        </w:rPr>
        <w:t>cities:</w:t>
      </w:r>
      <w:r w:rsidRPr="0037261A">
        <w:rPr>
          <w:rFonts w:ascii="Arial" w:hAnsi="Arial" w:cs="Arial"/>
          <w:b/>
          <w:i/>
          <w:iCs/>
          <w:sz w:val="20"/>
          <w:szCs w:val="20"/>
        </w:rPr>
        <w:t xml:space="preserve"> the archaeology of urban life in the Ancient Near East and Egypt, Greece and Rome</w:t>
      </w:r>
      <w:r w:rsidRPr="0037261A">
        <w:rPr>
          <w:rFonts w:ascii="Arial" w:hAnsi="Arial" w:cs="Arial"/>
          <w:b/>
          <w:sz w:val="20"/>
          <w:szCs w:val="20"/>
        </w:rPr>
        <w:t>, London: Routledge.</w:t>
      </w:r>
    </w:p>
    <w:p w14:paraId="39AB7D85" w14:textId="715F7C53" w:rsidR="00E97579" w:rsidRPr="0037261A" w:rsidRDefault="00E97579" w:rsidP="00F04E07">
      <w:pPr>
        <w:pStyle w:val="ListParagraph"/>
        <w:numPr>
          <w:ilvl w:val="0"/>
          <w:numId w:val="3"/>
        </w:numPr>
        <w:rPr>
          <w:rFonts w:ascii="Arial" w:hAnsi="Arial" w:cs="Arial"/>
          <w:b/>
          <w:sz w:val="20"/>
          <w:szCs w:val="20"/>
        </w:rPr>
      </w:pPr>
      <w:r w:rsidRPr="0037261A">
        <w:rPr>
          <w:rFonts w:ascii="Arial" w:hAnsi="Arial" w:cs="Arial"/>
          <w:b/>
          <w:color w:val="32322F"/>
          <w:sz w:val="20"/>
          <w:szCs w:val="20"/>
          <w:lang w:val="en-US"/>
        </w:rPr>
        <w:t xml:space="preserve">Hamori, Esther J., 2011. Echoes of Gilgamesh in the Jacob Story. </w:t>
      </w:r>
      <w:r w:rsidRPr="0037261A">
        <w:rPr>
          <w:rFonts w:ascii="Arial" w:hAnsi="Arial" w:cs="Arial"/>
          <w:b/>
          <w:i/>
          <w:iCs/>
          <w:color w:val="32322F"/>
          <w:sz w:val="20"/>
          <w:szCs w:val="20"/>
          <w:lang w:val="en-US"/>
        </w:rPr>
        <w:t>Journal of Biblical Literature</w:t>
      </w:r>
      <w:r w:rsidRPr="0037261A">
        <w:rPr>
          <w:rFonts w:ascii="Arial" w:hAnsi="Arial" w:cs="Arial"/>
          <w:b/>
          <w:color w:val="32322F"/>
          <w:sz w:val="20"/>
          <w:szCs w:val="20"/>
          <w:lang w:val="en-US"/>
        </w:rPr>
        <w:t>, 130(4), pp.625–643.</w:t>
      </w:r>
    </w:p>
    <w:p w14:paraId="6BE46A56" w14:textId="2746CB53" w:rsidR="00245E1F" w:rsidRPr="0037261A" w:rsidRDefault="00245E1F" w:rsidP="00F04E07">
      <w:pPr>
        <w:pStyle w:val="ListParagraph"/>
        <w:numPr>
          <w:ilvl w:val="0"/>
          <w:numId w:val="3"/>
        </w:numPr>
        <w:rPr>
          <w:rFonts w:ascii="Arial" w:hAnsi="Arial" w:cs="Arial"/>
          <w:b/>
          <w:sz w:val="20"/>
          <w:szCs w:val="20"/>
        </w:rPr>
      </w:pPr>
      <w:r w:rsidRPr="0037261A">
        <w:rPr>
          <w:rFonts w:ascii="Arial" w:hAnsi="Arial" w:cs="Arial"/>
          <w:b/>
          <w:sz w:val="20"/>
          <w:szCs w:val="20"/>
        </w:rPr>
        <w:t xml:space="preserve">Harris, R., 2003. </w:t>
      </w:r>
      <w:r w:rsidRPr="0037261A">
        <w:rPr>
          <w:rFonts w:ascii="Arial" w:hAnsi="Arial" w:cs="Arial"/>
          <w:b/>
          <w:i/>
          <w:iCs/>
          <w:sz w:val="20"/>
          <w:szCs w:val="20"/>
        </w:rPr>
        <w:t xml:space="preserve">Gender and aging in </w:t>
      </w:r>
      <w:r w:rsidR="00D92038" w:rsidRPr="0037261A">
        <w:rPr>
          <w:rFonts w:ascii="Arial" w:hAnsi="Arial" w:cs="Arial"/>
          <w:b/>
          <w:i/>
          <w:iCs/>
          <w:sz w:val="20"/>
          <w:szCs w:val="20"/>
        </w:rPr>
        <w:t>Mesopotamia:</w:t>
      </w:r>
      <w:r w:rsidRPr="0037261A">
        <w:rPr>
          <w:rFonts w:ascii="Arial" w:hAnsi="Arial" w:cs="Arial"/>
          <w:b/>
          <w:i/>
          <w:iCs/>
          <w:sz w:val="20"/>
          <w:szCs w:val="20"/>
        </w:rPr>
        <w:t xml:space="preserve"> the Gilgamesh epic and other ancient literature</w:t>
      </w:r>
      <w:r w:rsidRPr="0037261A">
        <w:rPr>
          <w:rFonts w:ascii="Arial" w:hAnsi="Arial" w:cs="Arial"/>
          <w:b/>
          <w:sz w:val="20"/>
          <w:szCs w:val="20"/>
        </w:rPr>
        <w:t xml:space="preserve"> Red River Books., Norman: University of Oklahoma Press.</w:t>
      </w:r>
    </w:p>
    <w:p w14:paraId="0388EFDB" w14:textId="41D1BD9B" w:rsidR="00645A54" w:rsidRPr="0037261A" w:rsidRDefault="00645A54" w:rsidP="00F04E07">
      <w:pPr>
        <w:pStyle w:val="ListParagraph"/>
        <w:numPr>
          <w:ilvl w:val="0"/>
          <w:numId w:val="3"/>
        </w:numPr>
        <w:rPr>
          <w:rFonts w:ascii="Arial" w:hAnsi="Arial" w:cs="Arial"/>
          <w:b/>
          <w:sz w:val="20"/>
          <w:szCs w:val="20"/>
        </w:rPr>
      </w:pPr>
      <w:r w:rsidRPr="0037261A">
        <w:rPr>
          <w:rFonts w:ascii="Arial" w:hAnsi="Arial" w:cs="Arial"/>
          <w:b/>
          <w:color w:val="32322F"/>
          <w:sz w:val="20"/>
          <w:szCs w:val="20"/>
          <w:lang w:val="en-US"/>
        </w:rPr>
        <w:t xml:space="preserve">Heidel, A. &amp; United Theological College, Aberystwyth former location, 1970. </w:t>
      </w:r>
      <w:r w:rsidRPr="0037261A">
        <w:rPr>
          <w:rFonts w:ascii="Arial" w:hAnsi="Arial" w:cs="Arial"/>
          <w:b/>
          <w:i/>
          <w:iCs/>
          <w:color w:val="32322F"/>
          <w:sz w:val="20"/>
          <w:szCs w:val="20"/>
          <w:lang w:val="en-US"/>
        </w:rPr>
        <w:t>The Gilgamesh epic and Old Testament parallels</w:t>
      </w:r>
      <w:r w:rsidRPr="0037261A">
        <w:rPr>
          <w:rFonts w:ascii="Arial" w:hAnsi="Arial" w:cs="Arial"/>
          <w:b/>
          <w:color w:val="32322F"/>
          <w:sz w:val="20"/>
          <w:szCs w:val="20"/>
          <w:lang w:val="en-US"/>
        </w:rPr>
        <w:t xml:space="preserve"> 2d ed., Chicago ; London: University of Chicago Press.</w:t>
      </w:r>
    </w:p>
    <w:p w14:paraId="0BD51AE2" w14:textId="0FFD5686" w:rsidR="00B54411" w:rsidRPr="0037261A" w:rsidRDefault="00B54411" w:rsidP="00B54411">
      <w:pPr>
        <w:pStyle w:val="ListParagraph"/>
        <w:numPr>
          <w:ilvl w:val="0"/>
          <w:numId w:val="3"/>
        </w:numPr>
        <w:rPr>
          <w:rFonts w:ascii="Arial" w:hAnsi="Arial" w:cs="Arial"/>
          <w:b/>
          <w:sz w:val="20"/>
          <w:szCs w:val="20"/>
        </w:rPr>
      </w:pPr>
      <w:r w:rsidRPr="0037261A">
        <w:rPr>
          <w:rFonts w:ascii="Arial" w:hAnsi="Arial" w:cs="Arial"/>
          <w:b/>
          <w:color w:val="32322F"/>
          <w:sz w:val="20"/>
          <w:szCs w:val="20"/>
          <w:lang w:val="en-US"/>
        </w:rPr>
        <w:t>Horowitz, Wayne</w:t>
      </w:r>
      <w:r w:rsidRPr="0037261A">
        <w:rPr>
          <w:rFonts w:ascii="Arial" w:hAnsi="Arial" w:cs="Arial"/>
          <w:b/>
          <w:sz w:val="20"/>
          <w:szCs w:val="20"/>
        </w:rPr>
        <w:t xml:space="preserve">, 2013. Hazor: A Cuneiform City in the West. </w:t>
      </w:r>
      <w:r w:rsidRPr="0037261A">
        <w:rPr>
          <w:rFonts w:ascii="Arial" w:hAnsi="Arial" w:cs="Arial"/>
          <w:b/>
          <w:i/>
          <w:iCs/>
          <w:sz w:val="20"/>
          <w:szCs w:val="20"/>
        </w:rPr>
        <w:t>Near Eastern Archaeology (NEA)</w:t>
      </w:r>
      <w:r w:rsidRPr="0037261A">
        <w:rPr>
          <w:rFonts w:ascii="Arial" w:hAnsi="Arial" w:cs="Arial"/>
          <w:b/>
          <w:sz w:val="20"/>
          <w:szCs w:val="20"/>
        </w:rPr>
        <w:t>, 76(2), pp.98–101.</w:t>
      </w:r>
    </w:p>
    <w:p w14:paraId="5C1F4C1C" w14:textId="77777777" w:rsidR="001C2B3A" w:rsidRPr="0037261A" w:rsidRDefault="00F871ED" w:rsidP="001C2B3A">
      <w:pPr>
        <w:pStyle w:val="ListParagraph"/>
        <w:numPr>
          <w:ilvl w:val="0"/>
          <w:numId w:val="3"/>
        </w:numPr>
        <w:rPr>
          <w:rFonts w:ascii="Arial" w:hAnsi="Arial" w:cs="Arial"/>
          <w:b/>
          <w:sz w:val="20"/>
          <w:szCs w:val="20"/>
        </w:rPr>
      </w:pPr>
      <w:r w:rsidRPr="0037261A">
        <w:rPr>
          <w:rFonts w:ascii="Arial" w:hAnsi="Arial" w:cs="Arial"/>
          <w:b/>
          <w:color w:val="000000"/>
          <w:sz w:val="20"/>
          <w:szCs w:val="20"/>
        </w:rPr>
        <w:t xml:space="preserve">Justel, J.L. 2016. </w:t>
      </w:r>
      <w:r w:rsidRPr="0037261A">
        <w:rPr>
          <w:rFonts w:ascii="Arial" w:hAnsi="Arial" w:cs="Arial"/>
          <w:b/>
          <w:i/>
          <w:color w:val="000000"/>
          <w:sz w:val="20"/>
          <w:szCs w:val="20"/>
        </w:rPr>
        <w:t>Women, gender and law at the dawn of history: the evidence of the cuneiform tablets</w:t>
      </w:r>
      <w:r w:rsidRPr="0037261A">
        <w:rPr>
          <w:rFonts w:ascii="Arial" w:hAnsi="Arial" w:cs="Arial"/>
          <w:b/>
          <w:color w:val="000000"/>
          <w:sz w:val="20"/>
          <w:szCs w:val="20"/>
        </w:rPr>
        <w:t>. In S.L. Budin and J.M. Turfa (eds) Women in Antiquity: Real Women Across the Ancient World. 77-100. London: New York: Routledge.</w:t>
      </w:r>
    </w:p>
    <w:p w14:paraId="52B93346" w14:textId="37B7AFF4" w:rsidR="001C2B3A" w:rsidRPr="0037261A" w:rsidRDefault="001C2B3A" w:rsidP="001C2B3A">
      <w:pPr>
        <w:pStyle w:val="ListParagraph"/>
        <w:numPr>
          <w:ilvl w:val="0"/>
          <w:numId w:val="3"/>
        </w:numPr>
        <w:rPr>
          <w:rFonts w:ascii="Arial" w:hAnsi="Arial" w:cs="Arial"/>
          <w:b/>
          <w:sz w:val="20"/>
          <w:szCs w:val="20"/>
        </w:rPr>
      </w:pPr>
      <w:r w:rsidRPr="0037261A">
        <w:rPr>
          <w:rFonts w:ascii="Arial" w:hAnsi="Arial" w:cs="Arial"/>
          <w:b/>
          <w:color w:val="32322F"/>
          <w:sz w:val="20"/>
          <w:szCs w:val="20"/>
          <w:lang w:val="en-US"/>
        </w:rPr>
        <w:t xml:space="preserve">Kimble, G.W., 1979. From pebbles to position. </w:t>
      </w:r>
      <w:r w:rsidRPr="0037261A">
        <w:rPr>
          <w:rFonts w:ascii="Arial" w:hAnsi="Arial" w:cs="Arial"/>
          <w:b/>
          <w:i/>
          <w:iCs/>
          <w:color w:val="32322F"/>
          <w:sz w:val="20"/>
          <w:szCs w:val="20"/>
          <w:lang w:val="en-US"/>
        </w:rPr>
        <w:t>Historia Mathematica</w:t>
      </w:r>
      <w:r w:rsidRPr="0037261A">
        <w:rPr>
          <w:rFonts w:ascii="Arial" w:hAnsi="Arial" w:cs="Arial"/>
          <w:b/>
          <w:color w:val="32322F"/>
          <w:sz w:val="20"/>
          <w:szCs w:val="20"/>
          <w:lang w:val="en-US"/>
        </w:rPr>
        <w:t>, 6(3), pp.323–325.</w:t>
      </w:r>
    </w:p>
    <w:p w14:paraId="6F08CA3E" w14:textId="732ADDA1" w:rsidR="00E02A95" w:rsidRPr="0037261A" w:rsidRDefault="00E02A95" w:rsidP="00B54411">
      <w:pPr>
        <w:pStyle w:val="ListParagraph"/>
        <w:numPr>
          <w:ilvl w:val="0"/>
          <w:numId w:val="3"/>
        </w:numPr>
        <w:rPr>
          <w:rFonts w:ascii="Arial" w:hAnsi="Arial" w:cs="Arial"/>
          <w:b/>
          <w:sz w:val="20"/>
          <w:szCs w:val="20"/>
        </w:rPr>
      </w:pPr>
      <w:r w:rsidRPr="0037261A">
        <w:rPr>
          <w:rFonts w:ascii="Arial" w:hAnsi="Arial" w:cs="Arial"/>
          <w:b/>
          <w:sz w:val="20"/>
          <w:szCs w:val="20"/>
        </w:rPr>
        <w:t xml:space="preserve">Leick, </w:t>
      </w:r>
      <w:r w:rsidRPr="0037261A">
        <w:rPr>
          <w:rFonts w:ascii="Arial" w:hAnsi="Arial" w:cs="Arial"/>
          <w:b/>
          <w:color w:val="32322F"/>
          <w:sz w:val="20"/>
          <w:szCs w:val="20"/>
          <w:lang w:val="en-US"/>
        </w:rPr>
        <w:t xml:space="preserve">2015. </w:t>
      </w:r>
      <w:r w:rsidRPr="0037261A">
        <w:rPr>
          <w:rFonts w:ascii="Arial" w:hAnsi="Arial" w:cs="Arial"/>
          <w:b/>
          <w:i/>
          <w:sz w:val="20"/>
          <w:szCs w:val="20"/>
        </w:rPr>
        <w:t xml:space="preserve">Too young, too old: sex and age in Mesopotamian literature. </w:t>
      </w:r>
      <w:r w:rsidRPr="0037261A">
        <w:rPr>
          <w:rFonts w:ascii="Arial" w:hAnsi="Arial" w:cs="Arial"/>
          <w:b/>
          <w:sz w:val="20"/>
          <w:szCs w:val="20"/>
        </w:rPr>
        <w:t xml:space="preserve">In </w:t>
      </w:r>
      <w:r w:rsidRPr="0037261A">
        <w:rPr>
          <w:rFonts w:ascii="Arial" w:hAnsi="Arial" w:cs="Arial"/>
          <w:b/>
          <w:color w:val="32322F"/>
          <w:sz w:val="20"/>
          <w:szCs w:val="20"/>
          <w:lang w:val="en-US"/>
        </w:rPr>
        <w:t xml:space="preserve">Masterson et al.,. </w:t>
      </w:r>
      <w:r w:rsidRPr="0037261A">
        <w:rPr>
          <w:rFonts w:ascii="Arial" w:hAnsi="Arial" w:cs="Arial"/>
          <w:b/>
          <w:i/>
          <w:iCs/>
          <w:color w:val="32322F"/>
          <w:sz w:val="20"/>
          <w:szCs w:val="20"/>
          <w:lang w:val="en-US"/>
        </w:rPr>
        <w:t>Sex in antiquity exploring gender and sexuality in the ancient world</w:t>
      </w:r>
      <w:r w:rsidRPr="0037261A">
        <w:rPr>
          <w:rFonts w:ascii="Arial" w:hAnsi="Arial" w:cs="Arial"/>
          <w:b/>
          <w:color w:val="32322F"/>
          <w:sz w:val="20"/>
          <w:szCs w:val="20"/>
          <w:lang w:val="en-US"/>
        </w:rPr>
        <w:t>, London: Routledge.</w:t>
      </w:r>
      <w:r w:rsidR="00557426" w:rsidRPr="0037261A">
        <w:rPr>
          <w:rFonts w:ascii="Arial" w:hAnsi="Arial" w:cs="Arial"/>
          <w:b/>
          <w:color w:val="32322F"/>
          <w:sz w:val="20"/>
          <w:szCs w:val="20"/>
          <w:lang w:val="en-US"/>
        </w:rPr>
        <w:t xml:space="preserve"> pp. 80-96.</w:t>
      </w:r>
    </w:p>
    <w:p w14:paraId="7137BC65" w14:textId="3919C06A" w:rsidR="000165F5" w:rsidRPr="0037261A" w:rsidRDefault="000165F5" w:rsidP="00B54411">
      <w:pPr>
        <w:pStyle w:val="ListParagraph"/>
        <w:numPr>
          <w:ilvl w:val="0"/>
          <w:numId w:val="3"/>
        </w:numPr>
        <w:rPr>
          <w:rFonts w:ascii="Arial" w:hAnsi="Arial" w:cs="Arial"/>
          <w:b/>
          <w:sz w:val="20"/>
          <w:szCs w:val="20"/>
        </w:rPr>
      </w:pPr>
      <w:r w:rsidRPr="0037261A">
        <w:rPr>
          <w:rFonts w:ascii="Arial" w:hAnsi="Arial" w:cs="Arial"/>
          <w:b/>
          <w:sz w:val="20"/>
          <w:szCs w:val="20"/>
        </w:rPr>
        <w:t xml:space="preserve">Lyon, D.G., 1904. The Structure of the Hammurabi Code. </w:t>
      </w:r>
      <w:r w:rsidRPr="0037261A">
        <w:rPr>
          <w:rFonts w:ascii="Arial" w:hAnsi="Arial" w:cs="Arial"/>
          <w:b/>
          <w:i/>
          <w:iCs/>
          <w:sz w:val="20"/>
          <w:szCs w:val="20"/>
        </w:rPr>
        <w:t>Journal of the American Oriental Society</w:t>
      </w:r>
      <w:r w:rsidRPr="0037261A">
        <w:rPr>
          <w:rFonts w:ascii="Arial" w:hAnsi="Arial" w:cs="Arial"/>
          <w:b/>
          <w:sz w:val="20"/>
          <w:szCs w:val="20"/>
        </w:rPr>
        <w:t>, 25, pp.248–265.</w:t>
      </w:r>
    </w:p>
    <w:p w14:paraId="4619DEFE" w14:textId="7F6E287D" w:rsidR="00F04E07" w:rsidRPr="0037261A" w:rsidRDefault="00590409" w:rsidP="00F04E07">
      <w:pPr>
        <w:pStyle w:val="ListParagraph"/>
        <w:numPr>
          <w:ilvl w:val="0"/>
          <w:numId w:val="3"/>
        </w:numPr>
        <w:rPr>
          <w:rFonts w:ascii="Arial" w:hAnsi="Arial" w:cs="Arial"/>
          <w:b/>
          <w:sz w:val="20"/>
          <w:szCs w:val="20"/>
        </w:rPr>
      </w:pPr>
      <w:proofErr w:type="spellStart"/>
      <w:r w:rsidRPr="0037261A">
        <w:rPr>
          <w:rFonts w:ascii="Arial" w:hAnsi="Arial" w:cs="Arial"/>
          <w:b/>
          <w:sz w:val="20"/>
          <w:szCs w:val="20"/>
        </w:rPr>
        <w:t>Mcmahon</w:t>
      </w:r>
      <w:proofErr w:type="spellEnd"/>
      <w:r w:rsidRPr="0037261A">
        <w:rPr>
          <w:rFonts w:ascii="Arial" w:hAnsi="Arial" w:cs="Arial"/>
          <w:b/>
          <w:sz w:val="20"/>
          <w:szCs w:val="20"/>
        </w:rPr>
        <w:t xml:space="preserve">, A., 2013. Dominique CHARPIN, Hammurabi of </w:t>
      </w:r>
      <w:r w:rsidR="00D92038" w:rsidRPr="0037261A">
        <w:rPr>
          <w:rFonts w:ascii="Arial" w:hAnsi="Arial" w:cs="Arial"/>
          <w:b/>
          <w:sz w:val="20"/>
          <w:szCs w:val="20"/>
        </w:rPr>
        <w:t xml:space="preserve">Babylon. </w:t>
      </w:r>
      <w:r w:rsidRPr="0037261A">
        <w:rPr>
          <w:rFonts w:ascii="Arial" w:hAnsi="Arial" w:cs="Arial"/>
          <w:b/>
          <w:sz w:val="20"/>
          <w:szCs w:val="20"/>
        </w:rPr>
        <w:t>London: I.B. Tauris, 312 pp.</w:t>
      </w:r>
      <w:r w:rsidR="0037261A">
        <w:rPr>
          <w:rFonts w:ascii="Arial" w:hAnsi="Arial" w:cs="Arial"/>
          <w:b/>
          <w:sz w:val="20"/>
          <w:szCs w:val="20"/>
        </w:rPr>
        <w:t xml:space="preserve"> ISBN: 978-1-84885-752-0</w:t>
      </w:r>
      <w:r w:rsidRPr="0037261A">
        <w:rPr>
          <w:rFonts w:ascii="Arial" w:hAnsi="Arial" w:cs="Arial"/>
          <w:b/>
          <w:sz w:val="20"/>
          <w:szCs w:val="20"/>
        </w:rPr>
        <w:t xml:space="preserve">. </w:t>
      </w:r>
      <w:r w:rsidRPr="0037261A">
        <w:rPr>
          <w:rFonts w:ascii="Arial" w:hAnsi="Arial" w:cs="Arial"/>
          <w:b/>
          <w:i/>
          <w:iCs/>
          <w:sz w:val="20"/>
          <w:szCs w:val="20"/>
        </w:rPr>
        <w:t>Journal of the</w:t>
      </w:r>
      <w:r w:rsidR="00B54411" w:rsidRPr="0037261A">
        <w:rPr>
          <w:rFonts w:ascii="Arial" w:hAnsi="Arial" w:cs="Arial"/>
          <w:b/>
          <w:i/>
          <w:iCs/>
          <w:sz w:val="20"/>
          <w:szCs w:val="20"/>
        </w:rPr>
        <w:t xml:space="preserve"> Economic and Social History of </w:t>
      </w:r>
      <w:r w:rsidRPr="0037261A">
        <w:rPr>
          <w:rFonts w:ascii="Arial" w:hAnsi="Arial" w:cs="Arial"/>
          <w:b/>
          <w:i/>
          <w:iCs/>
          <w:sz w:val="20"/>
          <w:szCs w:val="20"/>
        </w:rPr>
        <w:t>the Orient</w:t>
      </w:r>
      <w:r w:rsidRPr="0037261A">
        <w:rPr>
          <w:rFonts w:ascii="Arial" w:hAnsi="Arial" w:cs="Arial"/>
          <w:b/>
          <w:sz w:val="20"/>
          <w:szCs w:val="20"/>
        </w:rPr>
        <w:t>, 56(3), pp.530–532.</w:t>
      </w:r>
    </w:p>
    <w:p w14:paraId="15C5AA64" w14:textId="1532A811" w:rsidR="001C2B3A" w:rsidRPr="0037261A" w:rsidRDefault="001C2B3A" w:rsidP="00F04E07">
      <w:pPr>
        <w:pStyle w:val="ListParagraph"/>
        <w:numPr>
          <w:ilvl w:val="0"/>
          <w:numId w:val="3"/>
        </w:numPr>
        <w:rPr>
          <w:rFonts w:ascii="Arial" w:hAnsi="Arial" w:cs="Arial"/>
          <w:b/>
          <w:sz w:val="20"/>
          <w:szCs w:val="20"/>
        </w:rPr>
      </w:pPr>
      <w:r w:rsidRPr="0037261A">
        <w:rPr>
          <w:rFonts w:ascii="Arial" w:hAnsi="Arial" w:cs="Arial"/>
          <w:b/>
          <w:color w:val="32322F"/>
          <w:sz w:val="20"/>
          <w:szCs w:val="20"/>
          <w:lang w:val="en-US"/>
        </w:rPr>
        <w:t xml:space="preserve">Roth, M.T., Hoffner, H.A. &amp; Michalowski, P., 1997. </w:t>
      </w:r>
      <w:r w:rsidRPr="0037261A">
        <w:rPr>
          <w:rFonts w:ascii="Arial" w:hAnsi="Arial" w:cs="Arial"/>
          <w:b/>
          <w:i/>
          <w:iCs/>
          <w:color w:val="32322F"/>
          <w:sz w:val="20"/>
          <w:szCs w:val="20"/>
          <w:lang w:val="en-US"/>
        </w:rPr>
        <w:t>Law collections from Mesopotamia and Asia Minor</w:t>
      </w:r>
      <w:r w:rsidRPr="0037261A">
        <w:rPr>
          <w:rFonts w:ascii="Arial" w:hAnsi="Arial" w:cs="Arial"/>
          <w:b/>
          <w:color w:val="32322F"/>
          <w:sz w:val="20"/>
          <w:szCs w:val="20"/>
          <w:lang w:val="en-US"/>
        </w:rPr>
        <w:t>, Atlanta, Ga.: Scholars Press.</w:t>
      </w:r>
      <w:r w:rsidR="00557426" w:rsidRPr="0037261A">
        <w:rPr>
          <w:rFonts w:ascii="Arial" w:hAnsi="Arial" w:cs="Arial"/>
          <w:b/>
          <w:color w:val="32322F"/>
          <w:sz w:val="20"/>
          <w:szCs w:val="20"/>
          <w:lang w:val="en-US"/>
        </w:rPr>
        <w:t xml:space="preserve"> pp 50 – 155 2nd ed.</w:t>
      </w:r>
    </w:p>
    <w:p w14:paraId="1AB12447" w14:textId="1CC3CC58" w:rsidR="00E97579" w:rsidRPr="0037261A" w:rsidRDefault="00E97579" w:rsidP="00F04E07">
      <w:pPr>
        <w:pStyle w:val="ListParagraph"/>
        <w:numPr>
          <w:ilvl w:val="0"/>
          <w:numId w:val="3"/>
        </w:numPr>
        <w:rPr>
          <w:rFonts w:ascii="Arial" w:hAnsi="Arial" w:cs="Arial"/>
          <w:b/>
          <w:sz w:val="20"/>
          <w:szCs w:val="20"/>
        </w:rPr>
      </w:pPr>
      <w:r w:rsidRPr="0037261A">
        <w:rPr>
          <w:rFonts w:ascii="Arial" w:hAnsi="Arial" w:cs="Arial"/>
          <w:b/>
          <w:color w:val="32322F"/>
          <w:sz w:val="20"/>
          <w:szCs w:val="20"/>
          <w:lang w:val="en-US"/>
        </w:rPr>
        <w:lastRenderedPageBreak/>
        <w:t xml:space="preserve">Sandars, Sandars, N. K. &amp; United Theological College, Aberystwyth former location, 1972. </w:t>
      </w:r>
      <w:r w:rsidRPr="0037261A">
        <w:rPr>
          <w:rFonts w:ascii="Arial" w:hAnsi="Arial" w:cs="Arial"/>
          <w:b/>
          <w:i/>
          <w:iCs/>
          <w:color w:val="32322F"/>
          <w:sz w:val="20"/>
          <w:szCs w:val="20"/>
          <w:lang w:val="en-US"/>
        </w:rPr>
        <w:t>The epic of Gilgamesh</w:t>
      </w:r>
      <w:r w:rsidRPr="0037261A">
        <w:rPr>
          <w:rFonts w:ascii="Arial" w:hAnsi="Arial" w:cs="Arial"/>
          <w:b/>
          <w:color w:val="32322F"/>
          <w:sz w:val="20"/>
          <w:szCs w:val="20"/>
          <w:lang w:val="en-US"/>
        </w:rPr>
        <w:t xml:space="preserve"> Rev. ed., incorporating new </w:t>
      </w:r>
      <w:r w:rsidR="00D92038" w:rsidRPr="0037261A">
        <w:rPr>
          <w:rFonts w:ascii="Arial" w:hAnsi="Arial" w:cs="Arial"/>
          <w:b/>
          <w:color w:val="32322F"/>
          <w:sz w:val="20"/>
          <w:szCs w:val="20"/>
          <w:lang w:val="en-US"/>
        </w:rPr>
        <w:t>material.</w:t>
      </w:r>
      <w:r w:rsidRPr="0037261A">
        <w:rPr>
          <w:rFonts w:ascii="Arial" w:hAnsi="Arial" w:cs="Arial"/>
          <w:b/>
          <w:color w:val="32322F"/>
          <w:sz w:val="20"/>
          <w:szCs w:val="20"/>
          <w:lang w:val="en-US"/>
        </w:rPr>
        <w:t xml:space="preserve"> Harmondsworth: Penguin.</w:t>
      </w:r>
    </w:p>
    <w:p w14:paraId="05368E14" w14:textId="30EE8B26" w:rsidR="00F25B3D" w:rsidRPr="0037261A" w:rsidRDefault="008F065F" w:rsidP="00F04E07">
      <w:pPr>
        <w:pStyle w:val="ListParagraph"/>
        <w:numPr>
          <w:ilvl w:val="0"/>
          <w:numId w:val="3"/>
        </w:numPr>
        <w:rPr>
          <w:rFonts w:ascii="Arial" w:hAnsi="Arial" w:cs="Arial"/>
          <w:b/>
          <w:sz w:val="20"/>
          <w:szCs w:val="20"/>
        </w:rPr>
      </w:pPr>
      <w:proofErr w:type="spellStart"/>
      <w:r w:rsidRPr="0037261A">
        <w:rPr>
          <w:rFonts w:ascii="Arial" w:hAnsi="Arial" w:cs="Arial"/>
          <w:b/>
          <w:color w:val="32322F"/>
          <w:sz w:val="20"/>
          <w:szCs w:val="20"/>
          <w:lang w:val="en-US"/>
        </w:rPr>
        <w:t>Slanski</w:t>
      </w:r>
      <w:proofErr w:type="spellEnd"/>
      <w:r w:rsidRPr="0037261A">
        <w:rPr>
          <w:rFonts w:ascii="Arial" w:hAnsi="Arial" w:cs="Arial"/>
          <w:b/>
          <w:color w:val="32322F"/>
          <w:sz w:val="20"/>
          <w:szCs w:val="20"/>
          <w:lang w:val="en-US"/>
        </w:rPr>
        <w:t xml:space="preserve">, Kathryn E., 2012. </w:t>
      </w:r>
      <w:r w:rsidRPr="0037261A">
        <w:rPr>
          <w:rFonts w:ascii="Arial" w:hAnsi="Arial" w:cs="Arial"/>
          <w:b/>
          <w:i/>
          <w:iCs/>
          <w:color w:val="32322F"/>
          <w:sz w:val="20"/>
          <w:szCs w:val="20"/>
          <w:lang w:val="en-US"/>
        </w:rPr>
        <w:t>The Law of Hammurabi and Its Audience.</w:t>
      </w:r>
      <w:r w:rsidRPr="0037261A">
        <w:rPr>
          <w:rFonts w:ascii="Arial" w:hAnsi="Arial" w:cs="Arial"/>
          <w:b/>
          <w:color w:val="32322F"/>
          <w:sz w:val="20"/>
          <w:szCs w:val="20"/>
          <w:lang w:val="en-US"/>
        </w:rPr>
        <w:t xml:space="preserve"> </w:t>
      </w:r>
      <w:r w:rsidRPr="0037261A">
        <w:rPr>
          <w:rStyle w:val="exldetailsdisplayval"/>
          <w:rFonts w:ascii="Arial" w:hAnsi="Arial" w:cs="Arial"/>
          <w:b/>
          <w:color w:val="32322F"/>
          <w:sz w:val="20"/>
          <w:szCs w:val="20"/>
          <w:lang w:val="en-US"/>
        </w:rPr>
        <w:t xml:space="preserve">Yale Journal of Law &amp; the Humanities, 2012, Vol.24 (1), p.97-111 </w:t>
      </w:r>
    </w:p>
    <w:p w14:paraId="00C6701C" w14:textId="7EB6E9CD" w:rsidR="008F065F" w:rsidRPr="0037261A" w:rsidRDefault="005E4E12" w:rsidP="00F04E07">
      <w:pPr>
        <w:pStyle w:val="ListParagraph"/>
        <w:numPr>
          <w:ilvl w:val="0"/>
          <w:numId w:val="3"/>
        </w:numPr>
        <w:rPr>
          <w:rFonts w:ascii="Arial" w:hAnsi="Arial" w:cs="Arial"/>
          <w:b/>
          <w:sz w:val="20"/>
          <w:szCs w:val="20"/>
        </w:rPr>
      </w:pPr>
      <w:r w:rsidRPr="0037261A">
        <w:rPr>
          <w:rFonts w:ascii="Arial" w:hAnsi="Arial" w:cs="Arial"/>
          <w:b/>
          <w:color w:val="32322F"/>
          <w:sz w:val="20"/>
          <w:szCs w:val="20"/>
          <w:lang w:val="en-US"/>
        </w:rPr>
        <w:t xml:space="preserve">STEELE, Francis Rue, 1948. Code of Lipit-Ishtar. </w:t>
      </w:r>
      <w:r w:rsidRPr="0037261A">
        <w:rPr>
          <w:rFonts w:ascii="Arial" w:hAnsi="Arial" w:cs="Arial"/>
          <w:b/>
          <w:i/>
          <w:iCs/>
          <w:color w:val="32322F"/>
          <w:sz w:val="20"/>
          <w:szCs w:val="20"/>
          <w:lang w:val="en-US"/>
        </w:rPr>
        <w:t>American Journal of Archaeology</w:t>
      </w:r>
      <w:r w:rsidRPr="0037261A">
        <w:rPr>
          <w:rFonts w:ascii="Arial" w:hAnsi="Arial" w:cs="Arial"/>
          <w:b/>
          <w:color w:val="32322F"/>
          <w:sz w:val="20"/>
          <w:szCs w:val="20"/>
          <w:lang w:val="en-US"/>
        </w:rPr>
        <w:t>, 52, pp.425–50, pl.</w:t>
      </w:r>
    </w:p>
    <w:p w14:paraId="0E977748" w14:textId="0CC21E21" w:rsidR="005F5351" w:rsidRPr="0037261A" w:rsidRDefault="005F5351" w:rsidP="00F04E07">
      <w:pPr>
        <w:pStyle w:val="ListParagraph"/>
        <w:numPr>
          <w:ilvl w:val="0"/>
          <w:numId w:val="3"/>
        </w:numPr>
        <w:rPr>
          <w:rFonts w:ascii="Arial" w:hAnsi="Arial" w:cs="Arial"/>
          <w:b/>
          <w:sz w:val="20"/>
          <w:szCs w:val="20"/>
        </w:rPr>
      </w:pPr>
      <w:r w:rsidRPr="0037261A">
        <w:rPr>
          <w:rFonts w:ascii="Arial" w:hAnsi="Arial" w:cs="Arial"/>
          <w:b/>
          <w:sz w:val="20"/>
          <w:szCs w:val="20"/>
        </w:rPr>
        <w:t xml:space="preserve">Thesaurus [ONLINE]. </w:t>
      </w:r>
      <w:hyperlink r:id="rId12" w:history="1">
        <w:r w:rsidRPr="0037261A">
          <w:rPr>
            <w:rStyle w:val="Hyperlink"/>
            <w:rFonts w:ascii="Arial" w:hAnsi="Arial" w:cs="Arial"/>
            <w:b/>
            <w:sz w:val="20"/>
            <w:szCs w:val="20"/>
          </w:rPr>
          <w:t>http://www.thesaurus.com.browse.free</w:t>
        </w:r>
      </w:hyperlink>
      <w:r w:rsidRPr="0037261A">
        <w:rPr>
          <w:rFonts w:ascii="Arial" w:hAnsi="Arial" w:cs="Arial"/>
          <w:b/>
          <w:sz w:val="20"/>
          <w:szCs w:val="20"/>
        </w:rPr>
        <w:t xml:space="preserve">  [Accessed 14/11/17]</w:t>
      </w:r>
    </w:p>
    <w:p w14:paraId="4353BE43" w14:textId="002133D8" w:rsidR="005E4E12" w:rsidRPr="0037261A" w:rsidRDefault="005E4E12" w:rsidP="00F04E07">
      <w:pPr>
        <w:pStyle w:val="ListParagraph"/>
        <w:numPr>
          <w:ilvl w:val="0"/>
          <w:numId w:val="3"/>
        </w:numPr>
        <w:rPr>
          <w:rFonts w:ascii="Arial" w:hAnsi="Arial" w:cs="Arial"/>
          <w:b/>
          <w:sz w:val="20"/>
          <w:szCs w:val="20"/>
        </w:rPr>
      </w:pPr>
      <w:r w:rsidRPr="0037261A">
        <w:rPr>
          <w:rFonts w:ascii="Arial" w:hAnsi="Arial" w:cs="Arial"/>
          <w:b/>
          <w:color w:val="32322F"/>
          <w:sz w:val="20"/>
          <w:szCs w:val="20"/>
          <w:lang w:val="en-US"/>
        </w:rPr>
        <w:t xml:space="preserve">Winter, Irene J., 2003. {The “Ur-Nammu” Stela}. </w:t>
      </w:r>
      <w:r w:rsidRPr="0037261A">
        <w:rPr>
          <w:rFonts w:ascii="Arial" w:hAnsi="Arial" w:cs="Arial"/>
          <w:b/>
          <w:i/>
          <w:iCs/>
          <w:color w:val="32322F"/>
          <w:sz w:val="20"/>
          <w:szCs w:val="20"/>
          <w:lang w:val="en-US"/>
        </w:rPr>
        <w:t>Journal of the American Oriental Society</w:t>
      </w:r>
      <w:r w:rsidRPr="0037261A">
        <w:rPr>
          <w:rFonts w:ascii="Arial" w:hAnsi="Arial" w:cs="Arial"/>
          <w:b/>
          <w:color w:val="32322F"/>
          <w:sz w:val="20"/>
          <w:szCs w:val="20"/>
          <w:lang w:val="en-US"/>
        </w:rPr>
        <w:t>, 123(2), pp.402–407.</w:t>
      </w:r>
    </w:p>
    <w:p w14:paraId="55E3F198" w14:textId="77777777" w:rsidR="00B54411" w:rsidRPr="0037261A" w:rsidRDefault="00B54411" w:rsidP="00B54411">
      <w:pPr>
        <w:pStyle w:val="ListParagraph"/>
        <w:rPr>
          <w:rFonts w:ascii="Arial" w:hAnsi="Arial" w:cs="Arial"/>
          <w:b/>
          <w:sz w:val="20"/>
          <w:szCs w:val="20"/>
        </w:rPr>
      </w:pPr>
    </w:p>
    <w:p w14:paraId="4C7BDA48" w14:textId="5768ED5C" w:rsidR="00B54411" w:rsidRPr="00687125" w:rsidRDefault="00B54411" w:rsidP="00B54411">
      <w:pPr>
        <w:rPr>
          <w:rFonts w:ascii="Arial" w:hAnsi="Arial" w:cs="Arial"/>
          <w:b/>
          <w:sz w:val="20"/>
          <w:szCs w:val="20"/>
        </w:rPr>
      </w:pPr>
    </w:p>
    <w:sectPr w:rsidR="00B54411" w:rsidRPr="00687125">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665A9E" w14:textId="77777777" w:rsidR="004D638A" w:rsidRDefault="004D638A" w:rsidP="00ED7485">
      <w:pPr>
        <w:spacing w:after="0" w:line="240" w:lineRule="auto"/>
      </w:pPr>
      <w:r>
        <w:separator/>
      </w:r>
    </w:p>
  </w:endnote>
  <w:endnote w:type="continuationSeparator" w:id="0">
    <w:p w14:paraId="04426136" w14:textId="77777777" w:rsidR="004D638A" w:rsidRDefault="004D638A" w:rsidP="00ED74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D0933E" w14:textId="77777777" w:rsidR="004D638A" w:rsidRDefault="004D638A" w:rsidP="00ED7485">
      <w:pPr>
        <w:spacing w:after="0" w:line="240" w:lineRule="auto"/>
      </w:pPr>
      <w:r>
        <w:separator/>
      </w:r>
    </w:p>
  </w:footnote>
  <w:footnote w:type="continuationSeparator" w:id="0">
    <w:p w14:paraId="7E8D929F" w14:textId="77777777" w:rsidR="004D638A" w:rsidRDefault="004D638A" w:rsidP="00ED748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D96C98" w14:textId="40528D97" w:rsidR="00ED7485" w:rsidRDefault="00ED7485">
    <w:pPr>
      <w:pStyle w:val="Header"/>
    </w:pPr>
    <w:r>
      <w:t>Hawys Jones - 1602168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6504B2"/>
    <w:multiLevelType w:val="hybridMultilevel"/>
    <w:tmpl w:val="A51E0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220FF"/>
    <w:multiLevelType w:val="hybridMultilevel"/>
    <w:tmpl w:val="43B01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236124"/>
    <w:multiLevelType w:val="hybridMultilevel"/>
    <w:tmpl w:val="7B669F70"/>
    <w:lvl w:ilvl="0" w:tplc="5466560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9D00F6"/>
    <w:multiLevelType w:val="hybridMultilevel"/>
    <w:tmpl w:val="FF5E86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F7563F"/>
    <w:multiLevelType w:val="hybridMultilevel"/>
    <w:tmpl w:val="C9704C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7F1FD6"/>
    <w:multiLevelType w:val="hybridMultilevel"/>
    <w:tmpl w:val="24A2B8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1967"/>
    <w:rsid w:val="000165F5"/>
    <w:rsid w:val="000A1358"/>
    <w:rsid w:val="000E5FF6"/>
    <w:rsid w:val="00187E3A"/>
    <w:rsid w:val="001A751D"/>
    <w:rsid w:val="001C2B3A"/>
    <w:rsid w:val="00245E1F"/>
    <w:rsid w:val="00283DF1"/>
    <w:rsid w:val="0037261A"/>
    <w:rsid w:val="00393A68"/>
    <w:rsid w:val="003B41AB"/>
    <w:rsid w:val="00415178"/>
    <w:rsid w:val="004A3B63"/>
    <w:rsid w:val="004D638A"/>
    <w:rsid w:val="00555C63"/>
    <w:rsid w:val="00557426"/>
    <w:rsid w:val="00590409"/>
    <w:rsid w:val="005C371F"/>
    <w:rsid w:val="005E4E12"/>
    <w:rsid w:val="005E697E"/>
    <w:rsid w:val="005F5351"/>
    <w:rsid w:val="00645A54"/>
    <w:rsid w:val="0067524F"/>
    <w:rsid w:val="00687125"/>
    <w:rsid w:val="007F03FD"/>
    <w:rsid w:val="0081617D"/>
    <w:rsid w:val="00874BAD"/>
    <w:rsid w:val="008A3502"/>
    <w:rsid w:val="008D0D43"/>
    <w:rsid w:val="008F065F"/>
    <w:rsid w:val="00982E95"/>
    <w:rsid w:val="009C330A"/>
    <w:rsid w:val="00A10D98"/>
    <w:rsid w:val="00A356D5"/>
    <w:rsid w:val="00A46A52"/>
    <w:rsid w:val="00AB351D"/>
    <w:rsid w:val="00B475D0"/>
    <w:rsid w:val="00B54411"/>
    <w:rsid w:val="00B72277"/>
    <w:rsid w:val="00BA1967"/>
    <w:rsid w:val="00BD1891"/>
    <w:rsid w:val="00BF1CA1"/>
    <w:rsid w:val="00C10904"/>
    <w:rsid w:val="00C52463"/>
    <w:rsid w:val="00D13A90"/>
    <w:rsid w:val="00D46E2D"/>
    <w:rsid w:val="00D917BC"/>
    <w:rsid w:val="00D92038"/>
    <w:rsid w:val="00DD7D46"/>
    <w:rsid w:val="00E02A95"/>
    <w:rsid w:val="00E25F62"/>
    <w:rsid w:val="00E97579"/>
    <w:rsid w:val="00ED7485"/>
    <w:rsid w:val="00F04E07"/>
    <w:rsid w:val="00F25B3D"/>
    <w:rsid w:val="00F87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FF127"/>
  <w15:chartTrackingRefBased/>
  <w15:docId w15:val="{79E50D8E-2CCA-4616-8A84-9D9F4D4B6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74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485"/>
  </w:style>
  <w:style w:type="paragraph" w:styleId="Footer">
    <w:name w:val="footer"/>
    <w:basedOn w:val="Normal"/>
    <w:link w:val="FooterChar"/>
    <w:uiPriority w:val="99"/>
    <w:unhideWhenUsed/>
    <w:rsid w:val="00ED74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485"/>
  </w:style>
  <w:style w:type="paragraph" w:styleId="ListParagraph">
    <w:name w:val="List Paragraph"/>
    <w:basedOn w:val="Normal"/>
    <w:uiPriority w:val="34"/>
    <w:qFormat/>
    <w:rsid w:val="00F04E07"/>
    <w:pPr>
      <w:ind w:left="720"/>
      <w:contextualSpacing/>
    </w:pPr>
  </w:style>
  <w:style w:type="character" w:styleId="Hyperlink">
    <w:name w:val="Hyperlink"/>
    <w:basedOn w:val="DefaultParagraphFont"/>
    <w:uiPriority w:val="99"/>
    <w:unhideWhenUsed/>
    <w:rsid w:val="00C10904"/>
    <w:rPr>
      <w:color w:val="0563C1" w:themeColor="hyperlink"/>
      <w:u w:val="single"/>
    </w:rPr>
  </w:style>
  <w:style w:type="character" w:customStyle="1" w:styleId="exldetailsdisplayval">
    <w:name w:val="exldetailsdisplayval"/>
    <w:basedOn w:val="DefaultParagraphFont"/>
    <w:rsid w:val="008F06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hebiblicalworld.blogspot.co.uk/2011/01/childlessness-and-bible-2-defective.html"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thesaurus.com.browse.fre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rystalinks.com/babylonia.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dailymail.co.uk/news/article-2100727/Why-Poles-politeness-lost-translation.html" TargetMode="External"/><Relationship Id="rId4" Type="http://schemas.openxmlformats.org/officeDocument/2006/relationships/settings" Target="settings.xml"/><Relationship Id="rId9" Type="http://schemas.openxmlformats.org/officeDocument/2006/relationships/hyperlink" Target="http://www.louvre.fr/en/oeuvre-notices/law-code-hammurabi-king-babyl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A21904-6B31-46CA-8EE0-04F73C084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2484</Words>
  <Characters>14164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Hawys Jones (1602168)</dc:creator>
  <cp:keywords/>
  <dc:description/>
  <cp:lastModifiedBy>Hawys Jones (1602168)</cp:lastModifiedBy>
  <cp:revision>3</cp:revision>
  <dcterms:created xsi:type="dcterms:W3CDTF">2017-11-14T23:35:00Z</dcterms:created>
  <dcterms:modified xsi:type="dcterms:W3CDTF">2017-11-14T23:47:00Z</dcterms:modified>
</cp:coreProperties>
</file>