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927F5" w:rsidP="00D927F5" w:rsidRDefault="00D927F5" w14:paraId="03C21D3D" w14:textId="77777777">
      <w:pPr>
        <w:pStyle w:val="NormalWeb"/>
        <w:spacing w:before="0" w:beforeAutospacing="0" w:after="0" w:afterAutospacing="0" w:line="480" w:lineRule="auto"/>
        <w:jc w:val="center"/>
      </w:pPr>
    </w:p>
    <w:p w:rsidR="00D927F5" w:rsidP="00D927F5" w:rsidRDefault="00D927F5" w14:paraId="48E85E3D" w14:textId="77777777">
      <w:pPr>
        <w:pStyle w:val="NormalWeb"/>
        <w:spacing w:before="0" w:beforeAutospacing="0" w:after="0" w:afterAutospacing="0" w:line="480" w:lineRule="auto"/>
        <w:jc w:val="center"/>
      </w:pPr>
    </w:p>
    <w:p w:rsidR="00D927F5" w:rsidP="00D927F5" w:rsidRDefault="00D927F5" w14:paraId="15742307" w14:textId="77777777">
      <w:pPr>
        <w:pStyle w:val="NormalWeb"/>
        <w:spacing w:before="0" w:beforeAutospacing="0" w:after="0" w:afterAutospacing="0" w:line="480" w:lineRule="auto"/>
        <w:jc w:val="center"/>
      </w:pPr>
    </w:p>
    <w:p w:rsidR="00D927F5" w:rsidP="00D927F5" w:rsidRDefault="00D927F5" w14:paraId="2370875B" w14:textId="77777777">
      <w:pPr>
        <w:pStyle w:val="NormalWeb"/>
        <w:spacing w:before="0" w:beforeAutospacing="0" w:after="0" w:afterAutospacing="0" w:line="480" w:lineRule="auto"/>
        <w:jc w:val="center"/>
      </w:pPr>
    </w:p>
    <w:p w:rsidR="00D927F5" w:rsidP="00D45750" w:rsidRDefault="00D927F5" w14:paraId="2F05704C" w14:textId="77777777">
      <w:pPr>
        <w:pStyle w:val="NormalWeb"/>
        <w:spacing w:before="0" w:beforeAutospacing="0" w:after="0" w:afterAutospacing="0" w:line="480" w:lineRule="auto"/>
      </w:pPr>
    </w:p>
    <w:p w:rsidR="00D927F5" w:rsidP="00D927F5" w:rsidRDefault="00D927F5" w14:paraId="7EB1DCF6" w14:textId="77777777">
      <w:pPr>
        <w:pStyle w:val="NormalWeb"/>
        <w:spacing w:before="0" w:beforeAutospacing="0" w:after="0" w:afterAutospacing="0" w:line="480" w:lineRule="auto"/>
        <w:jc w:val="center"/>
      </w:pPr>
    </w:p>
    <w:p w:rsidR="00D45750" w:rsidP="00D45750" w:rsidRDefault="00D927F5" w14:paraId="0876C2E8" w14:textId="77777777">
      <w:pPr>
        <w:pStyle w:val="NormalWeb"/>
        <w:spacing w:before="0" w:beforeAutospacing="0" w:after="0" w:afterAutospacing="0" w:line="360" w:lineRule="auto"/>
        <w:jc w:val="center"/>
      </w:pPr>
      <w:r>
        <w:t>T</w:t>
      </w:r>
      <w:r w:rsidRPr="00D927F5">
        <w:t xml:space="preserve">he concept of consent in the </w:t>
      </w:r>
      <w:r>
        <w:t>UK</w:t>
      </w:r>
      <w:r w:rsidRPr="00D927F5">
        <w:t xml:space="preserve"> and its role in cases involving battery</w:t>
      </w:r>
    </w:p>
    <w:p w:rsidRPr="00D45750" w:rsidR="00D45750" w:rsidP="00D45750" w:rsidRDefault="00D45750" w14:paraId="4F1FE338" w14:textId="77777777">
      <w:pPr>
        <w:pStyle w:val="NormalWeb"/>
        <w:spacing w:line="360" w:lineRule="auto"/>
        <w:jc w:val="center"/>
        <w:rPr>
          <w:rStyle w:val="Strong"/>
          <w:b w:val="0"/>
          <w:bCs w:val="0"/>
        </w:rPr>
      </w:pPr>
      <w:r>
        <w:rPr>
          <w:rStyle w:val="Strong"/>
          <w:b w:val="0"/>
          <w:bCs w:val="0"/>
        </w:rPr>
        <w:t>Maniza Bi</w:t>
      </w:r>
    </w:p>
    <w:p w:rsidRPr="006A15F7" w:rsidR="00D45750" w:rsidP="00D45750" w:rsidRDefault="00D45750" w14:paraId="155CCA3E" w14:textId="77777777">
      <w:pPr>
        <w:pStyle w:val="NormalWeb"/>
        <w:spacing w:line="360" w:lineRule="auto"/>
        <w:jc w:val="center"/>
        <w:rPr>
          <w:rStyle w:val="Strong"/>
          <w:b w:val="0"/>
          <w:bCs w:val="0"/>
          <w:lang/>
        </w:rPr>
      </w:pPr>
      <w:r>
        <w:rPr>
          <w:rStyle w:val="Strong"/>
          <w:b w:val="0"/>
          <w:bCs w:val="0"/>
        </w:rPr>
        <w:t>2229327</w:t>
      </w:r>
    </w:p>
    <w:p w:rsidR="00D45750" w:rsidP="00D45750" w:rsidRDefault="00D45750" w14:paraId="23C75968" w14:textId="77777777">
      <w:pPr>
        <w:pStyle w:val="NormalWeb"/>
        <w:spacing w:before="0" w:beforeAutospacing="0" w:after="0" w:afterAutospacing="0" w:line="360" w:lineRule="auto"/>
        <w:jc w:val="center"/>
        <w:rPr>
          <w:rStyle w:val="Strong"/>
          <w:b w:val="0"/>
          <w:bCs w:val="0"/>
        </w:rPr>
      </w:pPr>
      <w:r>
        <w:rPr>
          <w:rStyle w:val="Strong"/>
          <w:b w:val="0"/>
          <w:bCs w:val="0"/>
        </w:rPr>
        <w:t>BSC(Hon) Professional Policing</w:t>
      </w:r>
    </w:p>
    <w:p w:rsidRPr="00871F48" w:rsidR="00D45750" w:rsidP="00D45750" w:rsidRDefault="00D45750" w14:paraId="31BDBD0E" w14:textId="77777777">
      <w:pPr>
        <w:pStyle w:val="NormalWeb"/>
        <w:spacing w:before="0" w:beforeAutospacing="0" w:after="0" w:afterAutospacing="0" w:line="360" w:lineRule="auto"/>
        <w:jc w:val="center"/>
        <w:rPr>
          <w:rStyle w:val="Strong"/>
          <w:b w:val="0"/>
          <w:bCs w:val="0"/>
        </w:rPr>
      </w:pPr>
    </w:p>
    <w:p w:rsidR="00D45750" w:rsidP="00D45750" w:rsidRDefault="00D45750" w14:paraId="570A867F" w14:textId="77777777">
      <w:pPr>
        <w:pStyle w:val="NormalWeb"/>
        <w:spacing w:before="0" w:beforeAutospacing="0" w:after="0" w:afterAutospacing="0" w:line="360" w:lineRule="auto"/>
        <w:jc w:val="center"/>
        <w:rPr>
          <w:rStyle w:val="Strong"/>
          <w:b w:val="0"/>
          <w:bCs w:val="0"/>
        </w:rPr>
      </w:pPr>
      <w:r>
        <w:rPr>
          <w:rStyle w:val="Strong"/>
          <w:b w:val="0"/>
          <w:bCs w:val="0"/>
        </w:rPr>
        <w:t>Laura Humphries</w:t>
      </w:r>
    </w:p>
    <w:p w:rsidRPr="00871F48" w:rsidR="00D45750" w:rsidP="00D45750" w:rsidRDefault="00D45750" w14:paraId="49D689C2" w14:textId="77777777">
      <w:pPr>
        <w:pStyle w:val="NormalWeb"/>
        <w:spacing w:before="0" w:beforeAutospacing="0" w:after="0" w:afterAutospacing="0" w:line="360" w:lineRule="auto"/>
        <w:jc w:val="center"/>
        <w:rPr>
          <w:rStyle w:val="Strong"/>
          <w:b w:val="0"/>
          <w:bCs w:val="0"/>
        </w:rPr>
      </w:pPr>
    </w:p>
    <w:p w:rsidR="00D45750" w:rsidP="00D45750" w:rsidRDefault="004452E7" w14:paraId="466FA63A" w14:textId="77777777">
      <w:pPr>
        <w:pStyle w:val="NormalWeb"/>
        <w:spacing w:before="0" w:beforeAutospacing="0" w:after="0" w:afterAutospacing="0" w:line="360" w:lineRule="auto"/>
        <w:jc w:val="center"/>
        <w:rPr>
          <w:rStyle w:val="Strong"/>
          <w:b w:val="0"/>
          <w:bCs w:val="0"/>
        </w:rPr>
      </w:pPr>
      <w:r>
        <w:rPr>
          <w:rStyle w:val="Strong"/>
          <w:b w:val="0"/>
          <w:bCs w:val="0"/>
        </w:rPr>
        <w:t>BMPL 4009</w:t>
      </w:r>
    </w:p>
    <w:p w:rsidRPr="00871F48" w:rsidR="00D45750" w:rsidP="00D45750" w:rsidRDefault="00D45750" w14:paraId="4448D53D" w14:textId="77777777">
      <w:pPr>
        <w:pStyle w:val="NormalWeb"/>
        <w:spacing w:before="0" w:beforeAutospacing="0" w:after="0" w:afterAutospacing="0" w:line="360" w:lineRule="auto"/>
        <w:jc w:val="center"/>
        <w:rPr>
          <w:rStyle w:val="Strong"/>
          <w:b w:val="0"/>
          <w:bCs w:val="0"/>
        </w:rPr>
      </w:pPr>
    </w:p>
    <w:p w:rsidR="00D45750" w:rsidP="7FCD08D6" w:rsidRDefault="00D45750" w14:paraId="39295AA7" w14:textId="5DD834B5">
      <w:pPr>
        <w:pStyle w:val="NormalWeb"/>
        <w:spacing w:before="0" w:beforeAutospacing="off" w:after="0" w:afterAutospacing="off" w:line="360" w:lineRule="auto"/>
        <w:jc w:val="center"/>
        <w:rPr>
          <w:rStyle w:val="Strong"/>
          <w:b w:val="0"/>
          <w:bCs w:val="0"/>
        </w:rPr>
      </w:pPr>
      <w:r w:rsidRPr="7FCD08D6" w:rsidR="1D5D21C4">
        <w:rPr>
          <w:rStyle w:val="Strong"/>
          <w:b w:val="0"/>
          <w:bCs w:val="0"/>
        </w:rPr>
        <w:t xml:space="preserve">3rd November </w:t>
      </w:r>
      <w:r w:rsidRPr="7FCD08D6" w:rsidR="00D45750">
        <w:rPr>
          <w:rStyle w:val="Strong"/>
          <w:b w:val="0"/>
          <w:bCs w:val="0"/>
        </w:rPr>
        <w:t>2023</w:t>
      </w:r>
    </w:p>
    <w:p w:rsidR="00D927F5" w:rsidP="00D45750" w:rsidRDefault="00D927F5" w14:paraId="02879C2D" w14:textId="77777777">
      <w:pPr>
        <w:spacing w:line="360" w:lineRule="auto"/>
        <w:ind w:firstLine="720"/>
        <w:jc w:val="center"/>
        <w:rPr>
          <w:rStyle w:val="Strong"/>
          <w:color w:val="0E101A"/>
        </w:rPr>
      </w:pPr>
    </w:p>
    <w:p w:rsidR="00D927F5" w:rsidP="00D45750" w:rsidRDefault="00D927F5" w14:paraId="277F2638" w14:textId="77777777">
      <w:pPr>
        <w:spacing w:line="360" w:lineRule="auto"/>
        <w:ind w:firstLine="720"/>
        <w:jc w:val="center"/>
        <w:rPr>
          <w:rStyle w:val="Strong"/>
          <w:color w:val="0E101A"/>
        </w:rPr>
      </w:pPr>
    </w:p>
    <w:p w:rsidR="00D927F5" w:rsidP="00D45750" w:rsidRDefault="00D927F5" w14:paraId="53E9EAD7" w14:textId="77777777">
      <w:pPr>
        <w:spacing w:line="360" w:lineRule="auto"/>
        <w:ind w:firstLine="720"/>
        <w:jc w:val="center"/>
        <w:rPr>
          <w:rStyle w:val="Strong"/>
          <w:color w:val="0E101A"/>
        </w:rPr>
      </w:pPr>
    </w:p>
    <w:p w:rsidR="00D927F5" w:rsidP="00D927F5" w:rsidRDefault="00D927F5" w14:paraId="4FE3294C" w14:textId="77777777">
      <w:pPr>
        <w:spacing w:line="360" w:lineRule="auto"/>
        <w:ind w:firstLine="720"/>
        <w:jc w:val="center"/>
        <w:rPr>
          <w:rStyle w:val="Strong"/>
          <w:color w:val="0E101A"/>
        </w:rPr>
      </w:pPr>
    </w:p>
    <w:p w:rsidR="00D927F5" w:rsidP="00D927F5" w:rsidRDefault="00D927F5" w14:paraId="58B437BA" w14:textId="77777777">
      <w:pPr>
        <w:spacing w:line="360" w:lineRule="auto"/>
        <w:ind w:firstLine="720"/>
        <w:jc w:val="center"/>
        <w:rPr>
          <w:rStyle w:val="Strong"/>
          <w:color w:val="0E101A"/>
        </w:rPr>
      </w:pPr>
    </w:p>
    <w:p w:rsidR="00D927F5" w:rsidP="00D927F5" w:rsidRDefault="00D927F5" w14:paraId="14CAC2B9" w14:textId="77777777">
      <w:pPr>
        <w:spacing w:line="360" w:lineRule="auto"/>
        <w:ind w:firstLine="720"/>
        <w:jc w:val="center"/>
        <w:rPr>
          <w:rStyle w:val="Strong"/>
          <w:color w:val="0E101A"/>
        </w:rPr>
      </w:pPr>
    </w:p>
    <w:p w:rsidR="00D927F5" w:rsidP="00D927F5" w:rsidRDefault="00D927F5" w14:paraId="419CF91E" w14:textId="77777777">
      <w:pPr>
        <w:spacing w:line="360" w:lineRule="auto"/>
        <w:ind w:firstLine="720"/>
        <w:jc w:val="center"/>
        <w:rPr>
          <w:rStyle w:val="Strong"/>
          <w:color w:val="0E101A"/>
        </w:rPr>
      </w:pPr>
    </w:p>
    <w:p w:rsidR="00D927F5" w:rsidP="00D927F5" w:rsidRDefault="00D927F5" w14:paraId="3E0DB96F" w14:textId="77777777">
      <w:pPr>
        <w:spacing w:line="360" w:lineRule="auto"/>
        <w:ind w:firstLine="720"/>
        <w:jc w:val="center"/>
        <w:rPr>
          <w:rStyle w:val="Strong"/>
          <w:color w:val="0E101A"/>
        </w:rPr>
      </w:pPr>
    </w:p>
    <w:p w:rsidR="00D927F5" w:rsidP="00D927F5" w:rsidRDefault="00D927F5" w14:paraId="2F8FA061" w14:textId="77777777">
      <w:pPr>
        <w:spacing w:line="360" w:lineRule="auto"/>
        <w:ind w:firstLine="720"/>
        <w:jc w:val="center"/>
        <w:rPr>
          <w:rStyle w:val="Strong"/>
          <w:color w:val="0E101A"/>
        </w:rPr>
      </w:pPr>
    </w:p>
    <w:p w:rsidR="00D927F5" w:rsidP="00D927F5" w:rsidRDefault="00D927F5" w14:paraId="340886E6" w14:textId="77777777">
      <w:pPr>
        <w:spacing w:line="360" w:lineRule="auto"/>
        <w:ind w:firstLine="720"/>
        <w:jc w:val="center"/>
        <w:rPr>
          <w:rStyle w:val="Strong"/>
          <w:color w:val="0E101A"/>
        </w:rPr>
      </w:pPr>
    </w:p>
    <w:p w:rsidR="00D927F5" w:rsidP="00D927F5" w:rsidRDefault="00D927F5" w14:paraId="462C0157" w14:textId="77777777">
      <w:pPr>
        <w:spacing w:line="360" w:lineRule="auto"/>
        <w:ind w:firstLine="720"/>
        <w:jc w:val="center"/>
        <w:rPr>
          <w:rFonts w:ascii="Times New Roman" w:hAnsi="Times New Roman" w:cs="Times New Roman"/>
        </w:rPr>
      </w:pPr>
    </w:p>
    <w:p w:rsidR="00D927F5" w:rsidP="00D927F5" w:rsidRDefault="00D927F5" w14:paraId="213C5401" w14:textId="77777777">
      <w:pPr>
        <w:spacing w:line="360" w:lineRule="auto"/>
        <w:ind w:firstLine="720"/>
        <w:jc w:val="both"/>
        <w:rPr>
          <w:rFonts w:ascii="Times New Roman" w:hAnsi="Times New Roman" w:cs="Times New Roman"/>
        </w:rPr>
      </w:pPr>
    </w:p>
    <w:p w:rsidRPr="00D927F5" w:rsidR="00317432" w:rsidP="00D927F5" w:rsidRDefault="00317432" w14:paraId="226F6555" w14:textId="77777777">
      <w:pPr>
        <w:spacing w:line="360" w:lineRule="auto"/>
        <w:ind w:firstLine="720"/>
        <w:jc w:val="both"/>
        <w:rPr>
          <w:rFonts w:ascii="Times New Roman" w:hAnsi="Times New Roman" w:cs="Times New Roman"/>
        </w:rPr>
      </w:pPr>
      <w:r w:rsidRPr="00D927F5">
        <w:rPr>
          <w:rFonts w:ascii="Times New Roman" w:hAnsi="Times New Roman" w:cs="Times New Roman"/>
        </w:rPr>
        <w:lastRenderedPageBreak/>
        <w:t>Like in various other countries, the concept of consent is essential to the legal and moral systems of the UK.  It is significant in numerous areas of law, particularly regarding battery charges.  A tort known as battery occurs when someone purposefully causes another person to experience pain or offense without that person's consent.  This essay will assess the UK's understanding of consent and how it applies to battery situations.  We will look at the meanings of consent in law, how it's proven, and how important it is to determine who is liable for battery.  We will also talk about the difficulties and nuances of consent, as well as the most recent changes to the law that have further defined and structured its application in battery instances.</w:t>
      </w:r>
    </w:p>
    <w:p w:rsidRPr="00D927F5" w:rsidR="00317432" w:rsidP="00D927F5" w:rsidRDefault="00317432" w14:paraId="268F45D9" w14:textId="77777777">
      <w:pPr>
        <w:spacing w:line="360" w:lineRule="auto"/>
        <w:jc w:val="both"/>
        <w:rPr>
          <w:rFonts w:ascii="Times New Roman" w:hAnsi="Times New Roman" w:cs="Times New Roman"/>
        </w:rPr>
      </w:pPr>
    </w:p>
    <w:p w:rsidRPr="00D927F5" w:rsidR="00317432" w:rsidP="00D927F5" w:rsidRDefault="00317432" w14:paraId="617752BF" w14:textId="77777777">
      <w:pPr>
        <w:spacing w:line="360" w:lineRule="auto"/>
        <w:jc w:val="both"/>
        <w:rPr>
          <w:rFonts w:ascii="Times New Roman" w:hAnsi="Times New Roman" w:cs="Times New Roman"/>
          <w:b/>
          <w:bCs/>
        </w:rPr>
      </w:pPr>
      <w:r w:rsidRPr="00D927F5">
        <w:rPr>
          <w:rFonts w:ascii="Times New Roman" w:hAnsi="Times New Roman" w:cs="Times New Roman"/>
          <w:b/>
          <w:bCs/>
        </w:rPr>
        <w:t>Defining Consent</w:t>
      </w:r>
    </w:p>
    <w:p w:rsidRPr="00D927F5" w:rsidR="00317432" w:rsidP="00D927F5" w:rsidRDefault="00317432" w14:paraId="39AE5D14" w14:textId="77777777">
      <w:pPr>
        <w:spacing w:line="360" w:lineRule="auto"/>
        <w:ind w:firstLine="720"/>
        <w:jc w:val="both"/>
        <w:rPr>
          <w:rFonts w:ascii="Times New Roman" w:hAnsi="Times New Roman" w:cs="Times New Roman"/>
        </w:rPr>
      </w:pPr>
      <w:r w:rsidRPr="00D927F5">
        <w:rPr>
          <w:rFonts w:ascii="Times New Roman" w:hAnsi="Times New Roman" w:cs="Times New Roman"/>
        </w:rPr>
        <w:t>Understanding consent's function in battery cases requires knowledge of the legal concept of consent in the UK.  Consent is generally seen as an individual's freely chosen, clear-cut consent to a particular action or activity.  It is the foundation of individual agency and personal autonomy, serving as the basis for a variety of social interactions such as sexual activity, medical operations, and contact sports.  Consent is essential in battery situations since it establishes whether the touch was permitted.  Consent, in a broader sense, is the manifestation of a person's explicit and voluntary intention to engage in a particular action or activity, usually without coercion, deception, or undue influence.  It represents the idea of individual liberty and the belief that everyone has the freedom to govern their own body and activities</w:t>
      </w:r>
      <w:r w:rsidRPr="00D927F5" w:rsidR="00114847">
        <w:rPr>
          <w:rFonts w:ascii="Times New Roman" w:hAnsi="Times New Roman" w:cs="Times New Roman"/>
        </w:rPr>
        <w:t xml:space="preserve"> (</w:t>
      </w:r>
      <w:r w:rsidRPr="00D927F5" w:rsidR="00114847">
        <w:rPr>
          <w:rFonts w:ascii="Times New Roman" w:hAnsi="Times New Roman" w:cs="Times New Roman"/>
          <w:color w:val="222222"/>
          <w:shd w:val="clear" w:color="auto" w:fill="FFFFFF"/>
        </w:rPr>
        <w:t>Santos, Bielova &amp; Matte, 2019).</w:t>
      </w:r>
    </w:p>
    <w:p w:rsidRPr="00D927F5" w:rsidR="00317432" w:rsidP="00D927F5" w:rsidRDefault="00317432" w14:paraId="71358D1F" w14:textId="77777777">
      <w:pPr>
        <w:spacing w:line="360" w:lineRule="auto"/>
        <w:jc w:val="both"/>
        <w:rPr>
          <w:rFonts w:ascii="Times New Roman" w:hAnsi="Times New Roman" w:cs="Times New Roman"/>
        </w:rPr>
      </w:pPr>
    </w:p>
    <w:p w:rsidRPr="00D927F5" w:rsidR="00317432" w:rsidP="00D927F5" w:rsidRDefault="00317432" w14:paraId="2E73DBB1" w14:textId="77777777">
      <w:pPr>
        <w:spacing w:line="360" w:lineRule="auto"/>
        <w:jc w:val="both"/>
        <w:rPr>
          <w:rFonts w:ascii="Times New Roman" w:hAnsi="Times New Roman" w:cs="Times New Roman"/>
          <w:b/>
          <w:bCs/>
        </w:rPr>
      </w:pPr>
      <w:r w:rsidRPr="00D927F5">
        <w:rPr>
          <w:rFonts w:ascii="Times New Roman" w:hAnsi="Times New Roman" w:cs="Times New Roman"/>
          <w:b/>
          <w:bCs/>
        </w:rPr>
        <w:t>Getting Informed Consent</w:t>
      </w:r>
    </w:p>
    <w:p w:rsidRPr="00D927F5" w:rsidR="00317432" w:rsidP="00D927F5" w:rsidRDefault="00317432" w14:paraId="2DBFF1B0" w14:textId="77777777">
      <w:pPr>
        <w:spacing w:line="360" w:lineRule="auto"/>
        <w:jc w:val="both"/>
        <w:rPr>
          <w:rFonts w:ascii="Times New Roman" w:hAnsi="Times New Roman" w:cs="Times New Roman"/>
        </w:rPr>
      </w:pPr>
    </w:p>
    <w:p w:rsidRPr="00D927F5" w:rsidR="00317432" w:rsidP="00D927F5" w:rsidRDefault="00317432" w14:paraId="37A7C55B" w14:textId="77777777">
      <w:pPr>
        <w:spacing w:line="360" w:lineRule="auto"/>
        <w:ind w:firstLine="720"/>
        <w:jc w:val="both"/>
        <w:rPr>
          <w:rFonts w:ascii="Times New Roman" w:hAnsi="Times New Roman" w:cs="Times New Roman"/>
        </w:rPr>
      </w:pPr>
      <w:r w:rsidRPr="00D927F5">
        <w:rPr>
          <w:rFonts w:ascii="Times New Roman" w:hAnsi="Times New Roman" w:cs="Times New Roman"/>
        </w:rPr>
        <w:t xml:space="preserve">Usually, the plaintiff or the victim has the burden of demonstrating that there was no consent in battery situations.  It is vital to prove that the victim did not voluntarily and intentionally consent to the defendant's damaging or offensive acts to establish the absence of consent.  Nonetheless, obtaining consent is only sometimes straightforward.  The circumstances of the alleged battery and the victim's capacity to grant permission are two of the many elements that the court frequently considers.  To ascertain consent, one must stipulate evidence that an individual voluntarily, meaningfully, and unequivocally consented to a specific conduct or activity.  When it comes to battery cases, it is essential to establish that the victim was not given consent before imposing harmful or aggressive contact to determine the lack of support.  The legal system frequently considers the parties' communication, capacity, and circumstances when deciding whether or not consent is legitimate.  Furthermore, previous </w:t>
      </w:r>
      <w:r w:rsidRPr="00D927F5">
        <w:rPr>
          <w:rFonts w:ascii="Times New Roman" w:hAnsi="Times New Roman" w:cs="Times New Roman"/>
        </w:rPr>
        <w:lastRenderedPageBreak/>
        <w:t xml:space="preserve">encounters or the surrounding context might indicate approval, or it can be expressed explicitly through written or spoken words.  In battery situations, establishing permission is essential to defining the limits of permissible </w:t>
      </w:r>
      <w:r w:rsidRPr="00D927F5" w:rsidR="00114847">
        <w:rPr>
          <w:rFonts w:ascii="Times New Roman" w:hAnsi="Times New Roman" w:cs="Times New Roman"/>
        </w:rPr>
        <w:t>behaviour</w:t>
      </w:r>
      <w:r w:rsidRPr="00D927F5">
        <w:rPr>
          <w:rFonts w:ascii="Times New Roman" w:hAnsi="Times New Roman" w:cs="Times New Roman"/>
        </w:rPr>
        <w:t xml:space="preserve"> and liability</w:t>
      </w:r>
      <w:r w:rsidRPr="00D927F5" w:rsidR="00114847">
        <w:rPr>
          <w:rFonts w:ascii="Times New Roman" w:hAnsi="Times New Roman" w:cs="Times New Roman"/>
        </w:rPr>
        <w:t xml:space="preserve"> (</w:t>
      </w:r>
      <w:r w:rsidRPr="00D927F5" w:rsidR="00114847">
        <w:rPr>
          <w:rFonts w:ascii="Times New Roman" w:hAnsi="Times New Roman" w:cs="Times New Roman"/>
          <w:color w:val="222222"/>
          <w:shd w:val="clear" w:color="auto" w:fill="FFFFFF"/>
        </w:rPr>
        <w:t>Cohen, 2019).</w:t>
      </w:r>
    </w:p>
    <w:p w:rsidRPr="00D927F5" w:rsidR="00317432" w:rsidP="00D927F5" w:rsidRDefault="00317432" w14:paraId="3A4AF46C" w14:textId="77777777">
      <w:pPr>
        <w:spacing w:line="360" w:lineRule="auto"/>
        <w:jc w:val="both"/>
        <w:rPr>
          <w:rFonts w:ascii="Times New Roman" w:hAnsi="Times New Roman" w:cs="Times New Roman"/>
          <w:b/>
          <w:bCs/>
        </w:rPr>
      </w:pPr>
    </w:p>
    <w:p w:rsidRPr="00D927F5" w:rsidR="00317432" w:rsidP="00D927F5" w:rsidRDefault="00317432" w14:paraId="688FAE32" w14:textId="77777777">
      <w:pPr>
        <w:spacing w:line="360" w:lineRule="auto"/>
        <w:jc w:val="both"/>
        <w:rPr>
          <w:rFonts w:ascii="Times New Roman" w:hAnsi="Times New Roman" w:cs="Times New Roman"/>
          <w:b/>
          <w:bCs/>
        </w:rPr>
      </w:pPr>
      <w:r w:rsidRPr="00D927F5">
        <w:rPr>
          <w:rFonts w:ascii="Times New Roman" w:hAnsi="Times New Roman" w:cs="Times New Roman"/>
          <w:b/>
          <w:bCs/>
        </w:rPr>
        <w:t>Capacity to Consent</w:t>
      </w:r>
    </w:p>
    <w:p w:rsidRPr="00D927F5" w:rsidR="00317432" w:rsidP="00D927F5" w:rsidRDefault="00317432" w14:paraId="6B1AA1A2" w14:textId="77777777">
      <w:pPr>
        <w:spacing w:line="360" w:lineRule="auto"/>
        <w:jc w:val="both"/>
        <w:rPr>
          <w:rFonts w:ascii="Times New Roman" w:hAnsi="Times New Roman" w:cs="Times New Roman"/>
        </w:rPr>
      </w:pPr>
    </w:p>
    <w:p w:rsidRPr="00D927F5" w:rsidR="00317432" w:rsidP="00D927F5" w:rsidRDefault="00317432" w14:paraId="77B7AC26" w14:textId="77777777">
      <w:pPr>
        <w:spacing w:line="360" w:lineRule="auto"/>
        <w:ind w:firstLine="720"/>
        <w:jc w:val="both"/>
        <w:rPr>
          <w:rFonts w:ascii="Times New Roman" w:hAnsi="Times New Roman" w:cs="Times New Roman"/>
        </w:rPr>
      </w:pPr>
      <w:r w:rsidRPr="00D927F5">
        <w:rPr>
          <w:rFonts w:ascii="Times New Roman" w:hAnsi="Times New Roman" w:cs="Times New Roman"/>
        </w:rPr>
        <w:t>A crucial element in battery cases is the individual's ability to grant consent.  The legislation recognizes that people with particular impairments, such as children, people with mental illnesses, or people under the influence of drugs or alcohol, may have reduced competence to express informed and voluntary permission.  In such instances, the law imposes a greater responsibility of care on people who participate in activities involving such individuals.  The law of consent, for example, generally necessitates an additional review when interacting with teenagers to ensure they comprehend the context of the activity they are committing to and are not being inappropriately influenced or forced.  In the same way, individuals who have mental illnesses can need stricter protections to guarantee that their rights are respected.  The significance of obtaining actual consent—free from excessive pressure or coercion and given by people who can comprehend the ramifications of their agreement—is underscored by this nuanced perspective on consent</w:t>
      </w:r>
      <w:r w:rsidRPr="00D927F5" w:rsidR="00114847">
        <w:rPr>
          <w:rFonts w:ascii="Times New Roman" w:hAnsi="Times New Roman" w:cs="Times New Roman"/>
        </w:rPr>
        <w:t xml:space="preserve"> (</w:t>
      </w:r>
      <w:r w:rsidRPr="00D927F5" w:rsidR="00114847">
        <w:rPr>
          <w:rFonts w:ascii="Times New Roman" w:hAnsi="Times New Roman" w:cs="Times New Roman"/>
          <w:color w:val="222222"/>
          <w:shd w:val="clear" w:color="auto" w:fill="FFFFFF"/>
        </w:rPr>
        <w:t>Butler, &amp; Langlois, 2022, May).</w:t>
      </w:r>
    </w:p>
    <w:p w:rsidRPr="00D927F5" w:rsidR="00317432" w:rsidP="00D927F5" w:rsidRDefault="00317432" w14:paraId="5C542803" w14:textId="77777777">
      <w:pPr>
        <w:spacing w:line="360" w:lineRule="auto"/>
        <w:ind w:firstLine="720"/>
        <w:jc w:val="both"/>
        <w:rPr>
          <w:rFonts w:ascii="Times New Roman" w:hAnsi="Times New Roman" w:cs="Times New Roman"/>
        </w:rPr>
      </w:pPr>
      <w:r w:rsidRPr="00D927F5">
        <w:rPr>
          <w:rFonts w:ascii="Times New Roman" w:hAnsi="Times New Roman" w:cs="Times New Roman"/>
        </w:rPr>
        <w:t>The concept of capacity to consent recognizes that not all people can give their informed permission voluntarily.  This is especially important in battery situations involving children, people with mental illnesses, or those under the influence of drugs.  The law places more obligations on people who interact with these vulnerable groups in recognition of the need for increased protection.  For instance, increased inspection is necessary when dealing with kids to ensure that there is no compulsion and that understanding is there.  In a similar vein, people with mental illnesses might require additional protections to secure their interests.  This complex approach highlights how important it is to ensure consent is genuinely free, deliberate, and provided by those who correctly understand the consequences of their acceptance</w:t>
      </w:r>
      <w:r w:rsidRPr="00D927F5" w:rsidR="00114847">
        <w:rPr>
          <w:rFonts w:ascii="Times New Roman" w:hAnsi="Times New Roman" w:cs="Times New Roman"/>
        </w:rPr>
        <w:t xml:space="preserve"> (</w:t>
      </w:r>
      <w:r w:rsidRPr="00D927F5" w:rsidR="00114847">
        <w:rPr>
          <w:rFonts w:ascii="Times New Roman" w:hAnsi="Times New Roman" w:cs="Times New Roman"/>
          <w:color w:val="222222"/>
          <w:shd w:val="clear" w:color="auto" w:fill="FFFFFF"/>
        </w:rPr>
        <w:t>Rawlings, et.al, 2020).</w:t>
      </w:r>
    </w:p>
    <w:p w:rsidRPr="00D927F5" w:rsidR="00317432" w:rsidP="00D927F5" w:rsidRDefault="00317432" w14:paraId="238FDED2" w14:textId="77777777">
      <w:pPr>
        <w:spacing w:line="360" w:lineRule="auto"/>
        <w:jc w:val="both"/>
        <w:rPr>
          <w:rFonts w:ascii="Times New Roman" w:hAnsi="Times New Roman" w:cs="Times New Roman"/>
          <w:b/>
          <w:bCs/>
        </w:rPr>
      </w:pPr>
    </w:p>
    <w:p w:rsidRPr="00D927F5" w:rsidR="00317432" w:rsidP="00D927F5" w:rsidRDefault="00317432" w14:paraId="6163EF0F" w14:textId="77777777">
      <w:pPr>
        <w:spacing w:line="360" w:lineRule="auto"/>
        <w:jc w:val="both"/>
        <w:rPr>
          <w:rFonts w:ascii="Times New Roman" w:hAnsi="Times New Roman" w:cs="Times New Roman"/>
          <w:b/>
          <w:bCs/>
        </w:rPr>
      </w:pPr>
      <w:r w:rsidRPr="00D927F5">
        <w:rPr>
          <w:rFonts w:ascii="Times New Roman" w:hAnsi="Times New Roman" w:cs="Times New Roman"/>
          <w:b/>
          <w:bCs/>
        </w:rPr>
        <w:t>Discouraging Problems Context of Consent</w:t>
      </w:r>
    </w:p>
    <w:p w:rsidRPr="00D927F5" w:rsidR="00317432" w:rsidP="00D927F5" w:rsidRDefault="00317432" w14:paraId="51D70B4F" w14:textId="77777777">
      <w:pPr>
        <w:spacing w:line="360" w:lineRule="auto"/>
        <w:jc w:val="both"/>
        <w:rPr>
          <w:rFonts w:ascii="Times New Roman" w:hAnsi="Times New Roman" w:cs="Times New Roman"/>
        </w:rPr>
      </w:pPr>
    </w:p>
    <w:p w:rsidRPr="00D927F5" w:rsidR="00317432" w:rsidP="00D927F5" w:rsidRDefault="00317432" w14:paraId="41D9AF04" w14:textId="77777777">
      <w:pPr>
        <w:spacing w:line="360" w:lineRule="auto"/>
        <w:ind w:firstLine="720"/>
        <w:jc w:val="both"/>
        <w:rPr>
          <w:rFonts w:ascii="Times New Roman" w:hAnsi="Times New Roman" w:cs="Times New Roman"/>
        </w:rPr>
      </w:pPr>
      <w:r w:rsidRPr="00D927F5">
        <w:rPr>
          <w:rFonts w:ascii="Times New Roman" w:hAnsi="Times New Roman" w:cs="Times New Roman"/>
        </w:rPr>
        <w:t xml:space="preserve">In battery situations, the concept of consent raises several difficult questions.  One of the main obstacles is consent's subjectivity and ambiguity.  Determining whether consent was granted can be tricky since consent is sometimes seen as a private and subjective affair.  </w:t>
      </w:r>
      <w:r w:rsidRPr="00D927F5">
        <w:rPr>
          <w:rFonts w:ascii="Times New Roman" w:hAnsi="Times New Roman" w:cs="Times New Roman"/>
        </w:rPr>
        <w:lastRenderedPageBreak/>
        <w:t>Another might need help understanding one party's permission.  In battery situations, this subjectivity may give rise to disagreements and complicated legal issues.</w:t>
      </w:r>
    </w:p>
    <w:p w:rsidRPr="00D927F5" w:rsidR="00317432" w:rsidP="00D927F5" w:rsidRDefault="00317432" w14:paraId="571BF3B5" w14:textId="77777777">
      <w:pPr>
        <w:spacing w:line="360" w:lineRule="auto"/>
        <w:jc w:val="both"/>
        <w:rPr>
          <w:rFonts w:ascii="Times New Roman" w:hAnsi="Times New Roman" w:cs="Times New Roman"/>
        </w:rPr>
      </w:pPr>
      <w:r w:rsidRPr="00D927F5">
        <w:rPr>
          <w:rFonts w:ascii="Times New Roman" w:hAnsi="Times New Roman" w:cs="Times New Roman"/>
        </w:rPr>
        <w:t>Furthermore, there may be disagreements regarding the matter of implied consent.  In some instances, the context or previous exchanges may indicate consent.  In contact sports, for example, players may be deemed to have implicitly consented to a specific degree of physical contact.  However, it can be challenging to define the bounds of implied permission, and its extent can be ambiguous.</w:t>
      </w:r>
    </w:p>
    <w:p w:rsidRPr="00D927F5" w:rsidR="00317432" w:rsidP="00D927F5" w:rsidRDefault="00317432" w14:paraId="66615CFD" w14:textId="77777777">
      <w:pPr>
        <w:spacing w:line="360" w:lineRule="auto"/>
        <w:ind w:firstLine="720"/>
        <w:jc w:val="both"/>
        <w:rPr>
          <w:rFonts w:ascii="Times New Roman" w:hAnsi="Times New Roman" w:cs="Times New Roman"/>
        </w:rPr>
      </w:pPr>
      <w:r w:rsidRPr="00D927F5">
        <w:rPr>
          <w:rFonts w:ascii="Times New Roman" w:hAnsi="Times New Roman" w:cs="Times New Roman"/>
        </w:rPr>
        <w:t>Consent is fraught with difficulties because it is subjective and situational.  The lack of clarity surrounding consent can give rise to disagreements and legal complications, particularly in situations involving implied consent, which can be deduced from previous encounters or circumstances.  One party's definition of consent can differ from another's, creating issues with interpretation and individual agency.  Furthermore, understanding the bounds of permission in changing contexts—such as internet contacts or newly developing recreational activities—brings ethical and legal issues as societal norms change, underscoring the need for continued debate and legal improvement</w:t>
      </w:r>
      <w:r w:rsidRPr="00D927F5" w:rsidR="00114847">
        <w:rPr>
          <w:rFonts w:ascii="Times New Roman" w:hAnsi="Times New Roman" w:cs="Times New Roman"/>
        </w:rPr>
        <w:t xml:space="preserve"> (</w:t>
      </w:r>
      <w:r w:rsidRPr="00D927F5" w:rsidR="00114847">
        <w:rPr>
          <w:rFonts w:ascii="Times New Roman" w:hAnsi="Times New Roman" w:cs="Times New Roman"/>
          <w:color w:val="222222"/>
          <w:shd w:val="clear" w:color="auto" w:fill="FFFFFF"/>
        </w:rPr>
        <w:t>Sánchez-Monedero, Dencik &amp; Edwards, 2020, January).</w:t>
      </w:r>
    </w:p>
    <w:p w:rsidRPr="00D927F5" w:rsidR="00317432" w:rsidP="00D927F5" w:rsidRDefault="00317432" w14:paraId="403947E0" w14:textId="77777777">
      <w:pPr>
        <w:spacing w:line="360" w:lineRule="auto"/>
        <w:jc w:val="both"/>
        <w:rPr>
          <w:rFonts w:ascii="Times New Roman" w:hAnsi="Times New Roman" w:cs="Times New Roman"/>
        </w:rPr>
      </w:pPr>
    </w:p>
    <w:p w:rsidRPr="00D927F5" w:rsidR="00317432" w:rsidP="00D927F5" w:rsidRDefault="00317432" w14:paraId="708740C7" w14:textId="77777777">
      <w:pPr>
        <w:spacing w:line="360" w:lineRule="auto"/>
        <w:jc w:val="both"/>
        <w:rPr>
          <w:rFonts w:ascii="Times New Roman" w:hAnsi="Times New Roman" w:cs="Times New Roman"/>
          <w:b/>
          <w:bCs/>
        </w:rPr>
      </w:pPr>
      <w:r w:rsidRPr="00D927F5">
        <w:rPr>
          <w:rFonts w:ascii="Times New Roman" w:hAnsi="Times New Roman" w:cs="Times New Roman"/>
          <w:b/>
          <w:bCs/>
        </w:rPr>
        <w:t>Current Developments in Law</w:t>
      </w:r>
    </w:p>
    <w:p w:rsidRPr="00D927F5" w:rsidR="00317432" w:rsidP="00D927F5" w:rsidRDefault="00317432" w14:paraId="0FCCFB6C" w14:textId="77777777">
      <w:pPr>
        <w:spacing w:line="360" w:lineRule="auto"/>
        <w:jc w:val="both"/>
        <w:rPr>
          <w:rFonts w:ascii="Times New Roman" w:hAnsi="Times New Roman" w:cs="Times New Roman"/>
        </w:rPr>
      </w:pPr>
    </w:p>
    <w:p w:rsidRPr="00D927F5" w:rsidR="00317432" w:rsidP="00D927F5" w:rsidRDefault="00317432" w14:paraId="45D60BB7" w14:textId="77777777">
      <w:pPr>
        <w:spacing w:line="360" w:lineRule="auto"/>
        <w:ind w:firstLine="720"/>
        <w:jc w:val="both"/>
        <w:rPr>
          <w:rFonts w:ascii="Times New Roman" w:hAnsi="Times New Roman" w:cs="Times New Roman"/>
        </w:rPr>
      </w:pPr>
      <w:r w:rsidRPr="00D927F5">
        <w:rPr>
          <w:rFonts w:ascii="Times New Roman" w:hAnsi="Times New Roman" w:cs="Times New Roman"/>
        </w:rPr>
        <w:t>The idea of permission in battery cases has undergone several noteworthy alterations in the UK legal system in recent years.  Notably, the R v. Brown (1993) case elevated cognizance of the drawback of consent in sadomasochistic deeds.  According to the House of Lords, consent cannot be used as a validation for an assault that results in actual bodily harm.  The limitations of individual autonomy and the state's role in policing consensual behaviours between adults were among the many issues this ruling prompted.  Following legal developments, however, have clarified and broadened the meaning of consent in battery situations.  The case of R v. Wilson (1996) established that private sexual enjoyment acts between consenting adults could not be ruled unlawful, even if they caused some degree of injury.  This decision recognized the value of personal autonomy and the limits of government intrusion in private, consensual actions.  Furthermore, in 2019, the Crown Prosecution Service issued guidelines emphasizing the importance of conducting a public interest test when deciding whether to prosecute cases involving consensual sadomasochistic activities, ensuring that the state's intervention was proportionate and consistent with individual rights</w:t>
      </w:r>
      <w:r w:rsidRPr="00D927F5" w:rsidR="00114847">
        <w:rPr>
          <w:rFonts w:ascii="Times New Roman" w:hAnsi="Times New Roman" w:cs="Times New Roman"/>
        </w:rPr>
        <w:t xml:space="preserve"> (</w:t>
      </w:r>
      <w:r w:rsidRPr="00D927F5" w:rsidR="00114847">
        <w:rPr>
          <w:rFonts w:ascii="Times New Roman" w:hAnsi="Times New Roman" w:cs="Times New Roman"/>
          <w:color w:val="222222"/>
          <w:shd w:val="clear" w:color="auto" w:fill="FFFFFF"/>
        </w:rPr>
        <w:t>Wallace &amp; Martin-Ortega, 2020).</w:t>
      </w:r>
      <w:r w:rsidRPr="00D927F5" w:rsidR="00114847">
        <w:rPr>
          <w:rStyle w:val="apple-converted-space"/>
          <w:rFonts w:ascii="Times New Roman" w:hAnsi="Times New Roman" w:cs="Times New Roman"/>
          <w:color w:val="222222"/>
          <w:shd w:val="clear" w:color="auto" w:fill="FFFFFF"/>
        </w:rPr>
        <w:t> </w:t>
      </w:r>
    </w:p>
    <w:p w:rsidRPr="00D927F5" w:rsidR="00317432" w:rsidP="00D927F5" w:rsidRDefault="00317432" w14:paraId="3F8C4F23" w14:textId="77777777">
      <w:pPr>
        <w:spacing w:line="360" w:lineRule="auto"/>
        <w:jc w:val="both"/>
        <w:rPr>
          <w:rFonts w:ascii="Times New Roman" w:hAnsi="Times New Roman" w:cs="Times New Roman"/>
        </w:rPr>
      </w:pPr>
    </w:p>
    <w:p w:rsidRPr="00D927F5" w:rsidR="00317432" w:rsidP="00D927F5" w:rsidRDefault="00317432" w14:paraId="04C4BB86" w14:textId="77777777">
      <w:pPr>
        <w:spacing w:line="360" w:lineRule="auto"/>
        <w:jc w:val="both"/>
        <w:rPr>
          <w:rFonts w:ascii="Times New Roman" w:hAnsi="Times New Roman" w:cs="Times New Roman"/>
          <w:b/>
          <w:bCs/>
        </w:rPr>
      </w:pPr>
      <w:r w:rsidRPr="00D927F5">
        <w:rPr>
          <w:rFonts w:ascii="Times New Roman" w:hAnsi="Times New Roman" w:cs="Times New Roman"/>
          <w:b/>
          <w:bCs/>
        </w:rPr>
        <w:lastRenderedPageBreak/>
        <w:t>The Significance of Consent in Tort and Criminal Law</w:t>
      </w:r>
    </w:p>
    <w:p w:rsidRPr="00D927F5" w:rsidR="00317432" w:rsidP="00D927F5" w:rsidRDefault="00317432" w14:paraId="0A5AB3F0" w14:textId="77777777">
      <w:pPr>
        <w:spacing w:line="360" w:lineRule="auto"/>
        <w:jc w:val="both"/>
        <w:rPr>
          <w:rFonts w:ascii="Times New Roman" w:hAnsi="Times New Roman" w:cs="Times New Roman"/>
        </w:rPr>
      </w:pPr>
    </w:p>
    <w:p w:rsidRPr="00D927F5" w:rsidR="00317432" w:rsidP="00D927F5" w:rsidRDefault="00317432" w14:paraId="54B5B0C3" w14:textId="77777777">
      <w:pPr>
        <w:spacing w:line="360" w:lineRule="auto"/>
        <w:ind w:firstLine="720"/>
        <w:jc w:val="both"/>
        <w:rPr>
          <w:rFonts w:ascii="Times New Roman" w:hAnsi="Times New Roman" w:cs="Times New Roman"/>
        </w:rPr>
      </w:pPr>
      <w:r w:rsidRPr="00D927F5">
        <w:rPr>
          <w:rFonts w:ascii="Times New Roman" w:hAnsi="Times New Roman" w:cs="Times New Roman"/>
        </w:rPr>
        <w:t xml:space="preserve">Differentiating between consent's function in tort law and criminal law is crucial.  In criminal law, if it can be demonstrated that the </w:t>
      </w:r>
      <w:r w:rsidRPr="00D927F5" w:rsidR="00114847">
        <w:rPr>
          <w:rFonts w:ascii="Times New Roman" w:hAnsi="Times New Roman" w:cs="Times New Roman"/>
        </w:rPr>
        <w:t>behaviour</w:t>
      </w:r>
      <w:r w:rsidRPr="00D927F5">
        <w:rPr>
          <w:rFonts w:ascii="Times New Roman" w:hAnsi="Times New Roman" w:cs="Times New Roman"/>
        </w:rPr>
        <w:t xml:space="preserve"> was consensual, consent may serve as a </w:t>
      </w:r>
      <w:r w:rsidRPr="00D927F5" w:rsidR="00114847">
        <w:rPr>
          <w:rFonts w:ascii="Times New Roman" w:hAnsi="Times New Roman" w:cs="Times New Roman"/>
        </w:rPr>
        <w:t>defence</w:t>
      </w:r>
      <w:r w:rsidRPr="00D927F5">
        <w:rPr>
          <w:rFonts w:ascii="Times New Roman" w:hAnsi="Times New Roman" w:cs="Times New Roman"/>
        </w:rPr>
        <w:t xml:space="preserve"> against specific offenses like assault.  Nevertheless, consent is not a perfect </w:t>
      </w:r>
      <w:r w:rsidRPr="00D927F5" w:rsidR="00114847">
        <w:rPr>
          <w:rFonts w:ascii="Times New Roman" w:hAnsi="Times New Roman" w:cs="Times New Roman"/>
        </w:rPr>
        <w:t>defence</w:t>
      </w:r>
      <w:r w:rsidRPr="00D927F5">
        <w:rPr>
          <w:rFonts w:ascii="Times New Roman" w:hAnsi="Times New Roman" w:cs="Times New Roman"/>
        </w:rPr>
        <w:t xml:space="preserve"> because it might be undermined by deception, coercion, or incapacity.  Consent is crucial in establishing culpability in tort law, especially in battery proceedings.  The defendant could face battery charges if the plaintiff can show that they did not agree to the offensive or hurtful contact</w:t>
      </w:r>
      <w:r w:rsidRPr="00D927F5" w:rsidR="00D927F5">
        <w:rPr>
          <w:rFonts w:ascii="Times New Roman" w:hAnsi="Times New Roman" w:cs="Times New Roman"/>
        </w:rPr>
        <w:t xml:space="preserve"> (</w:t>
      </w:r>
      <w:r w:rsidRPr="00D927F5" w:rsidR="00D927F5">
        <w:rPr>
          <w:rFonts w:ascii="Times New Roman" w:hAnsi="Times New Roman" w:cs="Times New Roman"/>
          <w:color w:val="222222"/>
          <w:shd w:val="clear" w:color="auto" w:fill="FFFFFF"/>
        </w:rPr>
        <w:t>Chamallas, 2021).</w:t>
      </w:r>
    </w:p>
    <w:p w:rsidRPr="00D927F5" w:rsidR="00317432" w:rsidP="00D927F5" w:rsidRDefault="00317432" w14:paraId="594B19FB" w14:textId="77777777">
      <w:pPr>
        <w:spacing w:line="360" w:lineRule="auto"/>
        <w:ind w:firstLine="720"/>
        <w:jc w:val="both"/>
        <w:rPr>
          <w:rFonts w:ascii="Times New Roman" w:hAnsi="Times New Roman" w:cs="Times New Roman"/>
        </w:rPr>
      </w:pPr>
      <w:r w:rsidRPr="00D927F5">
        <w:rPr>
          <w:rFonts w:ascii="Times New Roman" w:hAnsi="Times New Roman" w:cs="Times New Roman"/>
        </w:rPr>
        <w:t>On the other hand, consent is primarily used in tort law to establish responsibility in situations like battery.  The perpetrator may be responsible for any damage that results from the offensive or harmful contact if the appellant can show that they did not give their free and informed consent.  In tort law, the target is to make up for the losses experienced by the victims.  Preserving one's rights is prioritized over punishment, and consent is crucial in determining civil culpability.  Although permission is essential in both areas of law, there are differences in how it functions and what happens as a result, which are related to the different goals and tenets of tort and criminal law</w:t>
      </w:r>
      <w:r w:rsidRPr="00D927F5" w:rsidR="00D927F5">
        <w:rPr>
          <w:rFonts w:ascii="Times New Roman" w:hAnsi="Times New Roman" w:cs="Times New Roman"/>
        </w:rPr>
        <w:t xml:space="preserve"> (</w:t>
      </w:r>
      <w:r w:rsidRPr="00D927F5" w:rsidR="00D927F5">
        <w:rPr>
          <w:rFonts w:ascii="Times New Roman" w:hAnsi="Times New Roman" w:cs="Times New Roman"/>
          <w:color w:val="222222"/>
          <w:shd w:val="clear" w:color="auto" w:fill="FFFFFF"/>
        </w:rPr>
        <w:t>Allen, Loveless &amp; Derry, 2020).</w:t>
      </w:r>
      <w:r w:rsidRPr="00D927F5" w:rsidR="00D927F5">
        <w:rPr>
          <w:rStyle w:val="apple-converted-space"/>
          <w:rFonts w:ascii="Times New Roman" w:hAnsi="Times New Roman" w:cs="Times New Roman"/>
          <w:color w:val="222222"/>
          <w:shd w:val="clear" w:color="auto" w:fill="FFFFFF"/>
        </w:rPr>
        <w:t> </w:t>
      </w:r>
    </w:p>
    <w:p w:rsidRPr="00D927F5" w:rsidR="00317432" w:rsidP="00D927F5" w:rsidRDefault="00317432" w14:paraId="313096AA" w14:textId="77777777">
      <w:pPr>
        <w:spacing w:line="360" w:lineRule="auto"/>
        <w:jc w:val="both"/>
        <w:rPr>
          <w:rFonts w:ascii="Times New Roman" w:hAnsi="Times New Roman" w:cs="Times New Roman"/>
        </w:rPr>
      </w:pPr>
    </w:p>
    <w:p w:rsidRPr="00D927F5" w:rsidR="00317432" w:rsidP="00D927F5" w:rsidRDefault="00317432" w14:paraId="3010C17D" w14:textId="77777777">
      <w:pPr>
        <w:spacing w:line="360" w:lineRule="auto"/>
        <w:ind w:firstLine="720"/>
        <w:jc w:val="both"/>
        <w:rPr>
          <w:rFonts w:ascii="Times New Roman" w:hAnsi="Times New Roman" w:cs="Times New Roman"/>
        </w:rPr>
      </w:pPr>
      <w:r w:rsidRPr="00D927F5">
        <w:rPr>
          <w:rFonts w:ascii="Times New Roman" w:hAnsi="Times New Roman" w:cs="Times New Roman"/>
        </w:rPr>
        <w:t>In criminal and tort law in the United Kingdom, consent is a crucial notion, especially in battery proceedings.  It's a complex idea with many facets that need to be carefully considered, involving capacity, subjectivity, and implied consent, among other things.  More clarification of the boundaries of consent in situations involving consensual but potentially damaging acts has come from recent legal advancements.  The legal system acknowledges the need to safeguard the weak and avoid coercion or harm, even as it works to balance individual autonomy and personal agency.  Because human relationships and interactions are complex, permission plays a delicate balancing act in battery situations.  The idea of consent continues to be central to the legal system's efforts to balance individual liberty and public interests, even as the legal landscape changes.</w:t>
      </w:r>
    </w:p>
    <w:p w:rsidR="00317432" w:rsidP="00D927F5" w:rsidRDefault="00317432" w14:paraId="0DDBA810" w14:textId="77777777">
      <w:pPr>
        <w:spacing w:line="360" w:lineRule="auto"/>
        <w:jc w:val="both"/>
        <w:rPr>
          <w:rFonts w:ascii="Times New Roman" w:hAnsi="Times New Roman" w:cs="Times New Roman"/>
        </w:rPr>
      </w:pPr>
    </w:p>
    <w:p w:rsidR="00D927F5" w:rsidP="00D927F5" w:rsidRDefault="00D927F5" w14:paraId="3ECB2483" w14:textId="77777777">
      <w:pPr>
        <w:spacing w:line="360" w:lineRule="auto"/>
        <w:jc w:val="both"/>
        <w:rPr>
          <w:rFonts w:ascii="Times New Roman" w:hAnsi="Times New Roman" w:cs="Times New Roman"/>
        </w:rPr>
      </w:pPr>
    </w:p>
    <w:p w:rsidR="00D927F5" w:rsidP="00D927F5" w:rsidRDefault="00D927F5" w14:paraId="12447FFF" w14:textId="77777777">
      <w:pPr>
        <w:spacing w:line="360" w:lineRule="auto"/>
        <w:jc w:val="both"/>
        <w:rPr>
          <w:rFonts w:ascii="Times New Roman" w:hAnsi="Times New Roman" w:cs="Times New Roman"/>
        </w:rPr>
      </w:pPr>
    </w:p>
    <w:p w:rsidR="00D927F5" w:rsidP="00D927F5" w:rsidRDefault="00D927F5" w14:paraId="68EF1B46" w14:textId="77777777">
      <w:pPr>
        <w:spacing w:line="360" w:lineRule="auto"/>
        <w:jc w:val="both"/>
        <w:rPr>
          <w:rFonts w:ascii="Times New Roman" w:hAnsi="Times New Roman" w:cs="Times New Roman"/>
        </w:rPr>
      </w:pPr>
    </w:p>
    <w:p w:rsidR="00D927F5" w:rsidP="00D927F5" w:rsidRDefault="00D927F5" w14:paraId="37F62AC4" w14:textId="77777777">
      <w:pPr>
        <w:spacing w:line="360" w:lineRule="auto"/>
        <w:jc w:val="both"/>
        <w:rPr>
          <w:rFonts w:ascii="Times New Roman" w:hAnsi="Times New Roman" w:cs="Times New Roman"/>
        </w:rPr>
      </w:pPr>
    </w:p>
    <w:p w:rsidRPr="00D927F5" w:rsidR="00D927F5" w:rsidP="00D927F5" w:rsidRDefault="00D927F5" w14:paraId="79D36EFA" w14:textId="77777777">
      <w:pPr>
        <w:spacing w:line="360" w:lineRule="auto"/>
        <w:jc w:val="both"/>
        <w:rPr>
          <w:rFonts w:ascii="Times New Roman" w:hAnsi="Times New Roman" w:cs="Times New Roman"/>
        </w:rPr>
      </w:pPr>
    </w:p>
    <w:p w:rsidRPr="00D927F5" w:rsidR="00D927F5" w:rsidP="00D927F5" w:rsidRDefault="00114847" w14:paraId="3F555B7D" w14:textId="77777777">
      <w:pPr>
        <w:spacing w:line="360" w:lineRule="auto"/>
        <w:jc w:val="both"/>
        <w:rPr>
          <w:rFonts w:ascii="Times New Roman" w:hAnsi="Times New Roman" w:cs="Times New Roman"/>
        </w:rPr>
      </w:pPr>
      <w:r w:rsidRPr="00D927F5">
        <w:rPr>
          <w:rFonts w:ascii="Times New Roman" w:hAnsi="Times New Roman" w:cs="Times New Roman"/>
        </w:rPr>
        <w:lastRenderedPageBreak/>
        <w:t>Reference:</w:t>
      </w:r>
    </w:p>
    <w:p w:rsidRPr="00D927F5" w:rsidR="00D927F5" w:rsidP="00D927F5" w:rsidRDefault="00D927F5" w14:paraId="48A3AF30" w14:textId="77777777">
      <w:pPr>
        <w:spacing w:line="360" w:lineRule="auto"/>
        <w:ind w:left="720" w:hanging="720"/>
        <w:jc w:val="both"/>
        <w:rPr>
          <w:rFonts w:ascii="Times New Roman" w:hAnsi="Times New Roman" w:cs="Times New Roman"/>
        </w:rPr>
      </w:pPr>
      <w:r w:rsidRPr="00D927F5">
        <w:rPr>
          <w:rFonts w:ascii="Times New Roman" w:hAnsi="Times New Roman" w:cs="Times New Roman"/>
          <w:color w:val="222222"/>
          <w:shd w:val="clear" w:color="auto" w:fill="FFFFFF"/>
        </w:rPr>
        <w:t>Allen, M., Loveless, J., &amp; Derry, C. (2020).</w:t>
      </w:r>
      <w:r w:rsidRPr="00D927F5">
        <w:rPr>
          <w:rStyle w:val="apple-converted-space"/>
          <w:rFonts w:ascii="Times New Roman" w:hAnsi="Times New Roman" w:cs="Times New Roman"/>
          <w:color w:val="222222"/>
          <w:shd w:val="clear" w:color="auto" w:fill="FFFFFF"/>
        </w:rPr>
        <w:t> </w:t>
      </w:r>
      <w:r w:rsidRPr="00D927F5">
        <w:rPr>
          <w:rFonts w:ascii="Times New Roman" w:hAnsi="Times New Roman" w:cs="Times New Roman"/>
          <w:i/>
          <w:iCs/>
          <w:color w:val="222222"/>
        </w:rPr>
        <w:t>Complete criminal law: text, cases, and materials</w:t>
      </w:r>
      <w:r w:rsidRPr="00D927F5">
        <w:rPr>
          <w:rFonts w:ascii="Times New Roman" w:hAnsi="Times New Roman" w:cs="Times New Roman"/>
          <w:color w:val="222222"/>
          <w:shd w:val="clear" w:color="auto" w:fill="FFFFFF"/>
        </w:rPr>
        <w:t>. Complete.</w:t>
      </w:r>
    </w:p>
    <w:p w:rsidRPr="00D927F5" w:rsidR="00D927F5" w:rsidP="00D927F5" w:rsidRDefault="00D927F5" w14:paraId="4A84AA0A" w14:textId="77777777">
      <w:pPr>
        <w:spacing w:line="360" w:lineRule="auto"/>
        <w:ind w:left="720" w:hanging="720"/>
        <w:jc w:val="both"/>
        <w:rPr>
          <w:rFonts w:ascii="Times New Roman" w:hAnsi="Times New Roman" w:cs="Times New Roman"/>
        </w:rPr>
      </w:pPr>
      <w:r w:rsidRPr="00D927F5">
        <w:rPr>
          <w:rFonts w:ascii="Times New Roman" w:hAnsi="Times New Roman" w:cs="Times New Roman"/>
          <w:color w:val="222222"/>
          <w:shd w:val="clear" w:color="auto" w:fill="FFFFFF"/>
        </w:rPr>
        <w:t>Butler, J., &amp; Langlois, D. (2022, May). Consent, capacity, and client sexuality policies in healthcare. In</w:t>
      </w:r>
      <w:r w:rsidRPr="00D927F5">
        <w:rPr>
          <w:rStyle w:val="apple-converted-space"/>
          <w:rFonts w:ascii="Times New Roman" w:hAnsi="Times New Roman" w:cs="Times New Roman"/>
          <w:color w:val="222222"/>
          <w:shd w:val="clear" w:color="auto" w:fill="FFFFFF"/>
        </w:rPr>
        <w:t> </w:t>
      </w:r>
      <w:r w:rsidRPr="00D927F5">
        <w:rPr>
          <w:rFonts w:ascii="Times New Roman" w:hAnsi="Times New Roman" w:cs="Times New Roman"/>
          <w:i/>
          <w:iCs/>
          <w:color w:val="222222"/>
        </w:rPr>
        <w:t>Healthcare Management Forum</w:t>
      </w:r>
      <w:r w:rsidRPr="00D927F5">
        <w:rPr>
          <w:rStyle w:val="apple-converted-space"/>
          <w:rFonts w:ascii="Times New Roman" w:hAnsi="Times New Roman" w:cs="Times New Roman"/>
          <w:color w:val="222222"/>
          <w:shd w:val="clear" w:color="auto" w:fill="FFFFFF"/>
        </w:rPr>
        <w:t> </w:t>
      </w:r>
      <w:r w:rsidRPr="00D927F5">
        <w:rPr>
          <w:rFonts w:ascii="Times New Roman" w:hAnsi="Times New Roman" w:cs="Times New Roman"/>
          <w:color w:val="222222"/>
          <w:shd w:val="clear" w:color="auto" w:fill="FFFFFF"/>
        </w:rPr>
        <w:t>(Vol. 35, No. 3, pp. 190-194). Sage CA: Los Angeles, CA: SAGE Publications.</w:t>
      </w:r>
    </w:p>
    <w:p w:rsidRPr="00D927F5" w:rsidR="00D927F5" w:rsidP="00D927F5" w:rsidRDefault="00D927F5" w14:paraId="5E7C2729" w14:textId="77777777">
      <w:pPr>
        <w:spacing w:line="360" w:lineRule="auto"/>
        <w:ind w:left="720" w:hanging="720"/>
        <w:jc w:val="both"/>
        <w:rPr>
          <w:rFonts w:ascii="Times New Roman" w:hAnsi="Times New Roman" w:cs="Times New Roman"/>
          <w:color w:val="222222"/>
          <w:shd w:val="clear" w:color="auto" w:fill="FFFFFF"/>
        </w:rPr>
      </w:pPr>
      <w:r w:rsidRPr="00D927F5">
        <w:rPr>
          <w:rFonts w:ascii="Times New Roman" w:hAnsi="Times New Roman" w:cs="Times New Roman"/>
          <w:color w:val="222222"/>
          <w:shd w:val="clear" w:color="auto" w:fill="FFFFFF"/>
        </w:rPr>
        <w:t>Chamallas, M. (2021). Social Justice Tort Theory.</w:t>
      </w:r>
      <w:r w:rsidRPr="00D927F5">
        <w:rPr>
          <w:rStyle w:val="apple-converted-space"/>
          <w:rFonts w:ascii="Times New Roman" w:hAnsi="Times New Roman" w:cs="Times New Roman"/>
          <w:color w:val="222222"/>
          <w:shd w:val="clear" w:color="auto" w:fill="FFFFFF"/>
        </w:rPr>
        <w:t> </w:t>
      </w:r>
      <w:r w:rsidRPr="00D927F5">
        <w:rPr>
          <w:rFonts w:ascii="Times New Roman" w:hAnsi="Times New Roman" w:cs="Times New Roman"/>
          <w:i/>
          <w:iCs/>
          <w:color w:val="222222"/>
        </w:rPr>
        <w:t>Journal of Tort Law</w:t>
      </w:r>
      <w:r w:rsidRPr="00D927F5">
        <w:rPr>
          <w:rFonts w:ascii="Times New Roman" w:hAnsi="Times New Roman" w:cs="Times New Roman"/>
          <w:color w:val="222222"/>
          <w:shd w:val="clear" w:color="auto" w:fill="FFFFFF"/>
        </w:rPr>
        <w:t>,</w:t>
      </w:r>
      <w:r w:rsidRPr="00D927F5">
        <w:rPr>
          <w:rStyle w:val="apple-converted-space"/>
          <w:rFonts w:ascii="Times New Roman" w:hAnsi="Times New Roman" w:cs="Times New Roman"/>
          <w:color w:val="222222"/>
          <w:shd w:val="clear" w:color="auto" w:fill="FFFFFF"/>
        </w:rPr>
        <w:t> </w:t>
      </w:r>
      <w:r w:rsidRPr="00D927F5">
        <w:rPr>
          <w:rFonts w:ascii="Times New Roman" w:hAnsi="Times New Roman" w:cs="Times New Roman"/>
          <w:i/>
          <w:iCs/>
          <w:color w:val="222222"/>
        </w:rPr>
        <w:t>14</w:t>
      </w:r>
      <w:r w:rsidRPr="00D927F5">
        <w:rPr>
          <w:rFonts w:ascii="Times New Roman" w:hAnsi="Times New Roman" w:cs="Times New Roman"/>
          <w:color w:val="222222"/>
          <w:shd w:val="clear" w:color="auto" w:fill="FFFFFF"/>
        </w:rPr>
        <w:t>(2), 309-332.</w:t>
      </w:r>
    </w:p>
    <w:p w:rsidRPr="00D927F5" w:rsidR="00D927F5" w:rsidP="00D927F5" w:rsidRDefault="00D927F5" w14:paraId="5BF72E74" w14:textId="77777777">
      <w:pPr>
        <w:spacing w:line="360" w:lineRule="auto"/>
        <w:ind w:left="720" w:hanging="720"/>
        <w:jc w:val="both"/>
        <w:rPr>
          <w:rFonts w:ascii="Times New Roman" w:hAnsi="Times New Roman" w:cs="Times New Roman"/>
          <w:color w:val="222222"/>
          <w:shd w:val="clear" w:color="auto" w:fill="FFFFFF"/>
        </w:rPr>
      </w:pPr>
      <w:r w:rsidRPr="00D927F5">
        <w:rPr>
          <w:rFonts w:ascii="Times New Roman" w:hAnsi="Times New Roman" w:cs="Times New Roman"/>
          <w:color w:val="222222"/>
          <w:shd w:val="clear" w:color="auto" w:fill="FFFFFF"/>
        </w:rPr>
        <w:t xml:space="preserve">Cohen, I. G. (2019). Informed consent and medical artificial intelligence: What to tell the </w:t>
      </w:r>
      <w:r w:rsidRPr="00D927F5" w:rsidR="004E2E4C">
        <w:rPr>
          <w:rFonts w:ascii="Times New Roman" w:hAnsi="Times New Roman" w:cs="Times New Roman"/>
          <w:color w:val="222222"/>
          <w:shd w:val="clear" w:color="auto" w:fill="FFFFFF"/>
        </w:rPr>
        <w:t>patient?</w:t>
      </w:r>
      <w:r w:rsidRPr="00D927F5">
        <w:rPr>
          <w:rStyle w:val="apple-converted-space"/>
          <w:rFonts w:ascii="Times New Roman" w:hAnsi="Times New Roman" w:cs="Times New Roman"/>
          <w:color w:val="222222"/>
          <w:shd w:val="clear" w:color="auto" w:fill="FFFFFF"/>
        </w:rPr>
        <w:t> </w:t>
      </w:r>
      <w:r w:rsidRPr="00D927F5">
        <w:rPr>
          <w:rFonts w:ascii="Times New Roman" w:hAnsi="Times New Roman" w:cs="Times New Roman"/>
          <w:i/>
          <w:iCs/>
          <w:color w:val="222222"/>
        </w:rPr>
        <w:t>Geo. LJ</w:t>
      </w:r>
      <w:r w:rsidRPr="00D927F5">
        <w:rPr>
          <w:rFonts w:ascii="Times New Roman" w:hAnsi="Times New Roman" w:cs="Times New Roman"/>
          <w:color w:val="222222"/>
          <w:shd w:val="clear" w:color="auto" w:fill="FFFFFF"/>
        </w:rPr>
        <w:t>,</w:t>
      </w:r>
      <w:r w:rsidRPr="00D927F5">
        <w:rPr>
          <w:rStyle w:val="apple-converted-space"/>
          <w:rFonts w:ascii="Times New Roman" w:hAnsi="Times New Roman" w:cs="Times New Roman"/>
          <w:color w:val="222222"/>
          <w:shd w:val="clear" w:color="auto" w:fill="FFFFFF"/>
        </w:rPr>
        <w:t> </w:t>
      </w:r>
      <w:r w:rsidRPr="00D927F5">
        <w:rPr>
          <w:rFonts w:ascii="Times New Roman" w:hAnsi="Times New Roman" w:cs="Times New Roman"/>
          <w:i/>
          <w:iCs/>
          <w:color w:val="222222"/>
        </w:rPr>
        <w:t>108</w:t>
      </w:r>
      <w:r w:rsidRPr="00D927F5">
        <w:rPr>
          <w:rFonts w:ascii="Times New Roman" w:hAnsi="Times New Roman" w:cs="Times New Roman"/>
          <w:color w:val="222222"/>
          <w:shd w:val="clear" w:color="auto" w:fill="FFFFFF"/>
        </w:rPr>
        <w:t>, 1425.</w:t>
      </w:r>
    </w:p>
    <w:p w:rsidRPr="00D927F5" w:rsidR="00D927F5" w:rsidP="00D927F5" w:rsidRDefault="00D927F5" w14:paraId="34BDFAD2" w14:textId="77777777">
      <w:pPr>
        <w:spacing w:line="360" w:lineRule="auto"/>
        <w:ind w:left="720" w:hanging="720"/>
        <w:jc w:val="both"/>
        <w:rPr>
          <w:rFonts w:ascii="Times New Roman" w:hAnsi="Times New Roman" w:cs="Times New Roman"/>
          <w:color w:val="222222"/>
          <w:shd w:val="clear" w:color="auto" w:fill="FFFFFF"/>
        </w:rPr>
      </w:pPr>
      <w:r w:rsidRPr="00D927F5">
        <w:rPr>
          <w:rFonts w:ascii="Times New Roman" w:hAnsi="Times New Roman" w:cs="Times New Roman"/>
          <w:color w:val="222222"/>
          <w:shd w:val="clear" w:color="auto" w:fill="FFFFFF"/>
        </w:rPr>
        <w:t>Rawlings, A., Sillin, L., Shadduck, P., McDonald, M., Crookes, P., MacFadyen, B., ... &amp; SAGES Ethics Committee. (2020). Informed consent: a shared decision-making process that creates a new professional obligation for care.</w:t>
      </w:r>
      <w:r w:rsidRPr="00D927F5">
        <w:rPr>
          <w:rStyle w:val="apple-converted-space"/>
          <w:rFonts w:ascii="Times New Roman" w:hAnsi="Times New Roman" w:cs="Times New Roman"/>
          <w:color w:val="222222"/>
          <w:shd w:val="clear" w:color="auto" w:fill="FFFFFF"/>
        </w:rPr>
        <w:t> </w:t>
      </w:r>
      <w:r w:rsidRPr="00D927F5">
        <w:rPr>
          <w:rFonts w:ascii="Times New Roman" w:hAnsi="Times New Roman" w:cs="Times New Roman"/>
          <w:i/>
          <w:iCs/>
          <w:color w:val="222222"/>
        </w:rPr>
        <w:t>Surgical Endoscopy</w:t>
      </w:r>
      <w:r w:rsidRPr="00D927F5">
        <w:rPr>
          <w:rFonts w:ascii="Times New Roman" w:hAnsi="Times New Roman" w:cs="Times New Roman"/>
          <w:color w:val="222222"/>
          <w:shd w:val="clear" w:color="auto" w:fill="FFFFFF"/>
        </w:rPr>
        <w:t>,</w:t>
      </w:r>
      <w:r w:rsidRPr="00D927F5">
        <w:rPr>
          <w:rStyle w:val="apple-converted-space"/>
          <w:rFonts w:ascii="Times New Roman" w:hAnsi="Times New Roman" w:cs="Times New Roman"/>
          <w:color w:val="222222"/>
          <w:shd w:val="clear" w:color="auto" w:fill="FFFFFF"/>
        </w:rPr>
        <w:t> </w:t>
      </w:r>
      <w:r w:rsidRPr="00D927F5">
        <w:rPr>
          <w:rFonts w:ascii="Times New Roman" w:hAnsi="Times New Roman" w:cs="Times New Roman"/>
          <w:i/>
          <w:iCs/>
          <w:color w:val="222222"/>
        </w:rPr>
        <w:t>34</w:t>
      </w:r>
      <w:r w:rsidRPr="00D927F5">
        <w:rPr>
          <w:rFonts w:ascii="Times New Roman" w:hAnsi="Times New Roman" w:cs="Times New Roman"/>
          <w:color w:val="222222"/>
          <w:shd w:val="clear" w:color="auto" w:fill="FFFFFF"/>
        </w:rPr>
        <w:t>, 4713-4716.</w:t>
      </w:r>
    </w:p>
    <w:p w:rsidRPr="00D927F5" w:rsidR="00D927F5" w:rsidP="00D927F5" w:rsidRDefault="00D927F5" w14:paraId="774C2C98" w14:textId="77777777">
      <w:pPr>
        <w:spacing w:line="360" w:lineRule="auto"/>
        <w:ind w:left="720" w:hanging="720"/>
        <w:jc w:val="both"/>
        <w:rPr>
          <w:rFonts w:ascii="Times New Roman" w:hAnsi="Times New Roman" w:cs="Times New Roman"/>
          <w:color w:val="222222"/>
          <w:shd w:val="clear" w:color="auto" w:fill="FFFFFF"/>
        </w:rPr>
      </w:pPr>
      <w:r w:rsidRPr="00D927F5">
        <w:rPr>
          <w:rFonts w:ascii="Times New Roman" w:hAnsi="Times New Roman" w:cs="Times New Roman"/>
          <w:color w:val="222222"/>
          <w:shd w:val="clear" w:color="auto" w:fill="FFFFFF"/>
        </w:rPr>
        <w:t>Sánchez-Monedero, J., Dencik, L., &amp; Edwards, L. (2020, January). What does it mean to'solve'the problem of discrimination in hiring? Social, technical and legal perspectives from the UK on automated hiring systems. In</w:t>
      </w:r>
      <w:r w:rsidRPr="00D927F5">
        <w:rPr>
          <w:rStyle w:val="apple-converted-space"/>
          <w:rFonts w:ascii="Times New Roman" w:hAnsi="Times New Roman" w:cs="Times New Roman"/>
          <w:color w:val="222222"/>
          <w:shd w:val="clear" w:color="auto" w:fill="FFFFFF"/>
        </w:rPr>
        <w:t> </w:t>
      </w:r>
      <w:r w:rsidRPr="00D927F5">
        <w:rPr>
          <w:rFonts w:ascii="Times New Roman" w:hAnsi="Times New Roman" w:cs="Times New Roman"/>
          <w:i/>
          <w:iCs/>
          <w:color w:val="222222"/>
        </w:rPr>
        <w:t>Proceedings of the 2020 conference on fairness, accountability, and transparency</w:t>
      </w:r>
      <w:r w:rsidRPr="00D927F5">
        <w:rPr>
          <w:rStyle w:val="apple-converted-space"/>
          <w:rFonts w:ascii="Times New Roman" w:hAnsi="Times New Roman" w:cs="Times New Roman"/>
          <w:color w:val="222222"/>
          <w:shd w:val="clear" w:color="auto" w:fill="FFFFFF"/>
        </w:rPr>
        <w:t> </w:t>
      </w:r>
      <w:r w:rsidRPr="00D927F5">
        <w:rPr>
          <w:rFonts w:ascii="Times New Roman" w:hAnsi="Times New Roman" w:cs="Times New Roman"/>
          <w:color w:val="222222"/>
          <w:shd w:val="clear" w:color="auto" w:fill="FFFFFF"/>
        </w:rPr>
        <w:t>(pp. 458-468).</w:t>
      </w:r>
    </w:p>
    <w:p w:rsidRPr="00D927F5" w:rsidR="00D927F5" w:rsidP="00D927F5" w:rsidRDefault="00D927F5" w14:paraId="4057A90C" w14:textId="77777777">
      <w:pPr>
        <w:spacing w:line="360" w:lineRule="auto"/>
        <w:ind w:left="720" w:hanging="720"/>
        <w:jc w:val="both"/>
        <w:rPr>
          <w:rFonts w:ascii="Times New Roman" w:hAnsi="Times New Roman" w:cs="Times New Roman"/>
          <w:color w:val="222222"/>
          <w:shd w:val="clear" w:color="auto" w:fill="FFFFFF"/>
        </w:rPr>
      </w:pPr>
      <w:r w:rsidRPr="00D927F5">
        <w:rPr>
          <w:rFonts w:ascii="Times New Roman" w:hAnsi="Times New Roman" w:cs="Times New Roman"/>
          <w:color w:val="222222"/>
          <w:shd w:val="clear" w:color="auto" w:fill="FFFFFF"/>
        </w:rPr>
        <w:t>Santos, C., Bielova, N., &amp; Matte, C. (2019). Are cookie banners indeed compliant with the law? Deciphering EU legal requirements on consent and technical means to verify compliance of cookie banners.</w:t>
      </w:r>
      <w:r w:rsidRPr="00D927F5">
        <w:rPr>
          <w:rStyle w:val="apple-converted-space"/>
          <w:rFonts w:ascii="Times New Roman" w:hAnsi="Times New Roman" w:cs="Times New Roman"/>
          <w:color w:val="222222"/>
          <w:shd w:val="clear" w:color="auto" w:fill="FFFFFF"/>
        </w:rPr>
        <w:t> </w:t>
      </w:r>
      <w:r w:rsidRPr="00D927F5">
        <w:rPr>
          <w:rFonts w:ascii="Times New Roman" w:hAnsi="Times New Roman" w:cs="Times New Roman"/>
          <w:i/>
          <w:iCs/>
          <w:color w:val="222222"/>
        </w:rPr>
        <w:t>arXiv preprint arXiv:1912.07144</w:t>
      </w:r>
      <w:r w:rsidRPr="00D927F5">
        <w:rPr>
          <w:rFonts w:ascii="Times New Roman" w:hAnsi="Times New Roman" w:cs="Times New Roman"/>
          <w:color w:val="222222"/>
          <w:shd w:val="clear" w:color="auto" w:fill="FFFFFF"/>
        </w:rPr>
        <w:t>.</w:t>
      </w:r>
    </w:p>
    <w:p w:rsidRPr="00D927F5" w:rsidR="00D927F5" w:rsidP="00D927F5" w:rsidRDefault="00D927F5" w14:paraId="7DFD0580" w14:textId="77777777">
      <w:pPr>
        <w:spacing w:line="360" w:lineRule="auto"/>
        <w:ind w:left="720" w:hanging="720"/>
        <w:jc w:val="both"/>
        <w:rPr>
          <w:rFonts w:ascii="Times New Roman" w:hAnsi="Times New Roman" w:cs="Times New Roman"/>
          <w:color w:val="222222"/>
          <w:shd w:val="clear" w:color="auto" w:fill="FFFFFF"/>
        </w:rPr>
      </w:pPr>
      <w:r w:rsidRPr="00D927F5">
        <w:rPr>
          <w:rFonts w:ascii="Times New Roman" w:hAnsi="Times New Roman" w:cs="Times New Roman"/>
          <w:color w:val="222222"/>
          <w:shd w:val="clear" w:color="auto" w:fill="FFFFFF"/>
        </w:rPr>
        <w:t>Wallace, R. M., &amp; Martin-Ortega, O. (2020).</w:t>
      </w:r>
      <w:r w:rsidRPr="00D927F5">
        <w:rPr>
          <w:rStyle w:val="apple-converted-space"/>
          <w:rFonts w:ascii="Times New Roman" w:hAnsi="Times New Roman" w:cs="Times New Roman"/>
          <w:color w:val="222222"/>
          <w:shd w:val="clear" w:color="auto" w:fill="FFFFFF"/>
        </w:rPr>
        <w:t> </w:t>
      </w:r>
      <w:r w:rsidRPr="00D927F5">
        <w:rPr>
          <w:rFonts w:ascii="Times New Roman" w:hAnsi="Times New Roman" w:cs="Times New Roman"/>
          <w:i/>
          <w:iCs/>
          <w:color w:val="222222"/>
        </w:rPr>
        <w:t>International law</w:t>
      </w:r>
      <w:r w:rsidRPr="00D927F5">
        <w:rPr>
          <w:rFonts w:ascii="Times New Roman" w:hAnsi="Times New Roman" w:cs="Times New Roman"/>
          <w:color w:val="222222"/>
          <w:shd w:val="clear" w:color="auto" w:fill="FFFFFF"/>
        </w:rPr>
        <w:t>. Sweet and Maxwell.</w:t>
      </w:r>
    </w:p>
    <w:p w:rsidRPr="00D927F5" w:rsidR="00317432" w:rsidP="00D927F5" w:rsidRDefault="00317432" w14:paraId="6EC8FF07" w14:textId="77777777">
      <w:pPr>
        <w:spacing w:line="360" w:lineRule="auto"/>
        <w:jc w:val="both"/>
        <w:rPr>
          <w:rFonts w:ascii="Times New Roman" w:hAnsi="Times New Roman" w:cs="Times New Roman"/>
        </w:rPr>
      </w:pPr>
    </w:p>
    <w:p w:rsidRPr="00D927F5" w:rsidR="00317432" w:rsidP="00D927F5" w:rsidRDefault="00317432" w14:paraId="2FEC8F3A" w14:textId="77777777">
      <w:pPr>
        <w:spacing w:line="360" w:lineRule="auto"/>
        <w:jc w:val="both"/>
        <w:rPr>
          <w:rFonts w:ascii="Times New Roman" w:hAnsi="Times New Roman" w:cs="Times New Roman"/>
        </w:rPr>
      </w:pPr>
    </w:p>
    <w:p w:rsidRPr="00D927F5" w:rsidR="00317432" w:rsidP="00D927F5" w:rsidRDefault="00317432" w14:paraId="213F7C43" w14:textId="77777777">
      <w:pPr>
        <w:spacing w:line="360" w:lineRule="auto"/>
        <w:jc w:val="both"/>
        <w:rPr>
          <w:rFonts w:ascii="Times New Roman" w:hAnsi="Times New Roman" w:cs="Times New Roman"/>
        </w:rPr>
      </w:pPr>
    </w:p>
    <w:p w:rsidRPr="00D927F5" w:rsidR="00317432" w:rsidP="00D927F5" w:rsidRDefault="00317432" w14:paraId="1B8EE82A" w14:textId="77777777">
      <w:pPr>
        <w:spacing w:line="360" w:lineRule="auto"/>
        <w:jc w:val="both"/>
        <w:rPr>
          <w:rFonts w:ascii="Times New Roman" w:hAnsi="Times New Roman" w:cs="Times New Roman"/>
        </w:rPr>
      </w:pPr>
    </w:p>
    <w:p w:rsidRPr="00D927F5" w:rsidR="002A6763" w:rsidP="00D927F5" w:rsidRDefault="002A6763" w14:paraId="546D5438" w14:textId="77777777">
      <w:pPr>
        <w:spacing w:line="360" w:lineRule="auto"/>
        <w:jc w:val="both"/>
        <w:rPr>
          <w:rFonts w:ascii="Times New Roman" w:hAnsi="Times New Roman" w:cs="Times New Roman"/>
        </w:rPr>
      </w:pPr>
    </w:p>
    <w:sectPr w:rsidRPr="00D927F5" w:rsidR="002A6763">
      <w:headerReference w:type="even" r:id="rId6"/>
      <w:head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0372C" w:rsidP="003329FF" w:rsidRDefault="0070372C" w14:paraId="365015AE" w14:textId="77777777">
      <w:r>
        <w:separator/>
      </w:r>
    </w:p>
  </w:endnote>
  <w:endnote w:type="continuationSeparator" w:id="0">
    <w:p w:rsidR="0070372C" w:rsidP="003329FF" w:rsidRDefault="0070372C" w14:paraId="2D412BB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0372C" w:rsidP="003329FF" w:rsidRDefault="0070372C" w14:paraId="48A056CD" w14:textId="77777777">
      <w:r>
        <w:separator/>
      </w:r>
    </w:p>
  </w:footnote>
  <w:footnote w:type="continuationSeparator" w:id="0">
    <w:p w:rsidR="0070372C" w:rsidP="003329FF" w:rsidRDefault="0070372C" w14:paraId="03982C1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329FF" w:rsidP="007D1469" w:rsidRDefault="003329FF" w14:paraId="3ABB2EAF" w14:textId="77777777">
    <w:pPr>
      <w:pStyle w:val="Head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3329FF" w:rsidP="003329FF" w:rsidRDefault="003329FF" w14:paraId="39FAC6DE" w14:textId="777777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7653431"/>
      <w:docPartObj>
        <w:docPartGallery w:val="Page Numbers (Top of Page)"/>
        <w:docPartUnique/>
      </w:docPartObj>
    </w:sdtPr>
    <w:sdtEndPr>
      <w:rPr>
        <w:rStyle w:val="PageNumber"/>
      </w:rPr>
    </w:sdtEndPr>
    <w:sdtContent>
      <w:p w:rsidR="003329FF" w:rsidP="007D1469" w:rsidRDefault="003329FF" w14:paraId="352BE2D2" w14:textId="77777777">
        <w:pPr>
          <w:pStyle w:val="Head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3329FF" w:rsidP="003329FF" w:rsidRDefault="003329FF" w14:paraId="6FA953C6" w14:textId="77777777">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763"/>
    <w:rsid w:val="00060C4F"/>
    <w:rsid w:val="00114847"/>
    <w:rsid w:val="00130DAA"/>
    <w:rsid w:val="002A6763"/>
    <w:rsid w:val="00317432"/>
    <w:rsid w:val="003329FF"/>
    <w:rsid w:val="003C02EF"/>
    <w:rsid w:val="003E5836"/>
    <w:rsid w:val="004452E7"/>
    <w:rsid w:val="004E2E4C"/>
    <w:rsid w:val="00523AB7"/>
    <w:rsid w:val="006510D7"/>
    <w:rsid w:val="0070372C"/>
    <w:rsid w:val="008A3F09"/>
    <w:rsid w:val="009B4FCB"/>
    <w:rsid w:val="00D45750"/>
    <w:rsid w:val="00D8568D"/>
    <w:rsid w:val="00D927F5"/>
    <w:rsid w:val="00DD0E4C"/>
    <w:rsid w:val="00DD28AC"/>
    <w:rsid w:val="1D5D21C4"/>
    <w:rsid w:val="7FCD08D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BDB9C"/>
  <w15:chartTrackingRefBased/>
  <w15:docId w15:val="{30326BF2-C8A1-9E4B-8094-61B7C448F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apple-converted-space" w:customStyle="1">
    <w:name w:val="apple-converted-space"/>
    <w:basedOn w:val="DefaultParagraphFont"/>
    <w:rsid w:val="00114847"/>
  </w:style>
  <w:style w:type="paragraph" w:styleId="NormalWeb">
    <w:name w:val="Normal (Web)"/>
    <w:basedOn w:val="Normal"/>
    <w:uiPriority w:val="99"/>
    <w:unhideWhenUsed/>
    <w:rsid w:val="00D927F5"/>
    <w:pPr>
      <w:spacing w:before="100" w:beforeAutospacing="1" w:after="100" w:afterAutospacing="1"/>
    </w:pPr>
    <w:rPr>
      <w:rFonts w:ascii="Times New Roman" w:hAnsi="Times New Roman" w:eastAsia="Times New Roman" w:cs="Times New Roman"/>
      <w:kern w:val="0"/>
      <w:lang w:eastAsia="en-GB"/>
      <w14:ligatures w14:val="none"/>
    </w:rPr>
  </w:style>
  <w:style w:type="character" w:styleId="Strong">
    <w:name w:val="Strong"/>
    <w:basedOn w:val="DefaultParagraphFont"/>
    <w:uiPriority w:val="22"/>
    <w:qFormat/>
    <w:rsid w:val="00D927F5"/>
    <w:rPr>
      <w:b/>
      <w:bCs/>
    </w:rPr>
  </w:style>
  <w:style w:type="paragraph" w:styleId="Header">
    <w:name w:val="header"/>
    <w:basedOn w:val="Normal"/>
    <w:link w:val="HeaderChar"/>
    <w:uiPriority w:val="99"/>
    <w:unhideWhenUsed/>
    <w:rsid w:val="003329FF"/>
    <w:pPr>
      <w:tabs>
        <w:tab w:val="center" w:pos="4513"/>
        <w:tab w:val="right" w:pos="9026"/>
      </w:tabs>
    </w:pPr>
  </w:style>
  <w:style w:type="character" w:styleId="HeaderChar" w:customStyle="1">
    <w:name w:val="Header Char"/>
    <w:basedOn w:val="DefaultParagraphFont"/>
    <w:link w:val="Header"/>
    <w:uiPriority w:val="99"/>
    <w:rsid w:val="003329FF"/>
    <w:rPr>
      <w:lang w:val="en-GB"/>
    </w:rPr>
  </w:style>
  <w:style w:type="character" w:styleId="PageNumber">
    <w:name w:val="page number"/>
    <w:basedOn w:val="DefaultParagraphFont"/>
    <w:uiPriority w:val="99"/>
    <w:semiHidden/>
    <w:unhideWhenUsed/>
    <w:rsid w:val="003329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header" Target="header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Office User</dc:creator>
  <keywords/>
  <dc:description/>
  <lastModifiedBy>Maniza Bi (2229327)</lastModifiedBy>
  <revision>3</revision>
  <dcterms:created xsi:type="dcterms:W3CDTF">2023-11-05T21:39:00.0000000Z</dcterms:created>
  <dcterms:modified xsi:type="dcterms:W3CDTF">2023-11-05T21:40:30.6446014Z</dcterms:modified>
</coreProperties>
</file>