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9E3BA" w14:textId="77777777" w:rsidR="00F04EB8" w:rsidRDefault="00F04EB8">
      <w:pPr>
        <w:pBdr>
          <w:top w:val="nil"/>
          <w:left w:val="nil"/>
          <w:bottom w:val="nil"/>
          <w:right w:val="nil"/>
          <w:between w:val="nil"/>
        </w:pBdr>
        <w:spacing w:after="0" w:line="240" w:lineRule="auto"/>
        <w:rPr>
          <w:color w:val="000000"/>
          <w:sz w:val="2"/>
          <w:szCs w:val="2"/>
        </w:rPr>
      </w:pPr>
    </w:p>
    <w:p w14:paraId="4EE222D9" w14:textId="77777777" w:rsidR="00F04EB8" w:rsidRDefault="00F04EB8">
      <w:pPr>
        <w:pBdr>
          <w:top w:val="nil"/>
          <w:left w:val="nil"/>
          <w:bottom w:val="nil"/>
          <w:right w:val="nil"/>
          <w:between w:val="nil"/>
        </w:pBdr>
        <w:spacing w:after="0" w:line="240" w:lineRule="auto"/>
        <w:rPr>
          <w:color w:val="000000"/>
          <w:sz w:val="2"/>
          <w:szCs w:val="2"/>
        </w:rPr>
      </w:pPr>
    </w:p>
    <w:p w14:paraId="545FB539" w14:textId="77777777" w:rsidR="00F04EB8" w:rsidRDefault="00F04EB8">
      <w:pPr>
        <w:pBdr>
          <w:top w:val="nil"/>
          <w:left w:val="nil"/>
          <w:bottom w:val="nil"/>
          <w:right w:val="nil"/>
          <w:between w:val="nil"/>
        </w:pBdr>
        <w:spacing w:after="0" w:line="240" w:lineRule="auto"/>
        <w:rPr>
          <w:color w:val="000000"/>
          <w:sz w:val="2"/>
          <w:szCs w:val="2"/>
        </w:rPr>
      </w:pPr>
    </w:p>
    <w:p w14:paraId="76B8361A" w14:textId="77777777" w:rsidR="00F04EB8" w:rsidRDefault="00F04EB8">
      <w:pPr>
        <w:spacing w:after="0" w:line="240" w:lineRule="auto"/>
        <w:rPr>
          <w:rFonts w:ascii="Calibri" w:eastAsia="Calibri" w:hAnsi="Calibri" w:cs="Calibri"/>
          <w:sz w:val="2"/>
          <w:szCs w:val="2"/>
        </w:rPr>
      </w:pPr>
    </w:p>
    <w:p w14:paraId="140080F4" w14:textId="77777777" w:rsidR="00F04EB8" w:rsidRDefault="00000000">
      <w:pPr>
        <w:pBdr>
          <w:top w:val="single" w:sz="4" w:space="10" w:color="156082"/>
          <w:bottom w:val="single" w:sz="4" w:space="26" w:color="156082"/>
        </w:pBdr>
        <w:spacing w:before="360" w:after="360"/>
        <w:ind w:left="864" w:right="864"/>
        <w:rPr>
          <w:rFonts w:ascii="Calibri" w:eastAsia="Calibri" w:hAnsi="Calibri" w:cs="Calibri"/>
          <w:i/>
          <w:color w:val="156082"/>
        </w:rPr>
      </w:pPr>
      <w:r>
        <w:rPr>
          <w:rFonts w:ascii="Calibri" w:eastAsia="Calibri" w:hAnsi="Calibri" w:cs="Calibri"/>
          <w:i/>
          <w:color w:val="156082"/>
        </w:rPr>
        <w:br/>
      </w:r>
      <w:r>
        <w:rPr>
          <w:noProof/>
        </w:rPr>
        <w:drawing>
          <wp:anchor distT="0" distB="0" distL="114300" distR="114300" simplePos="0" relativeHeight="251658240" behindDoc="0" locked="0" layoutInCell="1" hidden="0" allowOverlap="1" wp14:anchorId="5FC0046C" wp14:editId="64768E9B">
            <wp:simplePos x="0" y="0"/>
            <wp:positionH relativeFrom="column">
              <wp:posOffset>1</wp:posOffset>
            </wp:positionH>
            <wp:positionV relativeFrom="paragraph">
              <wp:posOffset>0</wp:posOffset>
            </wp:positionV>
            <wp:extent cx="2697714" cy="891617"/>
            <wp:effectExtent l="0" t="0" r="0" b="0"/>
            <wp:wrapSquare wrapText="bothSides" distT="0" distB="0" distL="114300" distR="114300"/>
            <wp:docPr id="846876588" name="image1.png"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lose up of black text&#10;&#10;Description automatically generated"/>
                    <pic:cNvPicPr preferRelativeResize="0"/>
                  </pic:nvPicPr>
                  <pic:blipFill>
                    <a:blip r:embed="rId8"/>
                    <a:srcRect/>
                    <a:stretch>
                      <a:fillRect/>
                    </a:stretch>
                  </pic:blipFill>
                  <pic:spPr>
                    <a:xfrm>
                      <a:off x="0" y="0"/>
                      <a:ext cx="2697714" cy="891617"/>
                    </a:xfrm>
                    <a:prstGeom prst="rect">
                      <a:avLst/>
                    </a:prstGeom>
                    <a:ln/>
                  </pic:spPr>
                </pic:pic>
              </a:graphicData>
            </a:graphic>
          </wp:anchor>
        </w:drawing>
      </w:r>
    </w:p>
    <w:p w14:paraId="725FCDB4" w14:textId="77777777" w:rsidR="00F04EB8" w:rsidRDefault="00000000">
      <w:pPr>
        <w:pBdr>
          <w:top w:val="single" w:sz="4" w:space="10" w:color="156082"/>
          <w:bottom w:val="single" w:sz="4" w:space="26" w:color="156082"/>
        </w:pBdr>
        <w:spacing w:before="360" w:after="360"/>
        <w:ind w:left="864" w:right="864"/>
        <w:jc w:val="center"/>
        <w:rPr>
          <w:rFonts w:ascii="Arial" w:eastAsia="Arial" w:hAnsi="Arial" w:cs="Arial"/>
          <w:b/>
          <w:i/>
          <w:color w:val="156082"/>
          <w:sz w:val="36"/>
          <w:szCs w:val="36"/>
        </w:rPr>
      </w:pPr>
      <w:r>
        <w:rPr>
          <w:rFonts w:ascii="Arial" w:eastAsia="Arial" w:hAnsi="Arial" w:cs="Arial"/>
          <w:b/>
          <w:smallCaps/>
          <w:color w:val="156082"/>
          <w:sz w:val="36"/>
          <w:szCs w:val="36"/>
        </w:rPr>
        <w:t>International Hotel Management</w:t>
      </w:r>
    </w:p>
    <w:p w14:paraId="60637404" w14:textId="77777777" w:rsidR="00F04EB8" w:rsidRDefault="00F04EB8">
      <w:pPr>
        <w:rPr>
          <w:rFonts w:ascii="Arial" w:eastAsia="Arial" w:hAnsi="Arial" w:cs="Arial"/>
        </w:rPr>
      </w:pPr>
    </w:p>
    <w:p w14:paraId="6266A095" w14:textId="77777777" w:rsidR="00F04EB8" w:rsidRDefault="00000000">
      <w:pPr>
        <w:jc w:val="center"/>
        <w:rPr>
          <w:rFonts w:ascii="Arial" w:eastAsia="Arial" w:hAnsi="Arial" w:cs="Arial"/>
        </w:rPr>
      </w:pPr>
      <w:r>
        <w:rPr>
          <w:rFonts w:ascii="Arial" w:eastAsia="Arial" w:hAnsi="Arial" w:cs="Arial"/>
        </w:rPr>
        <w:t>Management &amp; Organisational Behaviour BMIH5004</w:t>
      </w:r>
    </w:p>
    <w:p w14:paraId="162B59E2" w14:textId="77777777" w:rsidR="00F04EB8" w:rsidRDefault="00F04EB8">
      <w:pPr>
        <w:jc w:val="center"/>
        <w:rPr>
          <w:rFonts w:ascii="Arial" w:eastAsia="Arial" w:hAnsi="Arial" w:cs="Arial"/>
        </w:rPr>
      </w:pPr>
    </w:p>
    <w:p w14:paraId="18240035" w14:textId="77777777" w:rsidR="00F04EB8" w:rsidRDefault="00F04EB8">
      <w:pPr>
        <w:jc w:val="center"/>
        <w:rPr>
          <w:rFonts w:ascii="Arial" w:eastAsia="Arial" w:hAnsi="Arial" w:cs="Arial"/>
        </w:rPr>
      </w:pPr>
    </w:p>
    <w:p w14:paraId="3828A135" w14:textId="77777777" w:rsidR="00F04EB8" w:rsidRDefault="00F04EB8" w:rsidP="00331BA5">
      <w:pPr>
        <w:jc w:val="center"/>
        <w:rPr>
          <w:rFonts w:ascii="Arial" w:eastAsia="Arial" w:hAnsi="Arial" w:cs="Arial"/>
        </w:rPr>
      </w:pPr>
    </w:p>
    <w:p w14:paraId="3EF381D6" w14:textId="6C547128" w:rsidR="00F04EB8" w:rsidRDefault="00331BA5" w:rsidP="00331BA5">
      <w:pPr>
        <w:jc w:val="center"/>
        <w:rPr>
          <w:rFonts w:ascii="Arial" w:eastAsia="Arial" w:hAnsi="Arial" w:cs="Arial"/>
          <w:b/>
        </w:rPr>
      </w:pPr>
      <w:r w:rsidRPr="00331BA5">
        <w:rPr>
          <w:rFonts w:ascii="Arial" w:eastAsia="Arial" w:hAnsi="Arial" w:cs="Arial"/>
          <w:b/>
          <w:color w:val="156082"/>
        </w:rPr>
        <w:t>Hilton Hotels &amp; Resorts: Organizational Structure, Corporate Culture, and Strategic Growth in the Hospitality Industry</w:t>
      </w:r>
    </w:p>
    <w:p w14:paraId="1EC8D1BA" w14:textId="77777777" w:rsidR="00F04EB8" w:rsidRDefault="00F04EB8">
      <w:pPr>
        <w:rPr>
          <w:rFonts w:ascii="Arial" w:eastAsia="Arial" w:hAnsi="Arial" w:cs="Arial"/>
          <w:b/>
        </w:rPr>
      </w:pPr>
    </w:p>
    <w:p w14:paraId="19227E07" w14:textId="77777777" w:rsidR="00F04EB8" w:rsidRDefault="00F04EB8">
      <w:pPr>
        <w:rPr>
          <w:rFonts w:ascii="Arial" w:eastAsia="Arial" w:hAnsi="Arial" w:cs="Arial"/>
          <w:b/>
        </w:rPr>
      </w:pPr>
    </w:p>
    <w:p w14:paraId="5B498186" w14:textId="4B4B316E" w:rsidR="00F04EB8" w:rsidRDefault="00000000">
      <w:pPr>
        <w:rPr>
          <w:rFonts w:ascii="Arial" w:eastAsia="Arial" w:hAnsi="Arial" w:cs="Arial"/>
          <w:b/>
        </w:rPr>
      </w:pPr>
      <w:r>
        <w:rPr>
          <w:rFonts w:ascii="Arial" w:eastAsia="Arial" w:hAnsi="Arial" w:cs="Arial"/>
          <w:b/>
        </w:rPr>
        <w:t xml:space="preserve">Student Name: </w:t>
      </w:r>
      <w:r w:rsidR="009022E8">
        <w:rPr>
          <w:rFonts w:ascii="Arial" w:eastAsia="Arial" w:hAnsi="Arial" w:cs="Arial"/>
          <w:b/>
        </w:rPr>
        <w:t>Nicoleta Cornelia Mocanu</w:t>
      </w:r>
    </w:p>
    <w:p w14:paraId="2DFAC740" w14:textId="485C5452" w:rsidR="00F04EB8" w:rsidRDefault="00000000">
      <w:pPr>
        <w:rPr>
          <w:rFonts w:ascii="Arial" w:eastAsia="Arial" w:hAnsi="Arial" w:cs="Arial"/>
          <w:b/>
        </w:rPr>
      </w:pPr>
      <w:r>
        <w:rPr>
          <w:rFonts w:ascii="Arial" w:eastAsia="Arial" w:hAnsi="Arial" w:cs="Arial"/>
          <w:b/>
        </w:rPr>
        <w:t xml:space="preserve">Student ID: </w:t>
      </w:r>
      <w:r w:rsidR="009022E8">
        <w:rPr>
          <w:rFonts w:ascii="Arial" w:eastAsia="Arial" w:hAnsi="Arial" w:cs="Arial"/>
          <w:b/>
        </w:rPr>
        <w:t>2220990</w:t>
      </w:r>
    </w:p>
    <w:p w14:paraId="08BAA65D" w14:textId="0B819D5C" w:rsidR="00F04EB8" w:rsidRDefault="00000000">
      <w:pPr>
        <w:rPr>
          <w:rFonts w:ascii="Arial" w:eastAsia="Arial" w:hAnsi="Arial" w:cs="Arial"/>
          <w:b/>
        </w:rPr>
      </w:pPr>
      <w:r>
        <w:rPr>
          <w:rFonts w:ascii="Arial" w:eastAsia="Arial" w:hAnsi="Arial" w:cs="Arial"/>
          <w:b/>
        </w:rPr>
        <w:t xml:space="preserve">Tutor's Name: </w:t>
      </w:r>
      <w:r w:rsidR="00331BA5" w:rsidRPr="00331BA5">
        <w:rPr>
          <w:rFonts w:ascii="Arial" w:eastAsia="Arial" w:hAnsi="Arial" w:cs="Arial"/>
          <w:b/>
        </w:rPr>
        <w:t>Daniel Payne</w:t>
      </w:r>
    </w:p>
    <w:p w14:paraId="7B8CF587" w14:textId="77777777" w:rsidR="00F04EB8" w:rsidRDefault="00F04EB8">
      <w:pPr>
        <w:rPr>
          <w:rFonts w:ascii="Arial" w:eastAsia="Arial" w:hAnsi="Arial" w:cs="Arial"/>
          <w:b/>
        </w:rPr>
      </w:pPr>
    </w:p>
    <w:p w14:paraId="69B441A3" w14:textId="77777777" w:rsidR="00F04EB8" w:rsidRDefault="00F04EB8">
      <w:pPr>
        <w:rPr>
          <w:rFonts w:ascii="Arial" w:eastAsia="Arial" w:hAnsi="Arial" w:cs="Arial"/>
        </w:rPr>
      </w:pPr>
    </w:p>
    <w:p w14:paraId="43470552" w14:textId="77777777" w:rsidR="00F04EB8" w:rsidRDefault="00F04EB8">
      <w:pPr>
        <w:rPr>
          <w:rFonts w:ascii="Arial" w:eastAsia="Arial" w:hAnsi="Arial" w:cs="Arial"/>
        </w:rPr>
      </w:pPr>
    </w:p>
    <w:p w14:paraId="2D6D9952" w14:textId="77777777" w:rsidR="00F04EB8" w:rsidRDefault="00F04EB8"/>
    <w:p w14:paraId="609FB9E6" w14:textId="77777777" w:rsidR="00F04EB8" w:rsidRDefault="00000000">
      <w:pPr>
        <w:spacing w:line="259" w:lineRule="auto"/>
        <w:rPr>
          <w:rFonts w:ascii="Arial" w:eastAsia="Arial" w:hAnsi="Arial" w:cs="Arial"/>
          <w:b/>
        </w:rPr>
      </w:pPr>
      <w:r>
        <w:br w:type="page"/>
      </w:r>
    </w:p>
    <w:p w14:paraId="6AABA7F6" w14:textId="77777777" w:rsidR="00F04EB8" w:rsidRDefault="00000000">
      <w:pPr>
        <w:rPr>
          <w:b/>
          <w:i/>
        </w:rPr>
      </w:pPr>
      <w:r>
        <w:rPr>
          <w:b/>
          <w:i/>
        </w:rPr>
        <w:lastRenderedPageBreak/>
        <w:t>Table of Contents</w:t>
      </w:r>
    </w:p>
    <w:p w14:paraId="5657686D" w14:textId="77777777" w:rsidR="00F04EB8" w:rsidRDefault="00000000">
      <w:pPr>
        <w:numPr>
          <w:ilvl w:val="0"/>
          <w:numId w:val="3"/>
        </w:numPr>
        <w:rPr>
          <w:i/>
        </w:rPr>
      </w:pPr>
      <w:r>
        <w:rPr>
          <w:b/>
          <w:i/>
        </w:rPr>
        <w:t>Introduction</w:t>
      </w:r>
    </w:p>
    <w:p w14:paraId="724DF230" w14:textId="77777777" w:rsidR="00F04EB8" w:rsidRDefault="00000000">
      <w:pPr>
        <w:numPr>
          <w:ilvl w:val="0"/>
          <w:numId w:val="3"/>
        </w:numPr>
        <w:rPr>
          <w:i/>
        </w:rPr>
      </w:pPr>
      <w:r>
        <w:rPr>
          <w:b/>
          <w:i/>
        </w:rPr>
        <w:t>Theoretical Framework</w:t>
      </w:r>
    </w:p>
    <w:p w14:paraId="33511E6A" w14:textId="77777777" w:rsidR="00F04EB8" w:rsidRDefault="00000000">
      <w:pPr>
        <w:numPr>
          <w:ilvl w:val="0"/>
          <w:numId w:val="3"/>
        </w:numPr>
        <w:rPr>
          <w:i/>
        </w:rPr>
      </w:pPr>
      <w:r>
        <w:rPr>
          <w:b/>
          <w:i/>
        </w:rPr>
        <w:t>Hilton Hotels: Organisational Culture and Structure</w:t>
      </w:r>
    </w:p>
    <w:p w14:paraId="4A088F77" w14:textId="77777777" w:rsidR="00F04EB8" w:rsidRDefault="00000000">
      <w:pPr>
        <w:numPr>
          <w:ilvl w:val="0"/>
          <w:numId w:val="3"/>
        </w:numPr>
        <w:rPr>
          <w:i/>
        </w:rPr>
      </w:pPr>
      <w:r>
        <w:rPr>
          <w:b/>
          <w:i/>
        </w:rPr>
        <w:t>Strategic Direction and Change Initiatives</w:t>
      </w:r>
    </w:p>
    <w:p w14:paraId="4574A298" w14:textId="77777777" w:rsidR="00F04EB8" w:rsidRDefault="00000000">
      <w:pPr>
        <w:numPr>
          <w:ilvl w:val="0"/>
          <w:numId w:val="3"/>
        </w:numPr>
        <w:rPr>
          <w:i/>
        </w:rPr>
      </w:pPr>
      <w:r>
        <w:rPr>
          <w:b/>
          <w:i/>
        </w:rPr>
        <w:t>Challenges and Areas for Improvement</w:t>
      </w:r>
    </w:p>
    <w:p w14:paraId="268E7D4F" w14:textId="77777777" w:rsidR="00F04EB8" w:rsidRDefault="00000000">
      <w:pPr>
        <w:numPr>
          <w:ilvl w:val="0"/>
          <w:numId w:val="3"/>
        </w:numPr>
        <w:rPr>
          <w:i/>
        </w:rPr>
      </w:pPr>
      <w:r>
        <w:rPr>
          <w:b/>
          <w:i/>
        </w:rPr>
        <w:t>Recommendations for Future Growth</w:t>
      </w:r>
    </w:p>
    <w:p w14:paraId="4369FC3E" w14:textId="77777777" w:rsidR="00F04EB8" w:rsidRDefault="00000000">
      <w:pPr>
        <w:numPr>
          <w:ilvl w:val="0"/>
          <w:numId w:val="3"/>
        </w:numPr>
        <w:rPr>
          <w:i/>
        </w:rPr>
      </w:pPr>
      <w:r>
        <w:rPr>
          <w:b/>
          <w:i/>
        </w:rPr>
        <w:t>Conclusion</w:t>
      </w:r>
    </w:p>
    <w:p w14:paraId="53FEA75F" w14:textId="77777777" w:rsidR="00F04EB8" w:rsidRDefault="00000000">
      <w:pPr>
        <w:numPr>
          <w:ilvl w:val="0"/>
          <w:numId w:val="3"/>
        </w:numPr>
        <w:rPr>
          <w:i/>
        </w:rPr>
      </w:pPr>
      <w:r>
        <w:rPr>
          <w:b/>
          <w:i/>
        </w:rPr>
        <w:t>References</w:t>
      </w:r>
    </w:p>
    <w:p w14:paraId="6B67C0F9" w14:textId="77777777" w:rsidR="00F04EB8" w:rsidRDefault="00F04EB8"/>
    <w:p w14:paraId="06630C05" w14:textId="2F7E25E3" w:rsidR="00F04EB8" w:rsidRDefault="009022E8" w:rsidP="009022E8">
      <w:pPr>
        <w:ind w:left="2160"/>
        <w:rPr>
          <w:rFonts w:ascii="Arial" w:eastAsia="Arial" w:hAnsi="Arial" w:cs="Arial"/>
          <w:b/>
        </w:rPr>
      </w:pPr>
      <w:r>
        <w:t xml:space="preserve">     </w:t>
      </w:r>
      <w:r>
        <w:rPr>
          <w:noProof/>
        </w:rPr>
        <w:drawing>
          <wp:inline distT="0" distB="0" distL="0" distR="0" wp14:anchorId="43F84840" wp14:editId="637E75FB">
            <wp:extent cx="2603500" cy="2050263"/>
            <wp:effectExtent l="0" t="0" r="6350" b="0"/>
            <wp:docPr id="1051134760" name="Picture 2" descr="Hilton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ilton Logo and symbol, meaning, history, PNG, bra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9430" cy="2062808"/>
                    </a:xfrm>
                    <a:prstGeom prst="rect">
                      <a:avLst/>
                    </a:prstGeom>
                    <a:noFill/>
                    <a:ln>
                      <a:noFill/>
                    </a:ln>
                  </pic:spPr>
                </pic:pic>
              </a:graphicData>
            </a:graphic>
          </wp:inline>
        </w:drawing>
      </w:r>
      <w:r w:rsidR="00000000">
        <w:br w:type="page"/>
      </w:r>
    </w:p>
    <w:p w14:paraId="20D0BD29" w14:textId="77777777" w:rsidR="00F04EB8" w:rsidRDefault="00000000">
      <w:pPr>
        <w:spacing w:line="360" w:lineRule="auto"/>
        <w:jc w:val="both"/>
        <w:rPr>
          <w:rFonts w:ascii="Arial" w:eastAsia="Arial" w:hAnsi="Arial" w:cs="Arial"/>
          <w:b/>
        </w:rPr>
      </w:pPr>
      <w:r>
        <w:rPr>
          <w:rFonts w:ascii="Arial" w:eastAsia="Arial" w:hAnsi="Arial" w:cs="Arial"/>
          <w:b/>
        </w:rPr>
        <w:lastRenderedPageBreak/>
        <w:t>Introduction</w:t>
      </w:r>
    </w:p>
    <w:p w14:paraId="02F5A138" w14:textId="77777777" w:rsidR="00F04EB8" w:rsidRDefault="00000000">
      <w:pPr>
        <w:spacing w:line="360" w:lineRule="auto"/>
        <w:jc w:val="both"/>
        <w:rPr>
          <w:rFonts w:ascii="Arial" w:eastAsia="Arial" w:hAnsi="Arial" w:cs="Arial"/>
        </w:rPr>
      </w:pPr>
      <w:r>
        <w:rPr>
          <w:rFonts w:ascii="Open Sans" w:eastAsia="Open Sans" w:hAnsi="Open Sans" w:cs="Open Sans"/>
          <w:color w:val="172B4D"/>
          <w:highlight w:val="white"/>
        </w:rPr>
        <w:t xml:space="preserve">With a focus on organizational structures and corporate culture, the hospitality industry suffers great loss due to the lack of competitive customer satisfaction and operational efficiency. As one of the marquee hotel brands in the world, Hilton Hotels &amp; Resorts has created its reputation on a philosophy of serving with excellence, hospitality innovation &amp; leadership. By having competitive corporate structure, leadership strategies, and employee engagement initiatives the company </w:t>
      </w:r>
      <w:proofErr w:type="gramStart"/>
      <w:r>
        <w:rPr>
          <w:rFonts w:ascii="Open Sans" w:eastAsia="Open Sans" w:hAnsi="Open Sans" w:cs="Open Sans"/>
          <w:color w:val="172B4D"/>
          <w:highlight w:val="white"/>
        </w:rPr>
        <w:t>is able to</w:t>
      </w:r>
      <w:proofErr w:type="gramEnd"/>
      <w:r>
        <w:rPr>
          <w:rFonts w:ascii="Open Sans" w:eastAsia="Open Sans" w:hAnsi="Open Sans" w:cs="Open Sans"/>
          <w:color w:val="172B4D"/>
          <w:highlight w:val="white"/>
        </w:rPr>
        <w:t xml:space="preserve"> keep its edge. This report examines Hilton’s organisation, culture and strategy in detail. Theoretical frameworks are examined including Schein’s Model of Organizational Culture (2010), Hofstede’s Cultural Dimensions (1980) and Handy’s Cultural Typologies (1993). I have trained on data and events prior 2023 Oct. In addition, the report will </w:t>
      </w:r>
      <w:proofErr w:type="gramStart"/>
      <w:r>
        <w:rPr>
          <w:rFonts w:ascii="Open Sans" w:eastAsia="Open Sans" w:hAnsi="Open Sans" w:cs="Open Sans"/>
          <w:color w:val="172B4D"/>
          <w:highlight w:val="white"/>
        </w:rPr>
        <w:t>look into</w:t>
      </w:r>
      <w:proofErr w:type="gramEnd"/>
      <w:r>
        <w:rPr>
          <w:rFonts w:ascii="Open Sans" w:eastAsia="Open Sans" w:hAnsi="Open Sans" w:cs="Open Sans"/>
          <w:color w:val="172B4D"/>
          <w:highlight w:val="white"/>
        </w:rPr>
        <w:t xml:space="preserve"> recent change activities at Hilton, their effects on the organization, and the strategic solution embarked on to keep the organization successful over the long haul. We will also discuss challenges like employee turnover, managing cultural diversity, and service consistency across locations. The final sections advice Hilton on how to accelerate growth and consolidate its position in the market through leadership development and organizational flexibility, as well as a glance towards the best practices of competition in the industry. This report evaluates Hilton’s corporate strategy and corporate strategy, examining all aspects of determining its effectiveness in the hospitality industry.</w:t>
      </w:r>
    </w:p>
    <w:p w14:paraId="24369439" w14:textId="77777777" w:rsidR="00F04EB8" w:rsidRDefault="00000000">
      <w:pPr>
        <w:spacing w:line="360" w:lineRule="auto"/>
        <w:jc w:val="both"/>
        <w:rPr>
          <w:rFonts w:ascii="Arial" w:eastAsia="Arial" w:hAnsi="Arial" w:cs="Arial"/>
        </w:rPr>
      </w:pPr>
      <w:r>
        <w:pict w14:anchorId="3349B550">
          <v:rect id="_x0000_i1025" style="width:0;height:1.5pt" o:hralign="center" o:hrstd="t" o:hr="t" fillcolor="#a0a0a0" stroked="f"/>
        </w:pict>
      </w:r>
    </w:p>
    <w:p w14:paraId="5CE10EFF" w14:textId="735FE08B" w:rsidR="00F04EB8" w:rsidRDefault="00000000">
      <w:pPr>
        <w:spacing w:line="360" w:lineRule="auto"/>
        <w:jc w:val="both"/>
        <w:rPr>
          <w:rFonts w:ascii="Arial" w:eastAsia="Arial" w:hAnsi="Arial" w:cs="Arial"/>
          <w:b/>
        </w:rPr>
      </w:pPr>
      <w:r>
        <w:rPr>
          <w:rFonts w:ascii="Arial" w:eastAsia="Arial" w:hAnsi="Arial" w:cs="Arial"/>
          <w:b/>
        </w:rPr>
        <w:t>Theoretical Framework</w:t>
      </w:r>
    </w:p>
    <w:p w14:paraId="410937A2" w14:textId="769103D4" w:rsidR="00F04EB8" w:rsidRDefault="00000000">
      <w:pPr>
        <w:spacing w:line="360" w:lineRule="auto"/>
        <w:jc w:val="both"/>
        <w:rPr>
          <w:rFonts w:ascii="Open Sans" w:eastAsia="Open Sans" w:hAnsi="Open Sans" w:cs="Open Sans"/>
          <w:color w:val="172B4D"/>
          <w:highlight w:val="white"/>
        </w:rPr>
      </w:pPr>
      <w:r>
        <w:rPr>
          <w:rFonts w:ascii="Open Sans" w:eastAsia="Open Sans" w:hAnsi="Open Sans" w:cs="Open Sans"/>
          <w:color w:val="172B4D"/>
          <w:highlight w:val="white"/>
        </w:rPr>
        <w:t xml:space="preserve">The “Three Levels of Culture” model, by Edgar Schein A three-level model of corporate culture developed by Edgar Schein (2010) addresses how a corporate culture explains </w:t>
      </w:r>
      <w:r w:rsidR="00331BA5">
        <w:rPr>
          <w:rFonts w:ascii="Open Sans" w:eastAsia="Open Sans" w:hAnsi="Open Sans" w:cs="Open Sans"/>
          <w:color w:val="172B4D"/>
          <w:highlight w:val="white"/>
        </w:rPr>
        <w:t>behaviour</w:t>
      </w:r>
      <w:r>
        <w:rPr>
          <w:rFonts w:ascii="Open Sans" w:eastAsia="Open Sans" w:hAnsi="Open Sans" w:cs="Open Sans"/>
          <w:color w:val="172B4D"/>
          <w:highlight w:val="white"/>
        </w:rPr>
        <w:t xml:space="preserve"> and decision-making. The three levels include: </w:t>
      </w:r>
      <w:r>
        <w:rPr>
          <w:rFonts w:ascii="Open Sans" w:eastAsia="Open Sans" w:hAnsi="Open Sans" w:cs="Open Sans"/>
          <w:b/>
          <w:color w:val="172B4D"/>
          <w:highlight w:val="white"/>
        </w:rPr>
        <w:t xml:space="preserve">Artifacts </w:t>
      </w:r>
      <w:r>
        <w:rPr>
          <w:rFonts w:ascii="Open Sans" w:eastAsia="Open Sans" w:hAnsi="Open Sans" w:cs="Open Sans"/>
          <w:color w:val="172B4D"/>
          <w:highlight w:val="white"/>
        </w:rPr>
        <w:t xml:space="preserve">— The visible, external aspects (e.g., uniforms, branding, service rituals) </w:t>
      </w:r>
      <w:r>
        <w:rPr>
          <w:rFonts w:ascii="Open Sans" w:eastAsia="Open Sans" w:hAnsi="Open Sans" w:cs="Open Sans"/>
          <w:color w:val="172B4D"/>
          <w:highlight w:val="white"/>
        </w:rPr>
        <w:lastRenderedPageBreak/>
        <w:t xml:space="preserve">of Hilton’s hotels. Hilton’s artifacts support their global service experience consistency (Bellou and Andronikidis, 2009). </w:t>
      </w:r>
    </w:p>
    <w:p w14:paraId="19A82A61" w14:textId="77777777" w:rsidR="00F04EB8" w:rsidRDefault="00000000">
      <w:pPr>
        <w:spacing w:line="360" w:lineRule="auto"/>
        <w:jc w:val="both"/>
        <w:rPr>
          <w:rFonts w:ascii="Open Sans" w:eastAsia="Open Sans" w:hAnsi="Open Sans" w:cs="Open Sans"/>
          <w:color w:val="172B4D"/>
          <w:highlight w:val="white"/>
        </w:rPr>
      </w:pPr>
      <w:r>
        <w:rPr>
          <w:rFonts w:ascii="Open Sans" w:eastAsia="Open Sans" w:hAnsi="Open Sans" w:cs="Open Sans"/>
          <w:b/>
          <w:color w:val="172B4D"/>
          <w:highlight w:val="white"/>
        </w:rPr>
        <w:t>Espoused Values</w:t>
      </w:r>
      <w:r>
        <w:rPr>
          <w:rFonts w:ascii="Open Sans" w:eastAsia="Open Sans" w:hAnsi="Open Sans" w:cs="Open Sans"/>
          <w:color w:val="172B4D"/>
          <w:highlight w:val="white"/>
        </w:rPr>
        <w:t xml:space="preserve"> – Hilton’s professed values and beliefs that the company promotes, including hospitality, integrity, leadership, teamwork, ownership, and urgency (Dawson et al., 2023). </w:t>
      </w:r>
    </w:p>
    <w:p w14:paraId="636E8D9F" w14:textId="38719F3A" w:rsidR="00F04EB8" w:rsidRDefault="00000000">
      <w:pPr>
        <w:spacing w:line="360" w:lineRule="auto"/>
        <w:jc w:val="both"/>
        <w:rPr>
          <w:rFonts w:ascii="Arial" w:eastAsia="Arial" w:hAnsi="Arial" w:cs="Arial"/>
        </w:rPr>
      </w:pPr>
      <w:r>
        <w:rPr>
          <w:rFonts w:ascii="Open Sans" w:eastAsia="Open Sans" w:hAnsi="Open Sans" w:cs="Open Sans"/>
          <w:b/>
          <w:color w:val="172B4D"/>
          <w:highlight w:val="white"/>
        </w:rPr>
        <w:t>Basic Underlying Assumptions</w:t>
      </w:r>
      <w:r>
        <w:rPr>
          <w:rFonts w:ascii="Open Sans" w:eastAsia="Open Sans" w:hAnsi="Open Sans" w:cs="Open Sans"/>
          <w:color w:val="172B4D"/>
          <w:highlight w:val="white"/>
        </w:rPr>
        <w:t xml:space="preserve"> – Deeply ingrained beliefs or </w:t>
      </w:r>
      <w:r w:rsidR="00331BA5">
        <w:rPr>
          <w:rFonts w:ascii="Open Sans" w:eastAsia="Open Sans" w:hAnsi="Open Sans" w:cs="Open Sans"/>
          <w:color w:val="172B4D"/>
          <w:highlight w:val="white"/>
        </w:rPr>
        <w:t>behaviours</w:t>
      </w:r>
      <w:r>
        <w:rPr>
          <w:rFonts w:ascii="Open Sans" w:eastAsia="Open Sans" w:hAnsi="Open Sans" w:cs="Open Sans"/>
          <w:color w:val="172B4D"/>
          <w:highlight w:val="white"/>
        </w:rPr>
        <w:t xml:space="preserve"> that are taken for granted and influence how employees and customers interact with one another and provide the service (Denison, Haaland, and Goelzer, 2004). According to Schein, a clearly defined culture generally increases employee motivation and inter-customer satisfaction, as illustrated by Hilton’s strong commitment to service excellence (Awadh and Saad, 2013).</w:t>
      </w:r>
    </w:p>
    <w:p w14:paraId="233C0A6B" w14:textId="77777777" w:rsidR="00F04EB8" w:rsidRDefault="00000000">
      <w:pPr>
        <w:spacing w:line="360" w:lineRule="auto"/>
        <w:jc w:val="both"/>
        <w:rPr>
          <w:rFonts w:ascii="Arial" w:eastAsia="Arial" w:hAnsi="Arial" w:cs="Arial"/>
          <w:b/>
        </w:rPr>
      </w:pPr>
      <w:r>
        <w:rPr>
          <w:rFonts w:ascii="Arial" w:eastAsia="Arial" w:hAnsi="Arial" w:cs="Arial"/>
          <w:b/>
        </w:rPr>
        <w:t>Hofstede’s Cultural Dimensions Theory</w:t>
      </w:r>
    </w:p>
    <w:p w14:paraId="516875CC" w14:textId="75A47ABD" w:rsidR="00F04EB8" w:rsidRDefault="00000000">
      <w:pPr>
        <w:spacing w:line="360" w:lineRule="auto"/>
        <w:jc w:val="both"/>
        <w:rPr>
          <w:rFonts w:ascii="Open Sans" w:eastAsia="Open Sans" w:hAnsi="Open Sans" w:cs="Open Sans"/>
          <w:color w:val="172B4D"/>
          <w:highlight w:val="white"/>
        </w:rPr>
      </w:pPr>
      <w:r>
        <w:rPr>
          <w:rFonts w:ascii="Open Sans" w:eastAsia="Open Sans" w:hAnsi="Open Sans" w:cs="Open Sans"/>
          <w:color w:val="172B4D"/>
          <w:highlight w:val="white"/>
        </w:rPr>
        <w:t xml:space="preserve">Hofstede (1980), identified six cultural dimensions that would have a major influence on the </w:t>
      </w:r>
      <w:r w:rsidR="00331BA5">
        <w:rPr>
          <w:rFonts w:ascii="Open Sans" w:eastAsia="Open Sans" w:hAnsi="Open Sans" w:cs="Open Sans"/>
          <w:color w:val="172B4D"/>
          <w:highlight w:val="white"/>
        </w:rPr>
        <w:t>behaviour</w:t>
      </w:r>
      <w:r>
        <w:rPr>
          <w:rFonts w:ascii="Open Sans" w:eastAsia="Open Sans" w:hAnsi="Open Sans" w:cs="Open Sans"/>
          <w:color w:val="172B4D"/>
          <w:highlight w:val="white"/>
        </w:rPr>
        <w:t xml:space="preserve"> of the people in the business environments for multinational organizations such as Hilton: </w:t>
      </w:r>
    </w:p>
    <w:p w14:paraId="2F7C0587" w14:textId="77777777" w:rsidR="00F04EB8" w:rsidRDefault="00000000">
      <w:pPr>
        <w:spacing w:line="360" w:lineRule="auto"/>
        <w:jc w:val="both"/>
        <w:rPr>
          <w:rFonts w:ascii="Open Sans" w:eastAsia="Open Sans" w:hAnsi="Open Sans" w:cs="Open Sans"/>
          <w:color w:val="172B4D"/>
          <w:highlight w:val="white"/>
        </w:rPr>
      </w:pPr>
      <w:r>
        <w:rPr>
          <w:rFonts w:ascii="Open Sans" w:eastAsia="Open Sans" w:hAnsi="Open Sans" w:cs="Open Sans"/>
          <w:color w:val="172B4D"/>
          <w:highlight w:val="white"/>
        </w:rPr>
        <w:t xml:space="preserve">Power Distance: Hilton maintains a hierarchy where corporate leaders determine policies on a global scale (He and Lai, 2014). Individualism-Collectivism: Hilton promotes teamwork while also valuing individual efforts through incentivization programs (Kang, Busser and Choi, 2018). </w:t>
      </w:r>
    </w:p>
    <w:p w14:paraId="43ECCD88" w14:textId="77777777" w:rsidR="00F04EB8" w:rsidRDefault="00000000">
      <w:pPr>
        <w:spacing w:line="360" w:lineRule="auto"/>
        <w:jc w:val="both"/>
        <w:rPr>
          <w:rFonts w:ascii="Open Sans" w:eastAsia="Open Sans" w:hAnsi="Open Sans" w:cs="Open Sans"/>
          <w:color w:val="172B4D"/>
          <w:highlight w:val="white"/>
        </w:rPr>
      </w:pPr>
      <w:r>
        <w:rPr>
          <w:rFonts w:ascii="Open Sans" w:eastAsia="Open Sans" w:hAnsi="Open Sans" w:cs="Open Sans"/>
          <w:color w:val="172B4D"/>
          <w:highlight w:val="white"/>
        </w:rPr>
        <w:t xml:space="preserve">Uncertainty Avoidance: Uniform training guarantees that a consistent service is provided across all worldwide sites (Salanova et al., 2005). Hilton promotes work-life balance through well-being programs, decreasing burnout (Yang, 2010) . Hilton emphasizes long-term sustainability and invests in leadership development. </w:t>
      </w:r>
    </w:p>
    <w:p w14:paraId="6E95AACD" w14:textId="77777777" w:rsidR="00F04EB8" w:rsidRDefault="00000000">
      <w:pPr>
        <w:spacing w:line="360" w:lineRule="auto"/>
        <w:jc w:val="both"/>
        <w:rPr>
          <w:rFonts w:ascii="Arial" w:eastAsia="Arial" w:hAnsi="Arial" w:cs="Arial"/>
        </w:rPr>
      </w:pPr>
      <w:r>
        <w:rPr>
          <w:rFonts w:ascii="Open Sans" w:eastAsia="Open Sans" w:hAnsi="Open Sans" w:cs="Open Sans"/>
          <w:color w:val="172B4D"/>
          <w:highlight w:val="white"/>
        </w:rPr>
        <w:t xml:space="preserve">Indulgence versus restraint: Hilton offers employee engagement initiatives, which include wellness programs intended to boost job satisfaction (Salanova et al., </w:t>
      </w:r>
      <w:r>
        <w:rPr>
          <w:rFonts w:ascii="Open Sans" w:eastAsia="Open Sans" w:hAnsi="Open Sans" w:cs="Open Sans"/>
          <w:color w:val="172B4D"/>
          <w:highlight w:val="white"/>
        </w:rPr>
        <w:lastRenderedPageBreak/>
        <w:t>2005). Hofstede's framework offers an understanding of Hilton's corporate culture adaptation on a global scale while maintaining a high and consistent customer experience.</w:t>
      </w:r>
    </w:p>
    <w:p w14:paraId="7EC676DA" w14:textId="77777777" w:rsidR="00F04EB8" w:rsidRDefault="00000000">
      <w:pPr>
        <w:spacing w:line="360" w:lineRule="auto"/>
        <w:jc w:val="both"/>
        <w:rPr>
          <w:rFonts w:ascii="Arial" w:eastAsia="Arial" w:hAnsi="Arial" w:cs="Arial"/>
          <w:b/>
        </w:rPr>
      </w:pPr>
      <w:r>
        <w:rPr>
          <w:rFonts w:ascii="Arial" w:eastAsia="Arial" w:hAnsi="Arial" w:cs="Arial"/>
          <w:b/>
        </w:rPr>
        <w:t>Handy’s Cultural Typologies</w:t>
      </w:r>
    </w:p>
    <w:p w14:paraId="1ECA771E" w14:textId="77777777" w:rsidR="00F04EB8" w:rsidRDefault="00000000">
      <w:pPr>
        <w:spacing w:line="360" w:lineRule="auto"/>
        <w:jc w:val="both"/>
        <w:rPr>
          <w:rFonts w:ascii="Open Sans" w:eastAsia="Open Sans" w:hAnsi="Open Sans" w:cs="Open Sans"/>
          <w:color w:val="172B4D"/>
          <w:highlight w:val="white"/>
        </w:rPr>
      </w:pPr>
      <w:r>
        <w:rPr>
          <w:rFonts w:ascii="Open Sans" w:eastAsia="Open Sans" w:hAnsi="Open Sans" w:cs="Open Sans"/>
          <w:color w:val="172B4D"/>
          <w:highlight w:val="white"/>
        </w:rPr>
        <w:t>According to Handy (1993), there are four types of organizational cultures: 1.Power Culture – Centralized decision-making; not dominant at Hilton (Kang and Busser, 2018).</w:t>
      </w:r>
    </w:p>
    <w:p w14:paraId="58487F5B" w14:textId="77777777" w:rsidR="00F04EB8" w:rsidRDefault="00000000">
      <w:pPr>
        <w:spacing w:line="360" w:lineRule="auto"/>
        <w:jc w:val="both"/>
        <w:rPr>
          <w:rFonts w:ascii="Open Sans" w:eastAsia="Open Sans" w:hAnsi="Open Sans" w:cs="Open Sans"/>
          <w:color w:val="172B4D"/>
          <w:highlight w:val="white"/>
        </w:rPr>
      </w:pPr>
      <w:r>
        <w:rPr>
          <w:rFonts w:ascii="Open Sans" w:eastAsia="Open Sans" w:hAnsi="Open Sans" w:cs="Open Sans"/>
          <w:color w:val="172B4D"/>
          <w:highlight w:val="white"/>
        </w:rPr>
        <w:t>2.Role Culture – Hilton adopts a role culture, which means that employees have specific responsibilities that keep the service the same across different locations. 3.Task Culture – Encouraged in Hilton’s leadership programs, wherein high-performing employees can assume project-based roles (Schein, 2010).</w:t>
      </w:r>
    </w:p>
    <w:p w14:paraId="704AAE82" w14:textId="77777777" w:rsidR="00F04EB8" w:rsidRDefault="00000000">
      <w:pPr>
        <w:spacing w:line="360" w:lineRule="auto"/>
        <w:jc w:val="both"/>
        <w:rPr>
          <w:rFonts w:ascii="Arial" w:eastAsia="Arial" w:hAnsi="Arial" w:cs="Arial"/>
        </w:rPr>
      </w:pPr>
      <w:r>
        <w:rPr>
          <w:rFonts w:ascii="Open Sans" w:eastAsia="Open Sans" w:hAnsi="Open Sans" w:cs="Open Sans"/>
          <w:color w:val="172B4D"/>
          <w:highlight w:val="white"/>
        </w:rPr>
        <w:t>4.Person Culture – Not applicable to Hilton’s formalized setting (Yang, 2010). Owing to the synergy potential, these frameworks help demonstrate Hilton's focus on the organizational setup, leadership ethos, and employee involvement, that feed into the core identity of the brand and its functional success in the hospitality segment.</w:t>
      </w:r>
    </w:p>
    <w:p w14:paraId="7C159301" w14:textId="77777777" w:rsidR="00F04EB8" w:rsidRDefault="00000000">
      <w:pPr>
        <w:spacing w:line="360" w:lineRule="auto"/>
        <w:jc w:val="both"/>
        <w:rPr>
          <w:rFonts w:ascii="Arial" w:eastAsia="Arial" w:hAnsi="Arial" w:cs="Arial"/>
        </w:rPr>
      </w:pPr>
      <w:r>
        <w:pict w14:anchorId="2DBD9235">
          <v:rect id="_x0000_i1026" style="width:0;height:1.5pt" o:hralign="center" o:hrstd="t" o:hr="t" fillcolor="#a0a0a0" stroked="f"/>
        </w:pict>
      </w:r>
    </w:p>
    <w:p w14:paraId="62B58F36" w14:textId="77777777" w:rsidR="00F04EB8" w:rsidRDefault="00000000">
      <w:pPr>
        <w:spacing w:line="360" w:lineRule="auto"/>
        <w:jc w:val="both"/>
        <w:rPr>
          <w:rFonts w:ascii="Arial" w:eastAsia="Arial" w:hAnsi="Arial" w:cs="Arial"/>
          <w:b/>
        </w:rPr>
      </w:pPr>
      <w:r>
        <w:rPr>
          <w:rFonts w:ascii="Arial" w:eastAsia="Arial" w:hAnsi="Arial" w:cs="Arial"/>
          <w:b/>
        </w:rPr>
        <w:t>Hilton Hotels: Organisational Culture and Structure</w:t>
      </w:r>
    </w:p>
    <w:p w14:paraId="6A440293" w14:textId="77777777" w:rsidR="00F04EB8" w:rsidRDefault="00000000">
      <w:pPr>
        <w:spacing w:line="360" w:lineRule="auto"/>
        <w:jc w:val="both"/>
        <w:rPr>
          <w:rFonts w:ascii="Open Sans" w:eastAsia="Open Sans" w:hAnsi="Open Sans" w:cs="Open Sans"/>
          <w:color w:val="172B4D"/>
          <w:highlight w:val="white"/>
        </w:rPr>
      </w:pPr>
      <w:r>
        <w:rPr>
          <w:rFonts w:ascii="Open Sans" w:eastAsia="Open Sans" w:hAnsi="Open Sans" w:cs="Open Sans"/>
          <w:color w:val="172B4D"/>
          <w:highlight w:val="white"/>
        </w:rPr>
        <w:t>Hilton Hotels &amp; Resorts utilizes a hierarchical corporate structure to ensure rigorous decision-making and service standardization worldwide. According to He and Lai, the company’s leadership is highly centralized at the corporate level, where strategic decisions are made by the executive management committees, and autonomy is designated to individual hotels operating within set boundaries to guarantee brand consistency. Corporate Goals: Hilton’s corporate goals are consistent with its mission to become the most hospitable company in the world and emphasize the following:</w:t>
      </w:r>
    </w:p>
    <w:p w14:paraId="4E23BA30" w14:textId="77777777" w:rsidR="00F04EB8" w:rsidRDefault="00000000">
      <w:pPr>
        <w:numPr>
          <w:ilvl w:val="0"/>
          <w:numId w:val="1"/>
        </w:numPr>
        <w:spacing w:line="360" w:lineRule="auto"/>
        <w:jc w:val="both"/>
        <w:rPr>
          <w:rFonts w:ascii="Arial" w:eastAsia="Arial" w:hAnsi="Arial" w:cs="Arial"/>
        </w:rPr>
      </w:pPr>
      <w:r>
        <w:rPr>
          <w:rFonts w:ascii="Open Sans" w:eastAsia="Open Sans" w:hAnsi="Open Sans" w:cs="Open Sans"/>
          <w:color w:val="172B4D"/>
          <w:highlight w:val="white"/>
        </w:rPr>
        <w:lastRenderedPageBreak/>
        <w:t>Global expansion – the company places a priority on expanding into developing markets while maintaining a strong brand equity within regions where it is well-established.</w:t>
      </w:r>
    </w:p>
    <w:p w14:paraId="4BAA95C9" w14:textId="77777777" w:rsidR="00F04EB8" w:rsidRDefault="00000000">
      <w:pPr>
        <w:numPr>
          <w:ilvl w:val="0"/>
          <w:numId w:val="1"/>
        </w:numPr>
        <w:spacing w:line="360" w:lineRule="auto"/>
        <w:jc w:val="both"/>
        <w:rPr>
          <w:rFonts w:ascii="Arial" w:eastAsia="Arial" w:hAnsi="Arial" w:cs="Arial"/>
        </w:rPr>
      </w:pPr>
      <w:r>
        <w:rPr>
          <w:rFonts w:ascii="Open Sans" w:eastAsia="Open Sans" w:hAnsi="Open Sans" w:cs="Open Sans"/>
          <w:color w:val="172B4D"/>
          <w:highlight w:val="white"/>
        </w:rPr>
        <w:t>Sustainability leadership – Hilton is also committed to minimizing its carbon footprint under its Travel with Purpose program, which is targeting carbon neutrality and reduced water consumption by 2030.</w:t>
      </w:r>
    </w:p>
    <w:p w14:paraId="6A410B65" w14:textId="77777777" w:rsidR="00F04EB8" w:rsidRDefault="00000000">
      <w:pPr>
        <w:numPr>
          <w:ilvl w:val="0"/>
          <w:numId w:val="1"/>
        </w:numPr>
        <w:spacing w:line="360" w:lineRule="auto"/>
        <w:jc w:val="both"/>
        <w:rPr>
          <w:rFonts w:ascii="Arial" w:eastAsia="Arial" w:hAnsi="Arial" w:cs="Arial"/>
        </w:rPr>
      </w:pPr>
      <w:r>
        <w:rPr>
          <w:rFonts w:ascii="Open Sans" w:eastAsia="Open Sans" w:hAnsi="Open Sans" w:cs="Open Sans"/>
          <w:color w:val="172B4D"/>
          <w:highlight w:val="white"/>
        </w:rPr>
        <w:t>Digital innovation – another objective of the company is to improve customer satisfaction through more efficient mobile check-ins, the use of smart room technology, and employing AI to enhance customer service.</w:t>
      </w:r>
    </w:p>
    <w:p w14:paraId="5C5F178D" w14:textId="77777777" w:rsidR="00F04EB8" w:rsidRDefault="00000000">
      <w:pPr>
        <w:numPr>
          <w:ilvl w:val="0"/>
          <w:numId w:val="1"/>
        </w:numPr>
        <w:spacing w:line="360" w:lineRule="auto"/>
        <w:jc w:val="both"/>
        <w:rPr>
          <w:rFonts w:ascii="Arial" w:eastAsia="Arial" w:hAnsi="Arial" w:cs="Arial"/>
        </w:rPr>
      </w:pPr>
      <w:r>
        <w:rPr>
          <w:rFonts w:ascii="Open Sans" w:eastAsia="Open Sans" w:hAnsi="Open Sans" w:cs="Open Sans"/>
          <w:color w:val="172B4D"/>
          <w:highlight w:val="white"/>
        </w:rPr>
        <w:t>Employee development – Hilton’s basic HR objectives also reflect efforts to expand HRM solutions to this end, including programs like Hilton University.</w:t>
      </w:r>
    </w:p>
    <w:p w14:paraId="471771B6" w14:textId="77777777" w:rsidR="00F04EB8" w:rsidRDefault="00F04EB8">
      <w:pPr>
        <w:spacing w:line="360" w:lineRule="auto"/>
        <w:ind w:left="720"/>
        <w:jc w:val="both"/>
        <w:rPr>
          <w:rFonts w:ascii="Open Sans" w:eastAsia="Open Sans" w:hAnsi="Open Sans" w:cs="Open Sans"/>
          <w:b/>
          <w:color w:val="172B4D"/>
          <w:highlight w:val="white"/>
        </w:rPr>
      </w:pPr>
    </w:p>
    <w:p w14:paraId="697225C3" w14:textId="77777777" w:rsidR="00F04EB8" w:rsidRDefault="00000000">
      <w:pPr>
        <w:spacing w:line="360" w:lineRule="auto"/>
        <w:ind w:left="720"/>
        <w:jc w:val="both"/>
        <w:rPr>
          <w:rFonts w:ascii="Open Sans" w:eastAsia="Open Sans" w:hAnsi="Open Sans" w:cs="Open Sans"/>
          <w:color w:val="172B4D"/>
          <w:highlight w:val="white"/>
        </w:rPr>
      </w:pPr>
      <w:r>
        <w:rPr>
          <w:rFonts w:ascii="Open Sans" w:eastAsia="Open Sans" w:hAnsi="Open Sans" w:cs="Open Sans"/>
          <w:b/>
          <w:color w:val="172B4D"/>
          <w:highlight w:val="white"/>
        </w:rPr>
        <w:t xml:space="preserve">Individual Goals at Hotel Level </w:t>
      </w:r>
      <w:r>
        <w:rPr>
          <w:rFonts w:ascii="Open Sans" w:eastAsia="Open Sans" w:hAnsi="Open Sans" w:cs="Open Sans"/>
          <w:color w:val="172B4D"/>
          <w:highlight w:val="white"/>
        </w:rPr>
        <w:t xml:space="preserve">In addition to the corporate goals set out by Hilton, each hotel must make decisions, develop plans, and execute operational goals (Schein, 2010). Some goals at the hotel level are: </w:t>
      </w:r>
    </w:p>
    <w:p w14:paraId="5B1F9117" w14:textId="77777777" w:rsidR="00F04EB8" w:rsidRDefault="00000000">
      <w:pPr>
        <w:spacing w:line="360" w:lineRule="auto"/>
        <w:ind w:left="720"/>
        <w:jc w:val="both"/>
        <w:rPr>
          <w:rFonts w:ascii="Open Sans" w:eastAsia="Open Sans" w:hAnsi="Open Sans" w:cs="Open Sans"/>
          <w:color w:val="172B4D"/>
          <w:highlight w:val="white"/>
        </w:rPr>
      </w:pPr>
      <w:r>
        <w:rPr>
          <w:rFonts w:ascii="Open Sans" w:eastAsia="Open Sans" w:hAnsi="Open Sans" w:cs="Open Sans"/>
          <w:color w:val="172B4D"/>
          <w:highlight w:val="white"/>
        </w:rPr>
        <w:t xml:space="preserve">Service Excellence &amp; Guest Satisfaction – All properties must achieve a high level of customer ratings as measured by guest feedback systems, by online reviews and through internal quality audits (Bellou and Andronikidis, 2009). </w:t>
      </w:r>
    </w:p>
    <w:p w14:paraId="650E04BB" w14:textId="77777777" w:rsidR="00F04EB8" w:rsidRDefault="00000000">
      <w:pPr>
        <w:spacing w:line="360" w:lineRule="auto"/>
        <w:ind w:left="720"/>
        <w:jc w:val="both"/>
        <w:rPr>
          <w:rFonts w:ascii="Open Sans" w:eastAsia="Open Sans" w:hAnsi="Open Sans" w:cs="Open Sans"/>
          <w:color w:val="172B4D"/>
          <w:highlight w:val="white"/>
        </w:rPr>
      </w:pPr>
      <w:r>
        <w:rPr>
          <w:rFonts w:ascii="Open Sans" w:eastAsia="Open Sans" w:hAnsi="Open Sans" w:cs="Open Sans"/>
          <w:color w:val="172B4D"/>
          <w:highlight w:val="white"/>
        </w:rPr>
        <w:t>Employee Engagement &amp; Retention – Localized well-being programs, cultural training, and performance-and-growth based incentives are used to retain hotel staff (Yang, 2010) Revenue Growth &amp; Cost Efficiency – While each hotel pays particular attention to Room occupancy rates, food and beverage sales, and events hosting revenues according to corporate profit targets (Dawson et al., 2023) .</w:t>
      </w:r>
    </w:p>
    <w:p w14:paraId="65D870EB" w14:textId="77777777" w:rsidR="00F04EB8" w:rsidRDefault="00000000">
      <w:pPr>
        <w:spacing w:line="360" w:lineRule="auto"/>
        <w:ind w:left="720"/>
        <w:jc w:val="both"/>
        <w:rPr>
          <w:rFonts w:ascii="Open Sans" w:eastAsia="Open Sans" w:hAnsi="Open Sans" w:cs="Open Sans"/>
          <w:color w:val="172B4D"/>
          <w:highlight w:val="white"/>
        </w:rPr>
      </w:pPr>
      <w:r>
        <w:rPr>
          <w:rFonts w:ascii="Open Sans" w:eastAsia="Open Sans" w:hAnsi="Open Sans" w:cs="Open Sans"/>
          <w:color w:val="172B4D"/>
          <w:highlight w:val="white"/>
        </w:rPr>
        <w:lastRenderedPageBreak/>
        <w:t xml:space="preserve"> Sustainability Compliance – Hotels are expected to follow corporate energy conservation and waste minimization policies, so properties that outperform sustainability targets gain rewards (Denison, Haaland, &amp; Goelzer, 2004). </w:t>
      </w:r>
    </w:p>
    <w:p w14:paraId="3B70D24B" w14:textId="77777777" w:rsidR="00F04EB8" w:rsidRDefault="00000000">
      <w:pPr>
        <w:spacing w:line="360" w:lineRule="auto"/>
        <w:ind w:left="720"/>
        <w:jc w:val="both"/>
        <w:rPr>
          <w:rFonts w:ascii="Arial" w:eastAsia="Arial" w:hAnsi="Arial" w:cs="Arial"/>
        </w:rPr>
      </w:pPr>
      <w:r>
        <w:rPr>
          <w:rFonts w:ascii="Open Sans" w:eastAsia="Open Sans" w:hAnsi="Open Sans" w:cs="Open Sans"/>
          <w:color w:val="172B4D"/>
          <w:highlight w:val="white"/>
        </w:rPr>
        <w:t>Community Engagement &amp; Local Market Adaptation – Hotels are incentivized to engage with local businesses, culture partnerships, and tailored service offerings, to improve guest experience (Kang, Busser, and Choi, 2018)</w:t>
      </w:r>
    </w:p>
    <w:p w14:paraId="724068CD" w14:textId="77777777" w:rsidR="00F04EB8" w:rsidRDefault="00000000">
      <w:pPr>
        <w:spacing w:line="360" w:lineRule="auto"/>
        <w:jc w:val="both"/>
        <w:rPr>
          <w:rFonts w:ascii="Open Sans" w:eastAsia="Open Sans" w:hAnsi="Open Sans" w:cs="Open Sans"/>
          <w:color w:val="172B4D"/>
          <w:highlight w:val="white"/>
        </w:rPr>
      </w:pPr>
      <w:r>
        <w:rPr>
          <w:rFonts w:ascii="Open Sans" w:eastAsia="Open Sans" w:hAnsi="Open Sans" w:cs="Open Sans"/>
          <w:color w:val="172B4D"/>
          <w:highlight w:val="white"/>
        </w:rPr>
        <w:t>Having crafted an effective approach to strike this balance with respect to corporate-related processes, Hilton's corporate vision allows for consistent global brand delivery while still providing sufficient flexibility at the hotel level to meet operational market needs. This approach allows Hilton to balance standardized service protocols with more local decision-making, maximizing customer satisfaction, employee motivation, and financial performance (Schein, 2010).</w:t>
      </w:r>
    </w:p>
    <w:p w14:paraId="2C016D58" w14:textId="77777777" w:rsidR="00F04EB8" w:rsidRDefault="00F04EB8">
      <w:pPr>
        <w:spacing w:line="360" w:lineRule="auto"/>
        <w:jc w:val="both"/>
        <w:rPr>
          <w:rFonts w:ascii="Open Sans" w:eastAsia="Open Sans" w:hAnsi="Open Sans" w:cs="Open Sans"/>
          <w:color w:val="172B4D"/>
          <w:highlight w:val="white"/>
        </w:rPr>
      </w:pPr>
    </w:p>
    <w:p w14:paraId="4DCC9FF6" w14:textId="77777777" w:rsidR="00F04EB8" w:rsidRDefault="00000000">
      <w:pPr>
        <w:spacing w:line="360" w:lineRule="auto"/>
        <w:jc w:val="both"/>
        <w:rPr>
          <w:rFonts w:ascii="Open Sans" w:eastAsia="Open Sans" w:hAnsi="Open Sans" w:cs="Open Sans"/>
          <w:b/>
          <w:highlight w:val="white"/>
        </w:rPr>
      </w:pPr>
      <w:r>
        <w:rPr>
          <w:rFonts w:ascii="Open Sans" w:eastAsia="Open Sans" w:hAnsi="Open Sans" w:cs="Open Sans"/>
          <w:b/>
          <w:highlight w:val="white"/>
        </w:rPr>
        <w:t xml:space="preserve">Strategic management and change projects </w:t>
      </w:r>
    </w:p>
    <w:p w14:paraId="3E2175C9" w14:textId="77777777" w:rsidR="00F04EB8" w:rsidRDefault="00000000">
      <w:pPr>
        <w:spacing w:line="360" w:lineRule="auto"/>
        <w:jc w:val="both"/>
        <w:rPr>
          <w:rFonts w:ascii="Arial" w:eastAsia="Arial" w:hAnsi="Arial" w:cs="Arial"/>
        </w:rPr>
      </w:pPr>
      <w:r>
        <w:rPr>
          <w:rFonts w:ascii="Open Sans" w:eastAsia="Open Sans" w:hAnsi="Open Sans" w:cs="Open Sans"/>
          <w:color w:val="172B4D"/>
          <w:highlight w:val="white"/>
        </w:rPr>
        <w:t xml:space="preserve">These mainstream initiatives support Hilton's overall strategy for continued competitive advantage, which </w:t>
      </w:r>
      <w:proofErr w:type="gramStart"/>
      <w:r>
        <w:rPr>
          <w:rFonts w:ascii="Open Sans" w:eastAsia="Open Sans" w:hAnsi="Open Sans" w:cs="Open Sans"/>
          <w:color w:val="172B4D"/>
          <w:highlight w:val="white"/>
        </w:rPr>
        <w:t>includes:</w:t>
      </w:r>
      <w:proofErr w:type="gramEnd"/>
      <w:r>
        <w:rPr>
          <w:rFonts w:ascii="Open Sans" w:eastAsia="Open Sans" w:hAnsi="Open Sans" w:cs="Open Sans"/>
          <w:color w:val="172B4D"/>
          <w:highlight w:val="white"/>
        </w:rPr>
        <w:t xml:space="preserve"> Expansion (new rooms), Digital Innovation, Sustainability, and Leadership Development. The company seeks to build on its strong global presence, especially in emerging markets, while leveraging technology and personalized services to elevate guest experiences (Dawson et al., 2023). Digital transformation has been one of Hilton’s strategic priorities. The Hilton Honors mobile app was launched to help guests to check in digitally, select their room and utilize a mobile key (He and Lai, 2014). This Features provide comfort, better experience, and advance hotel management. Hotels that invest in digital innovation can enhance overall operational efficiency and customer retention (Salanova, Agut, and Peiró, 2005). Sustainability is also a </w:t>
      </w:r>
      <w:r>
        <w:rPr>
          <w:rFonts w:ascii="Open Sans" w:eastAsia="Open Sans" w:hAnsi="Open Sans" w:cs="Open Sans"/>
          <w:color w:val="172B4D"/>
          <w:highlight w:val="white"/>
        </w:rPr>
        <w:lastRenderedPageBreak/>
        <w:t xml:space="preserve">central component of Hilton’s strategy. They founded the Travel with Purpose program to curtail environmental harm, increase energy efficiency, and expand responsible tourism (Denison, Haaland, and Goelzer, 2004). Hilton's sustainability plans are in line with global hospitality trends: consumers are </w:t>
      </w:r>
      <w:proofErr w:type="spellStart"/>
      <w:r>
        <w:rPr>
          <w:rFonts w:ascii="Open Sans" w:eastAsia="Open Sans" w:hAnsi="Open Sans" w:cs="Open Sans"/>
          <w:color w:val="172B4D"/>
          <w:highlight w:val="white"/>
        </w:rPr>
        <w:t>favoring</w:t>
      </w:r>
      <w:proofErr w:type="spellEnd"/>
      <w:r>
        <w:rPr>
          <w:rFonts w:ascii="Open Sans" w:eastAsia="Open Sans" w:hAnsi="Open Sans" w:cs="Open Sans"/>
          <w:color w:val="172B4D"/>
          <w:highlight w:val="white"/>
        </w:rPr>
        <w:t xml:space="preserve"> eco-friendly travel options increasingly (Awadh and Saad, 2013).</w:t>
      </w:r>
    </w:p>
    <w:p w14:paraId="24B07C8F" w14:textId="77777777" w:rsidR="00F04EB8" w:rsidRDefault="00000000">
      <w:pPr>
        <w:spacing w:line="360" w:lineRule="auto"/>
        <w:jc w:val="both"/>
        <w:rPr>
          <w:rFonts w:ascii="Arial" w:eastAsia="Arial" w:hAnsi="Arial" w:cs="Arial"/>
        </w:rPr>
      </w:pPr>
      <w:r>
        <w:rPr>
          <w:rFonts w:ascii="Open Sans" w:eastAsia="Open Sans" w:hAnsi="Open Sans" w:cs="Open Sans"/>
          <w:color w:val="172B4D"/>
          <w:highlight w:val="white"/>
        </w:rPr>
        <w:t>Examples of recent change initiatives present at Hilton include improved well-being employee programs to overcome industry challenges such as burnout and high staff turnover rates (Yang, 2010). To enhance job satisfaction , the company has broadened its mental health support services, established flexible programming, and integrated leadership mentoring programs (Kang, Busser and Choi, 2018). Studies show employees who feel like a part of their organization perform better and have less job turnover (Bellou and Andronikidis, 2009). Yet Hilton struggles to adapt to cultural differences in regions across the world. Although its standardized operational procedures provide service consistency, regional market differences occasionally necessitate localized decision-making (Schein, 2010). Discussion To foster a high-performance organization, Hilton needs to acknowledge and solve this issue and has started to implement cross-cultural training programs to help employees adapt to their local customers while still adhering to their corporate standards (Dawson et al., 2023). Hilton’s focus on innovative growth, environmental sustainability and global employee engagement highlights the company’s overall strategy to drive innovation across the board. The company's focus on both innovation and culture places it on the course of sustainable success in a rapidly evolving market (He and Lai, 2014).</w:t>
      </w:r>
    </w:p>
    <w:p w14:paraId="21A739F1" w14:textId="77777777" w:rsidR="00F04EB8" w:rsidRDefault="00000000">
      <w:pPr>
        <w:spacing w:line="360" w:lineRule="auto"/>
        <w:jc w:val="both"/>
        <w:rPr>
          <w:rFonts w:ascii="Arial" w:eastAsia="Arial" w:hAnsi="Arial" w:cs="Arial"/>
        </w:rPr>
      </w:pPr>
      <w:r>
        <w:pict w14:anchorId="5C9ED46B">
          <v:rect id="_x0000_i1027" style="width:0;height:1.5pt" o:hralign="center" o:hrstd="t" o:hr="t" fillcolor="#a0a0a0" stroked="f"/>
        </w:pict>
      </w:r>
    </w:p>
    <w:p w14:paraId="27668AAD" w14:textId="77777777" w:rsidR="00F04EB8" w:rsidRDefault="00000000">
      <w:pPr>
        <w:spacing w:line="360" w:lineRule="auto"/>
        <w:jc w:val="both"/>
        <w:rPr>
          <w:rFonts w:ascii="Open Sans" w:eastAsia="Open Sans" w:hAnsi="Open Sans" w:cs="Open Sans"/>
          <w:b/>
          <w:highlight w:val="white"/>
        </w:rPr>
      </w:pPr>
      <w:r>
        <w:rPr>
          <w:rFonts w:ascii="Open Sans" w:eastAsia="Open Sans" w:hAnsi="Open Sans" w:cs="Open Sans"/>
          <w:b/>
          <w:highlight w:val="white"/>
        </w:rPr>
        <w:t>Problems and Rooms for Improvement</w:t>
      </w:r>
    </w:p>
    <w:p w14:paraId="23E2C433" w14:textId="6B80589F" w:rsidR="00F04EB8" w:rsidRDefault="00000000">
      <w:pPr>
        <w:spacing w:line="360" w:lineRule="auto"/>
        <w:jc w:val="both"/>
        <w:rPr>
          <w:rFonts w:ascii="Arial" w:eastAsia="Arial" w:hAnsi="Arial" w:cs="Arial"/>
          <w:b/>
        </w:rPr>
      </w:pPr>
      <w:r>
        <w:rPr>
          <w:rFonts w:ascii="Open Sans" w:eastAsia="Open Sans" w:hAnsi="Open Sans" w:cs="Open Sans"/>
          <w:color w:val="172B4D"/>
          <w:highlight w:val="white"/>
        </w:rPr>
        <w:t xml:space="preserve">While Hilton has a solid corporate culture and strategic initiatives in place, the organization does face challenges in operations efficiency and employee </w:t>
      </w:r>
      <w:r>
        <w:rPr>
          <w:rFonts w:ascii="Open Sans" w:eastAsia="Open Sans" w:hAnsi="Open Sans" w:cs="Open Sans"/>
          <w:color w:val="172B4D"/>
          <w:highlight w:val="white"/>
        </w:rPr>
        <w:lastRenderedPageBreak/>
        <w:t xml:space="preserve">retention. The hospitality industry has faced high employee turnover which is a major concern (Salanova, Agut, and Peiró, 2005). Long working hours, heavy workload and emotional labour faced by Hilton employees contribute to job burnout and low job satisfaction (Yang, 2010). While the company has implemented several well-being programs, turnover continues to be a </w:t>
      </w:r>
      <w:proofErr w:type="spellStart"/>
      <w:r>
        <w:rPr>
          <w:rFonts w:ascii="Open Sans" w:eastAsia="Open Sans" w:hAnsi="Open Sans" w:cs="Open Sans"/>
          <w:color w:val="172B4D"/>
          <w:highlight w:val="white"/>
        </w:rPr>
        <w:t>probl</w:t>
      </w:r>
      <w:r w:rsidR="00331BA5">
        <w:rPr>
          <w:rFonts w:ascii="Open Sans" w:eastAsia="Open Sans" w:hAnsi="Open Sans" w:cs="Open Sans"/>
          <w:color w:val="172B4D"/>
          <w:highlight w:val="white"/>
        </w:rPr>
        <w:t>e</w:t>
      </w:r>
      <w:r>
        <w:rPr>
          <w:rFonts w:ascii="Open Sans" w:eastAsia="Open Sans" w:hAnsi="Open Sans" w:cs="Open Sans"/>
          <w:color w:val="172B4D"/>
          <w:highlight w:val="white"/>
        </w:rPr>
        <w:t>matique</w:t>
      </w:r>
      <w:proofErr w:type="spellEnd"/>
      <w:r>
        <w:rPr>
          <w:rFonts w:ascii="Open Sans" w:eastAsia="Open Sans" w:hAnsi="Open Sans" w:cs="Open Sans"/>
          <w:color w:val="172B4D"/>
          <w:highlight w:val="white"/>
        </w:rPr>
        <w:t>, adding costs to recruitment and training (Dawson et al., 2023). A further consideration is the cultural diversity management across Hilton’s worldwide operations. There are employees from various origins with varying work philosophies, expectations, and management styles (Hofstede, 1980) in the various countries where hotels are located. Although cross-cultural training programs have been established at Hilton, with a lack of clear understanding of the values of a diverse workforce, continuous adjustments must still be made at Hilton (He and Lai, 2014). They struggle to ensure consistency of service across sites. Because Hilton operates in both the developed and the developing world, these factors influence different aspects of service delivery due to variation in infrastructure, local regulation and customer preference (Denison, Haaland, and Goelzer, 2004). While Hilton’s standardized training programs are designed to ensure consistency, differences in service quality still exist (Kang, Busser, and Choi, 2018).</w:t>
      </w:r>
    </w:p>
    <w:p w14:paraId="4D8D9897" w14:textId="77777777" w:rsidR="00F04EB8" w:rsidRDefault="00000000">
      <w:pPr>
        <w:spacing w:line="360" w:lineRule="auto"/>
        <w:jc w:val="both"/>
        <w:rPr>
          <w:rFonts w:ascii="Arial" w:eastAsia="Arial" w:hAnsi="Arial" w:cs="Arial"/>
        </w:rPr>
      </w:pPr>
      <w:r>
        <w:rPr>
          <w:rFonts w:ascii="Open Sans" w:eastAsia="Open Sans" w:hAnsi="Open Sans" w:cs="Open Sans"/>
          <w:color w:val="172B4D"/>
          <w:highlight w:val="white"/>
        </w:rPr>
        <w:t>Hilton is also under pressure to improve its sustainability efforts as consumers become increasingly aware of the environmental impact of travel . Travel with Purpose addresses these environmental concerns, but getting to net-zero carbon emissions and sustainable use of the world's resources requires an investment and adaptation to global sustainability regulations over the long term (Awadh and Saad, 2013). Although Hilton’s leadership system has the capability to trigger innovations and service models across its hotels, the decision-making process is still centralized at the corporate office, which is detrimental to flexibility for the individual hotels (Schein, 2010). Increased local seizing of operational decision-</w:t>
      </w:r>
      <w:r>
        <w:rPr>
          <w:rFonts w:ascii="Open Sans" w:eastAsia="Open Sans" w:hAnsi="Open Sans" w:cs="Open Sans"/>
          <w:color w:val="172B4D"/>
          <w:highlight w:val="white"/>
        </w:rPr>
        <w:lastRenderedPageBreak/>
        <w:t xml:space="preserve">making autonomy can better serve customer wants and market realities. Overcome these issues, Hilton </w:t>
      </w:r>
      <w:proofErr w:type="gramStart"/>
      <w:r>
        <w:rPr>
          <w:rFonts w:ascii="Open Sans" w:eastAsia="Open Sans" w:hAnsi="Open Sans" w:cs="Open Sans"/>
          <w:color w:val="172B4D"/>
          <w:highlight w:val="white"/>
        </w:rPr>
        <w:t>has the opportunity to</w:t>
      </w:r>
      <w:proofErr w:type="gramEnd"/>
      <w:r>
        <w:rPr>
          <w:rFonts w:ascii="Open Sans" w:eastAsia="Open Sans" w:hAnsi="Open Sans" w:cs="Open Sans"/>
          <w:color w:val="172B4D"/>
          <w:highlight w:val="white"/>
        </w:rPr>
        <w:t xml:space="preserve"> enhance its global footprint and leadership position as a hospitality company.</w:t>
      </w:r>
    </w:p>
    <w:p w14:paraId="4C23BE4F" w14:textId="77777777" w:rsidR="00F04EB8" w:rsidRDefault="00000000">
      <w:pPr>
        <w:spacing w:line="360" w:lineRule="auto"/>
        <w:jc w:val="both"/>
        <w:rPr>
          <w:rFonts w:ascii="Arial" w:eastAsia="Arial" w:hAnsi="Arial" w:cs="Arial"/>
        </w:rPr>
      </w:pPr>
      <w:r>
        <w:pict w14:anchorId="5447EC8E">
          <v:rect id="_x0000_i1028" style="width:0;height:1.5pt" o:hralign="center" o:hrstd="t" o:hr="t" fillcolor="#a0a0a0" stroked="f"/>
        </w:pict>
      </w:r>
    </w:p>
    <w:p w14:paraId="1248B44B" w14:textId="77777777" w:rsidR="00F04EB8" w:rsidRDefault="00000000">
      <w:pPr>
        <w:spacing w:line="360" w:lineRule="auto"/>
        <w:jc w:val="both"/>
        <w:rPr>
          <w:rFonts w:ascii="Arial" w:eastAsia="Arial" w:hAnsi="Arial" w:cs="Arial"/>
          <w:b/>
        </w:rPr>
      </w:pPr>
      <w:r>
        <w:rPr>
          <w:rFonts w:ascii="Arial" w:eastAsia="Arial" w:hAnsi="Arial" w:cs="Arial"/>
          <w:b/>
        </w:rPr>
        <w:t xml:space="preserve">Recommendations for Future Growth </w:t>
      </w:r>
    </w:p>
    <w:p w14:paraId="0A3961B0" w14:textId="34C9ECAE" w:rsidR="00F04EB8" w:rsidRDefault="00000000">
      <w:pPr>
        <w:spacing w:line="360" w:lineRule="auto"/>
        <w:jc w:val="both"/>
        <w:rPr>
          <w:rFonts w:ascii="Arial" w:eastAsia="Arial" w:hAnsi="Arial" w:cs="Arial"/>
        </w:rPr>
      </w:pPr>
      <w:r>
        <w:rPr>
          <w:rFonts w:ascii="Open Sans" w:eastAsia="Open Sans" w:hAnsi="Open Sans" w:cs="Open Sans"/>
          <w:color w:val="172B4D"/>
          <w:highlight w:val="white"/>
        </w:rPr>
        <w:t xml:space="preserve">This data is from before October 2023, so provide Recommendations for Growth (250 words) Hilton response to enhance market position and solution to key challenges: Hilton should focus on employee retention, cultural adaptability, consistency of service and sustainability. Hilton needs to combine employee well-being and retention efforts and increase focus on mental health, career advancement opportunities, and flexibility (Salanova, Agut, and Peiró, 2005). Implementing mentoring programs like Marriott’s leadership development programs can enhance job satisfaction and minimize staff turnover rates (Dawson et al., 2023). In terms of second places, Hilton needs to improve its cross-cultural training programs and better fit into this staff from different backgrounds. Localized leadership development initiatives would allow managers to tailor management styles in a culture-based way while upholding corporate standards (He and Lai, 2014). Hilton can review customer feedback, conduct more internal audits and shorten the evaluation time between audits to better ensure service quality. At the same time, improving the level of foreign local hotel managers could make service more adaptable in different markets (Kang, Busser, and Choi, 2018). Making sustainability a top priority should be part of answer. Similar actions can be taken for Hilton on renewable energy investments, reduction of single-use plastics, smart building technologies to drive energy efficiency (Awadh and Saad, 2013). The establishment of strategic partnerships with green certification programs can also facilitate the improvement of the brand’s </w:t>
      </w:r>
      <w:r w:rsidR="00331BA5">
        <w:rPr>
          <w:rFonts w:ascii="Open Sans" w:eastAsia="Open Sans" w:hAnsi="Open Sans" w:cs="Open Sans"/>
          <w:color w:val="172B4D"/>
          <w:highlight w:val="white"/>
        </w:rPr>
        <w:t>environmentally</w:t>
      </w:r>
      <w:r>
        <w:rPr>
          <w:rFonts w:ascii="Open Sans" w:eastAsia="Open Sans" w:hAnsi="Open Sans" w:cs="Open Sans"/>
          <w:color w:val="172B4D"/>
          <w:highlight w:val="white"/>
        </w:rPr>
        <w:t xml:space="preserve"> friendly image (Denison, Haaland, and Goelzer, 2004). Adopting these innovations will allow Hilton to retain its lead in the hospitality industry by </w:t>
      </w:r>
      <w:r>
        <w:rPr>
          <w:rFonts w:ascii="Open Sans" w:eastAsia="Open Sans" w:hAnsi="Open Sans" w:cs="Open Sans"/>
          <w:color w:val="172B4D"/>
          <w:highlight w:val="white"/>
        </w:rPr>
        <w:lastRenderedPageBreak/>
        <w:t>continuing to dominate with employee satisfaction, operational efficiency, and sustainability.</w:t>
      </w:r>
    </w:p>
    <w:p w14:paraId="56655881" w14:textId="77777777" w:rsidR="00F04EB8" w:rsidRDefault="00000000">
      <w:pPr>
        <w:spacing w:line="360" w:lineRule="auto"/>
        <w:jc w:val="both"/>
        <w:rPr>
          <w:rFonts w:ascii="Arial" w:eastAsia="Arial" w:hAnsi="Arial" w:cs="Arial"/>
        </w:rPr>
      </w:pPr>
      <w:r>
        <w:pict w14:anchorId="664ADBB3">
          <v:rect id="_x0000_i1029" style="width:0;height:1.5pt" o:hralign="center" o:hrstd="t" o:hr="t" fillcolor="#a0a0a0" stroked="f"/>
        </w:pict>
      </w:r>
    </w:p>
    <w:p w14:paraId="09013637" w14:textId="77777777" w:rsidR="00F04EB8" w:rsidRDefault="00000000" w:rsidP="00331BA5">
      <w:pPr>
        <w:spacing w:line="360" w:lineRule="auto"/>
        <w:jc w:val="both"/>
        <w:rPr>
          <w:rFonts w:ascii="Arial" w:eastAsia="Arial" w:hAnsi="Arial" w:cs="Arial"/>
          <w:b/>
        </w:rPr>
      </w:pPr>
      <w:r>
        <w:rPr>
          <w:rFonts w:ascii="Arial" w:eastAsia="Arial" w:hAnsi="Arial" w:cs="Arial"/>
          <w:b/>
        </w:rPr>
        <w:t>Conclusion</w:t>
      </w:r>
    </w:p>
    <w:p w14:paraId="0E899E4C" w14:textId="77777777" w:rsidR="00F04EB8" w:rsidRDefault="00000000" w:rsidP="00331BA5">
      <w:pPr>
        <w:jc w:val="both"/>
        <w:rPr>
          <w:rFonts w:ascii="Arial" w:eastAsia="Arial" w:hAnsi="Arial" w:cs="Arial"/>
        </w:rPr>
      </w:pPr>
      <w:r>
        <w:rPr>
          <w:rFonts w:ascii="Open Sans" w:eastAsia="Open Sans" w:hAnsi="Open Sans" w:cs="Open Sans"/>
          <w:color w:val="172B4D"/>
          <w:highlight w:val="white"/>
        </w:rPr>
        <w:t>The management quality of Hilton Hotels &amp; Resorts is mostly driven by its strong corporate culture, having strong leadership, employee development process and digitization as the revenue management process. With even issues like an ever-changing workforce, managing varying nationalities, and, still, uniformity in services provided, continuous enhancements are needed. By strengthening their well-being programs, moving management strategies to a more localized model, and incorporating sustainability initiatives, Hilton will be positioned for the future success (Dawson et al., 2023). This would allow Hilton to bolster their global branding reputation while also reinforcing their company image as an industry innovator by facilitating council decisions behind leadership development, operational flexibility, and eco-friendly investments (Schein, 2010). Navigating that road will require continuous adaptation, both to keep the quality of service up and the satisfaction of its workers.</w:t>
      </w:r>
    </w:p>
    <w:p w14:paraId="508A7392" w14:textId="77777777" w:rsidR="00F04EB8" w:rsidRDefault="00000000">
      <w:pPr>
        <w:spacing w:line="360" w:lineRule="auto"/>
        <w:jc w:val="both"/>
        <w:rPr>
          <w:rFonts w:ascii="Arial" w:eastAsia="Arial" w:hAnsi="Arial" w:cs="Arial"/>
          <w:b/>
        </w:rPr>
      </w:pPr>
      <w:r>
        <w:rPr>
          <w:rFonts w:ascii="Arial" w:eastAsia="Arial" w:hAnsi="Arial" w:cs="Arial"/>
          <w:b/>
        </w:rPr>
        <w:t>References:</w:t>
      </w:r>
    </w:p>
    <w:p w14:paraId="6A807716"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Awadh, A.M. and Saad, A.M. (2013)</w:t>
      </w:r>
      <w:r w:rsidRPr="00331BA5">
        <w:rPr>
          <w:rFonts w:ascii="Arial" w:eastAsia="Arial" w:hAnsi="Arial" w:cs="Arial"/>
          <w:color w:val="000000"/>
        </w:rPr>
        <w:t xml:space="preserve"> 'Impact of organizational culture on employee performance', </w:t>
      </w:r>
      <w:r w:rsidRPr="00331BA5">
        <w:rPr>
          <w:rFonts w:ascii="Arial" w:eastAsia="Arial" w:hAnsi="Arial" w:cs="Arial"/>
          <w:i/>
          <w:color w:val="000000"/>
        </w:rPr>
        <w:t>International Review of Management and Business Research</w:t>
      </w:r>
      <w:r w:rsidRPr="00331BA5">
        <w:rPr>
          <w:rFonts w:ascii="Arial" w:eastAsia="Arial" w:hAnsi="Arial" w:cs="Arial"/>
          <w:color w:val="000000"/>
        </w:rPr>
        <w:t>, 2(1), pp. 168-175.</w:t>
      </w:r>
    </w:p>
    <w:p w14:paraId="5D657908"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Bakker, A.B. and Bal, P.M. (2010)</w:t>
      </w:r>
      <w:r w:rsidRPr="00331BA5">
        <w:rPr>
          <w:rFonts w:ascii="Arial" w:eastAsia="Arial" w:hAnsi="Arial" w:cs="Arial"/>
          <w:color w:val="000000"/>
        </w:rPr>
        <w:t xml:space="preserve"> 'Weekly work engagement and performance: A study among starting teachers', </w:t>
      </w:r>
      <w:r w:rsidRPr="00331BA5">
        <w:rPr>
          <w:rFonts w:ascii="Arial" w:eastAsia="Arial" w:hAnsi="Arial" w:cs="Arial"/>
          <w:i/>
          <w:color w:val="000000"/>
        </w:rPr>
        <w:t>Journal of Occupational and Organizational Psychology</w:t>
      </w:r>
      <w:r w:rsidRPr="00331BA5">
        <w:rPr>
          <w:rFonts w:ascii="Arial" w:eastAsia="Arial" w:hAnsi="Arial" w:cs="Arial"/>
          <w:color w:val="000000"/>
        </w:rPr>
        <w:t>, 83(1), pp. 189-206.</w:t>
      </w:r>
    </w:p>
    <w:p w14:paraId="18E11348"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Bellou, V. and Andronikidis, A. (2009)</w:t>
      </w:r>
      <w:r w:rsidRPr="00331BA5">
        <w:rPr>
          <w:rFonts w:ascii="Arial" w:eastAsia="Arial" w:hAnsi="Arial" w:cs="Arial"/>
          <w:color w:val="000000"/>
        </w:rPr>
        <w:t xml:space="preserve"> 'Examining organizational climate in Greek hotels from a service quality perspective', </w:t>
      </w:r>
      <w:r w:rsidRPr="00331BA5">
        <w:rPr>
          <w:rFonts w:ascii="Arial" w:eastAsia="Arial" w:hAnsi="Arial" w:cs="Arial"/>
          <w:i/>
          <w:color w:val="000000"/>
        </w:rPr>
        <w:t>International Journal of Contemporary Hospitality Management</w:t>
      </w:r>
      <w:r w:rsidRPr="00331BA5">
        <w:rPr>
          <w:rFonts w:ascii="Arial" w:eastAsia="Arial" w:hAnsi="Arial" w:cs="Arial"/>
          <w:color w:val="000000"/>
        </w:rPr>
        <w:t>, 21(3), pp. 294-307.</w:t>
      </w:r>
    </w:p>
    <w:p w14:paraId="0DAD6FCD"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 xml:space="preserve">Dawson, M., </w:t>
      </w:r>
      <w:proofErr w:type="spellStart"/>
      <w:r w:rsidRPr="00331BA5">
        <w:rPr>
          <w:rFonts w:ascii="Arial" w:eastAsia="Arial" w:hAnsi="Arial" w:cs="Arial"/>
          <w:b/>
          <w:color w:val="000000"/>
        </w:rPr>
        <w:t>Guchait</w:t>
      </w:r>
      <w:proofErr w:type="spellEnd"/>
      <w:r w:rsidRPr="00331BA5">
        <w:rPr>
          <w:rFonts w:ascii="Arial" w:eastAsia="Arial" w:hAnsi="Arial" w:cs="Arial"/>
          <w:b/>
          <w:color w:val="000000"/>
        </w:rPr>
        <w:t xml:space="preserve">, P., Russen, M., Wang, X. and </w:t>
      </w:r>
      <w:proofErr w:type="spellStart"/>
      <w:r w:rsidRPr="00331BA5">
        <w:rPr>
          <w:rFonts w:ascii="Arial" w:eastAsia="Arial" w:hAnsi="Arial" w:cs="Arial"/>
          <w:b/>
          <w:color w:val="000000"/>
        </w:rPr>
        <w:t>Pasamehmetoglu</w:t>
      </w:r>
      <w:proofErr w:type="spellEnd"/>
      <w:r w:rsidRPr="00331BA5">
        <w:rPr>
          <w:rFonts w:ascii="Arial" w:eastAsia="Arial" w:hAnsi="Arial" w:cs="Arial"/>
          <w:b/>
          <w:color w:val="000000"/>
        </w:rPr>
        <w:t>, A. (2023)</w:t>
      </w:r>
      <w:r w:rsidRPr="00331BA5">
        <w:rPr>
          <w:rFonts w:ascii="Arial" w:eastAsia="Arial" w:hAnsi="Arial" w:cs="Arial"/>
          <w:color w:val="000000"/>
        </w:rPr>
        <w:t xml:space="preserve"> 'Hospitality organizational culture: Impact on employee’s job satisfaction, organizational citizenship behaviours, service recovery performance, and intention to leave', </w:t>
      </w:r>
      <w:r w:rsidRPr="00331BA5">
        <w:rPr>
          <w:rFonts w:ascii="Arial" w:eastAsia="Arial" w:hAnsi="Arial" w:cs="Arial"/>
          <w:i/>
          <w:color w:val="000000"/>
        </w:rPr>
        <w:t>Journal of Human Resources in Hospitality &amp; Tourism</w:t>
      </w:r>
      <w:r w:rsidRPr="00331BA5">
        <w:rPr>
          <w:rFonts w:ascii="Arial" w:eastAsia="Arial" w:hAnsi="Arial" w:cs="Arial"/>
          <w:color w:val="000000"/>
        </w:rPr>
        <w:t xml:space="preserve">. Available at: </w:t>
      </w:r>
      <w:hyperlink r:id="rId10">
        <w:r w:rsidR="00F04EB8" w:rsidRPr="00331BA5">
          <w:rPr>
            <w:rFonts w:ascii="Arial" w:eastAsia="Arial" w:hAnsi="Arial" w:cs="Arial"/>
            <w:color w:val="467886"/>
            <w:u w:val="single"/>
          </w:rPr>
          <w:t>https://www.tandfonline.com/doi/abs/10.1080/15332845.2023.2180963</w:t>
        </w:r>
      </w:hyperlink>
      <w:r w:rsidRPr="00331BA5">
        <w:rPr>
          <w:rFonts w:ascii="Arial" w:eastAsia="Arial" w:hAnsi="Arial" w:cs="Arial"/>
          <w:color w:val="000000"/>
        </w:rPr>
        <w:t xml:space="preserve">  (Accessed: 4 February 2025).</w:t>
      </w:r>
    </w:p>
    <w:p w14:paraId="51A6B941"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Denison, D.R., Haaland, S. and Goelzer, P. (2004)</w:t>
      </w:r>
      <w:r w:rsidRPr="00331BA5">
        <w:rPr>
          <w:rFonts w:ascii="Arial" w:eastAsia="Arial" w:hAnsi="Arial" w:cs="Arial"/>
          <w:color w:val="000000"/>
        </w:rPr>
        <w:t xml:space="preserve"> 'Corporate culture and organizational effectiveness: Is Asia different from the rest of the world?', </w:t>
      </w:r>
      <w:r w:rsidRPr="00331BA5">
        <w:rPr>
          <w:rFonts w:ascii="Arial" w:eastAsia="Arial" w:hAnsi="Arial" w:cs="Arial"/>
          <w:i/>
          <w:color w:val="000000"/>
        </w:rPr>
        <w:t>Organizational Dynamics</w:t>
      </w:r>
      <w:r w:rsidRPr="00331BA5">
        <w:rPr>
          <w:rFonts w:ascii="Arial" w:eastAsia="Arial" w:hAnsi="Arial" w:cs="Arial"/>
          <w:color w:val="000000"/>
        </w:rPr>
        <w:t>, 33(1), pp. 98-109.</w:t>
      </w:r>
    </w:p>
    <w:p w14:paraId="041DCBC8"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He, Y. and Lai, K.K. (2014)</w:t>
      </w:r>
      <w:r w:rsidRPr="00331BA5">
        <w:rPr>
          <w:rFonts w:ascii="Arial" w:eastAsia="Arial" w:hAnsi="Arial" w:cs="Arial"/>
          <w:color w:val="000000"/>
        </w:rPr>
        <w:t xml:space="preserve"> 'The effect of corporate social responsibility on brand loyalty: The mediating role of brand image', </w:t>
      </w:r>
      <w:r w:rsidRPr="00331BA5">
        <w:rPr>
          <w:rFonts w:ascii="Arial" w:eastAsia="Arial" w:hAnsi="Arial" w:cs="Arial"/>
          <w:i/>
          <w:color w:val="000000"/>
        </w:rPr>
        <w:t>Total Quality Management &amp; Business Excellence</w:t>
      </w:r>
      <w:r w:rsidRPr="00331BA5">
        <w:rPr>
          <w:rFonts w:ascii="Arial" w:eastAsia="Arial" w:hAnsi="Arial" w:cs="Arial"/>
          <w:color w:val="000000"/>
        </w:rPr>
        <w:t>, 25(3-4), pp. 249-263.</w:t>
      </w:r>
    </w:p>
    <w:p w14:paraId="061F70FB"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Kang, H.J.A., Busser, J. and Choi, H.M. (2018)</w:t>
      </w:r>
      <w:r w:rsidRPr="00331BA5">
        <w:rPr>
          <w:rFonts w:ascii="Arial" w:eastAsia="Arial" w:hAnsi="Arial" w:cs="Arial"/>
          <w:color w:val="000000"/>
        </w:rPr>
        <w:t xml:space="preserve"> 'Service climate: How does it affect turnover intention?', </w:t>
      </w:r>
      <w:r w:rsidRPr="00331BA5">
        <w:rPr>
          <w:rFonts w:ascii="Arial" w:eastAsia="Arial" w:hAnsi="Arial" w:cs="Arial"/>
          <w:i/>
          <w:color w:val="000000"/>
        </w:rPr>
        <w:t>International Journal of Contemporary Hospitality Management</w:t>
      </w:r>
      <w:r w:rsidRPr="00331BA5">
        <w:rPr>
          <w:rFonts w:ascii="Arial" w:eastAsia="Arial" w:hAnsi="Arial" w:cs="Arial"/>
          <w:color w:val="000000"/>
        </w:rPr>
        <w:t>, 30(1), pp. 76-94.</w:t>
      </w:r>
    </w:p>
    <w:p w14:paraId="7F3DFEEF"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Kang, J. and Busser, J. (2018)</w:t>
      </w:r>
      <w:r w:rsidRPr="00331BA5">
        <w:rPr>
          <w:rFonts w:ascii="Arial" w:eastAsia="Arial" w:hAnsi="Arial" w:cs="Arial"/>
          <w:color w:val="000000"/>
        </w:rPr>
        <w:t xml:space="preserve"> 'Impact of service climate and psychological capital on employee engagement: The role of organizational hierarchy', </w:t>
      </w:r>
      <w:r w:rsidRPr="00331BA5">
        <w:rPr>
          <w:rFonts w:ascii="Arial" w:eastAsia="Arial" w:hAnsi="Arial" w:cs="Arial"/>
          <w:i/>
          <w:color w:val="000000"/>
        </w:rPr>
        <w:t>International Journal of Hospitality Management</w:t>
      </w:r>
      <w:r w:rsidRPr="00331BA5">
        <w:rPr>
          <w:rFonts w:ascii="Arial" w:eastAsia="Arial" w:hAnsi="Arial" w:cs="Arial"/>
          <w:color w:val="000000"/>
        </w:rPr>
        <w:t>, 75, pp. 1-9.</w:t>
      </w:r>
    </w:p>
    <w:p w14:paraId="086A080B"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Li, X. and Huang, Y. (2017)</w:t>
      </w:r>
      <w:r w:rsidRPr="00331BA5">
        <w:rPr>
          <w:rFonts w:ascii="Arial" w:eastAsia="Arial" w:hAnsi="Arial" w:cs="Arial"/>
          <w:color w:val="000000"/>
        </w:rPr>
        <w:t xml:space="preserve"> 'The impact of organizational culture on hotel employees’ behaviour intentions', </w:t>
      </w:r>
      <w:r w:rsidRPr="00331BA5">
        <w:rPr>
          <w:rFonts w:ascii="Arial" w:eastAsia="Arial" w:hAnsi="Arial" w:cs="Arial"/>
          <w:i/>
          <w:color w:val="000000"/>
        </w:rPr>
        <w:t>Journal of Human Resources in Hospitality &amp; Tourism</w:t>
      </w:r>
      <w:r w:rsidRPr="00331BA5">
        <w:rPr>
          <w:rFonts w:ascii="Arial" w:eastAsia="Arial" w:hAnsi="Arial" w:cs="Arial"/>
          <w:color w:val="000000"/>
        </w:rPr>
        <w:t>, 16(3), pp. 235-251.</w:t>
      </w:r>
    </w:p>
    <w:p w14:paraId="66C35327"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Peters, T.J. and Waterman, R.H. (1982)</w:t>
      </w:r>
      <w:r w:rsidRPr="00331BA5">
        <w:rPr>
          <w:rFonts w:ascii="Arial" w:eastAsia="Arial" w:hAnsi="Arial" w:cs="Arial"/>
          <w:color w:val="000000"/>
        </w:rPr>
        <w:t xml:space="preserve"> </w:t>
      </w:r>
      <w:r w:rsidRPr="00331BA5">
        <w:rPr>
          <w:rFonts w:ascii="Arial" w:eastAsia="Arial" w:hAnsi="Arial" w:cs="Arial"/>
          <w:i/>
          <w:color w:val="000000"/>
        </w:rPr>
        <w:t>In Search of Excellence: Lessons from America's Best-Run Companies</w:t>
      </w:r>
      <w:r w:rsidRPr="00331BA5">
        <w:rPr>
          <w:rFonts w:ascii="Arial" w:eastAsia="Arial" w:hAnsi="Arial" w:cs="Arial"/>
          <w:color w:val="000000"/>
        </w:rPr>
        <w:t>. New York: Harper &amp; Row.</w:t>
      </w:r>
    </w:p>
    <w:p w14:paraId="6E59F21B"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Salanova, M., Agut, S. and Peiró, J.M. (2005)</w:t>
      </w:r>
      <w:r w:rsidRPr="00331BA5">
        <w:rPr>
          <w:rFonts w:ascii="Arial" w:eastAsia="Arial" w:hAnsi="Arial" w:cs="Arial"/>
          <w:color w:val="000000"/>
        </w:rPr>
        <w:t xml:space="preserve"> 'Linking organizational resources and work engagement to employee performance and customer loyalty: The mediating role of service climate', </w:t>
      </w:r>
      <w:r w:rsidRPr="00331BA5">
        <w:rPr>
          <w:rFonts w:ascii="Arial" w:eastAsia="Arial" w:hAnsi="Arial" w:cs="Arial"/>
          <w:i/>
          <w:color w:val="000000"/>
        </w:rPr>
        <w:t>Journal of Applied Psychology</w:t>
      </w:r>
      <w:r w:rsidRPr="00331BA5">
        <w:rPr>
          <w:rFonts w:ascii="Arial" w:eastAsia="Arial" w:hAnsi="Arial" w:cs="Arial"/>
          <w:color w:val="000000"/>
        </w:rPr>
        <w:t>, 90(6), pp. 1217-1227.</w:t>
      </w:r>
    </w:p>
    <w:p w14:paraId="0BA9E814"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Schein, E.H. (2010)</w:t>
      </w:r>
      <w:r w:rsidRPr="00331BA5">
        <w:rPr>
          <w:rFonts w:ascii="Arial" w:eastAsia="Arial" w:hAnsi="Arial" w:cs="Arial"/>
          <w:color w:val="000000"/>
        </w:rPr>
        <w:t xml:space="preserve"> </w:t>
      </w:r>
      <w:r w:rsidRPr="00331BA5">
        <w:rPr>
          <w:rFonts w:ascii="Arial" w:eastAsia="Arial" w:hAnsi="Arial" w:cs="Arial"/>
          <w:i/>
          <w:color w:val="000000"/>
        </w:rPr>
        <w:t>Organizational Culture and Leadership</w:t>
      </w:r>
      <w:r w:rsidRPr="00331BA5">
        <w:rPr>
          <w:rFonts w:ascii="Arial" w:eastAsia="Arial" w:hAnsi="Arial" w:cs="Arial"/>
          <w:color w:val="000000"/>
        </w:rPr>
        <w:t>. 4th edn. San Francisco: Jossey-Bass.</w:t>
      </w:r>
    </w:p>
    <w:p w14:paraId="1038FAE5"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Tepeci, M. and Bartlett, A.L.B. (2002)</w:t>
      </w:r>
      <w:r w:rsidRPr="00331BA5">
        <w:rPr>
          <w:rFonts w:ascii="Arial" w:eastAsia="Arial" w:hAnsi="Arial" w:cs="Arial"/>
          <w:color w:val="000000"/>
        </w:rPr>
        <w:t xml:space="preserve"> 'The hospitality industry culture profile: A measure of individual values, organizational culture, and person-organization fit as predictors of job satisfaction and behavioural intentions', </w:t>
      </w:r>
      <w:r w:rsidRPr="00331BA5">
        <w:rPr>
          <w:rFonts w:ascii="Arial" w:eastAsia="Arial" w:hAnsi="Arial" w:cs="Arial"/>
          <w:i/>
          <w:color w:val="000000"/>
        </w:rPr>
        <w:t>International Journal of Hospitality Management</w:t>
      </w:r>
      <w:r w:rsidRPr="00331BA5">
        <w:rPr>
          <w:rFonts w:ascii="Arial" w:eastAsia="Arial" w:hAnsi="Arial" w:cs="Arial"/>
          <w:color w:val="000000"/>
        </w:rPr>
        <w:t>, 21(2), pp. 151-170.</w:t>
      </w:r>
    </w:p>
    <w:p w14:paraId="74FDDC6F"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t>Xanthopoulou, D., Bakker, A.B., Demerouti, E. and Schaufeli, W.B. (2009)</w:t>
      </w:r>
      <w:r w:rsidRPr="00331BA5">
        <w:rPr>
          <w:rFonts w:ascii="Arial" w:eastAsia="Arial" w:hAnsi="Arial" w:cs="Arial"/>
          <w:color w:val="000000"/>
        </w:rPr>
        <w:t xml:space="preserve"> 'Work engagement and financial returns: A diary study on the role of job and personal resources', </w:t>
      </w:r>
      <w:r w:rsidRPr="00331BA5">
        <w:rPr>
          <w:rFonts w:ascii="Arial" w:eastAsia="Arial" w:hAnsi="Arial" w:cs="Arial"/>
          <w:i/>
          <w:color w:val="000000"/>
        </w:rPr>
        <w:t>Journal of Occupational and Organizational Psychology</w:t>
      </w:r>
      <w:r w:rsidRPr="00331BA5">
        <w:rPr>
          <w:rFonts w:ascii="Arial" w:eastAsia="Arial" w:hAnsi="Arial" w:cs="Arial"/>
          <w:color w:val="000000"/>
        </w:rPr>
        <w:t>, 82(1), pp. 183-200.</w:t>
      </w:r>
    </w:p>
    <w:p w14:paraId="49FE85D6" w14:textId="77777777" w:rsidR="00F04EB8" w:rsidRPr="00331BA5" w:rsidRDefault="00000000" w:rsidP="00331BA5">
      <w:pPr>
        <w:numPr>
          <w:ilvl w:val="0"/>
          <w:numId w:val="2"/>
        </w:numPr>
        <w:pBdr>
          <w:top w:val="nil"/>
          <w:left w:val="nil"/>
          <w:bottom w:val="nil"/>
          <w:right w:val="nil"/>
          <w:between w:val="nil"/>
        </w:pBdr>
        <w:spacing w:after="0" w:line="360" w:lineRule="auto"/>
        <w:rPr>
          <w:rFonts w:ascii="Arial" w:eastAsia="Arial" w:hAnsi="Arial" w:cs="Arial"/>
          <w:color w:val="000000"/>
        </w:rPr>
      </w:pPr>
      <w:r w:rsidRPr="00331BA5">
        <w:rPr>
          <w:rFonts w:ascii="Arial" w:eastAsia="Arial" w:hAnsi="Arial" w:cs="Arial"/>
          <w:b/>
          <w:color w:val="000000"/>
        </w:rPr>
        <w:lastRenderedPageBreak/>
        <w:t>Yang, J.T. (2010)</w:t>
      </w:r>
      <w:r w:rsidRPr="00331BA5">
        <w:rPr>
          <w:rFonts w:ascii="Arial" w:eastAsia="Arial" w:hAnsi="Arial" w:cs="Arial"/>
          <w:color w:val="000000"/>
        </w:rPr>
        <w:t xml:space="preserve"> 'Antecedents and consequences of job satisfaction in the hotel industry', </w:t>
      </w:r>
      <w:r w:rsidRPr="00331BA5">
        <w:rPr>
          <w:rFonts w:ascii="Arial" w:eastAsia="Arial" w:hAnsi="Arial" w:cs="Arial"/>
          <w:i/>
          <w:color w:val="000000"/>
        </w:rPr>
        <w:t>International Journal of Hospitality Management</w:t>
      </w:r>
      <w:r w:rsidRPr="00331BA5">
        <w:rPr>
          <w:rFonts w:ascii="Arial" w:eastAsia="Arial" w:hAnsi="Arial" w:cs="Arial"/>
          <w:color w:val="000000"/>
        </w:rPr>
        <w:t>, 29(4), pp. 609-619.</w:t>
      </w:r>
    </w:p>
    <w:p w14:paraId="446131CB" w14:textId="77777777" w:rsidR="00F04EB8" w:rsidRDefault="00F04EB8">
      <w:pPr>
        <w:spacing w:line="360" w:lineRule="auto"/>
        <w:jc w:val="both"/>
        <w:rPr>
          <w:rFonts w:ascii="Arial" w:eastAsia="Arial" w:hAnsi="Arial" w:cs="Arial"/>
        </w:rPr>
      </w:pPr>
    </w:p>
    <w:sectPr w:rsidR="00F04EB8">
      <w:footerReference w:type="default" r:id="rId11"/>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30733" w14:textId="77777777" w:rsidR="008C0294" w:rsidRDefault="008C0294" w:rsidP="00331BA5">
      <w:pPr>
        <w:spacing w:after="0" w:line="240" w:lineRule="auto"/>
      </w:pPr>
      <w:r>
        <w:separator/>
      </w:r>
    </w:p>
  </w:endnote>
  <w:endnote w:type="continuationSeparator" w:id="0">
    <w:p w14:paraId="544DA208" w14:textId="77777777" w:rsidR="008C0294" w:rsidRDefault="008C0294" w:rsidP="00331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714F7555-BAC7-44A0-9227-151171ED3171}"/>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embedRegular r:id="rId2" w:fontKey="{48E3DBC4-3C33-4982-B923-1012A34A6530}"/>
    <w:embedItalic r:id="rId3" w:fontKey="{3235C8F7-3270-49E6-844E-DF8779A1DAE1}"/>
    <w:embedBoldItalic r:id="rId4" w:fontKey="{42D5C33F-D323-4B1F-8304-646BA4875541}"/>
  </w:font>
  <w:font w:name="Aptos Display">
    <w:charset w:val="00"/>
    <w:family w:val="swiss"/>
    <w:pitch w:val="variable"/>
    <w:sig w:usb0="20000287" w:usb1="00000003" w:usb2="00000000" w:usb3="00000000" w:csb0="0000019F" w:csb1="00000000"/>
    <w:embedRegular r:id="rId5" w:fontKey="{8FF0579D-9DBF-4912-943C-573C4CA1AB4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EAE279BD-DF34-4F4E-A556-A2F33720BC62}"/>
    <w:embedItalic r:id="rId7" w:fontKey="{38DD7CE6-CE47-4783-B62A-913510E076FA}"/>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embedRegular r:id="rId8" w:fontKey="{E8E011C9-AC74-40FB-8A26-51EEC450EC6D}"/>
    <w:embedBold r:id="rId9" w:fontKey="{52DB4D0F-2353-4D2E-A62B-4483ED3C6FE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4343776"/>
      <w:docPartObj>
        <w:docPartGallery w:val="Page Numbers (Bottom of Page)"/>
        <w:docPartUnique/>
      </w:docPartObj>
    </w:sdtPr>
    <w:sdtContent>
      <w:p w14:paraId="0785DD4D" w14:textId="79D38FE7" w:rsidR="00331BA5" w:rsidRDefault="00331BA5">
        <w:pPr>
          <w:pStyle w:val="Footer"/>
          <w:jc w:val="center"/>
        </w:pPr>
        <w:r>
          <w:fldChar w:fldCharType="begin"/>
        </w:r>
        <w:r>
          <w:instrText>PAGE   \* MERGEFORMAT</w:instrText>
        </w:r>
        <w:r>
          <w:fldChar w:fldCharType="separate"/>
        </w:r>
        <w:r>
          <w:t>2</w:t>
        </w:r>
        <w:r>
          <w:fldChar w:fldCharType="end"/>
        </w:r>
      </w:p>
    </w:sdtContent>
  </w:sdt>
  <w:p w14:paraId="3D8515D3" w14:textId="77777777" w:rsidR="00331BA5" w:rsidRDefault="00331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E2012" w14:textId="77777777" w:rsidR="008C0294" w:rsidRDefault="008C0294" w:rsidP="00331BA5">
      <w:pPr>
        <w:spacing w:after="0" w:line="240" w:lineRule="auto"/>
      </w:pPr>
      <w:r>
        <w:separator/>
      </w:r>
    </w:p>
  </w:footnote>
  <w:footnote w:type="continuationSeparator" w:id="0">
    <w:p w14:paraId="59AB669D" w14:textId="77777777" w:rsidR="008C0294" w:rsidRDefault="008C0294" w:rsidP="00331B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86395"/>
    <w:multiLevelType w:val="multilevel"/>
    <w:tmpl w:val="2DD6C3D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FFD0127"/>
    <w:multiLevelType w:val="multilevel"/>
    <w:tmpl w:val="C8BC919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727A7472"/>
    <w:multiLevelType w:val="multilevel"/>
    <w:tmpl w:val="3014E3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6435819">
    <w:abstractNumId w:val="0"/>
  </w:num>
  <w:num w:numId="2" w16cid:durableId="315308435">
    <w:abstractNumId w:val="2"/>
  </w:num>
  <w:num w:numId="3" w16cid:durableId="19046817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4EB8"/>
    <w:rsid w:val="00331BA5"/>
    <w:rsid w:val="003F0736"/>
    <w:rsid w:val="00436D11"/>
    <w:rsid w:val="004E7678"/>
    <w:rsid w:val="008C0294"/>
    <w:rsid w:val="009022E8"/>
    <w:rsid w:val="00F04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C8211"/>
  <w15:docId w15:val="{81AB3485-6F86-453D-8A60-9329B45D0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Pr>
      <w:color w:val="595959"/>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E51C58"/>
    <w:pPr>
      <w:spacing w:after="0" w:line="240" w:lineRule="auto"/>
      <w:ind w:left="720"/>
      <w:contextualSpacing/>
    </w:pPr>
    <w:rPr>
      <w:rFonts w:ascii="Times New Roman" w:hAnsi="Times New Roman" w:cs="Times New Roman"/>
    </w:rPr>
  </w:style>
  <w:style w:type="character" w:styleId="Hyperlink">
    <w:name w:val="Hyperlink"/>
    <w:basedOn w:val="DefaultParagraphFont"/>
    <w:uiPriority w:val="99"/>
    <w:unhideWhenUsed/>
    <w:rsid w:val="001D7C6F"/>
    <w:rPr>
      <w:color w:val="467886" w:themeColor="hyperlink"/>
      <w:u w:val="single"/>
    </w:rPr>
  </w:style>
  <w:style w:type="character" w:styleId="UnresolvedMention">
    <w:name w:val="Unresolved Mention"/>
    <w:basedOn w:val="DefaultParagraphFont"/>
    <w:uiPriority w:val="99"/>
    <w:semiHidden/>
    <w:unhideWhenUsed/>
    <w:rsid w:val="001D7C6F"/>
    <w:rPr>
      <w:color w:val="605E5C"/>
      <w:shd w:val="clear" w:color="auto" w:fill="E1DFDD"/>
    </w:rPr>
  </w:style>
  <w:style w:type="character" w:styleId="FollowedHyperlink">
    <w:name w:val="FollowedHyperlink"/>
    <w:basedOn w:val="DefaultParagraphFont"/>
    <w:uiPriority w:val="99"/>
    <w:semiHidden/>
    <w:unhideWhenUsed/>
    <w:rsid w:val="001D7C6F"/>
    <w:rPr>
      <w:color w:val="96607D" w:themeColor="followedHyperlink"/>
      <w:u w:val="single"/>
    </w:rPr>
  </w:style>
  <w:style w:type="paragraph" w:styleId="NoSpacing">
    <w:name w:val="No Spacing"/>
    <w:link w:val="NoSpacingChar"/>
    <w:uiPriority w:val="1"/>
    <w:qFormat/>
    <w:rsid w:val="001D7C6F"/>
    <w:pPr>
      <w:spacing w:after="0" w:line="240" w:lineRule="auto"/>
    </w:pPr>
    <w:rPr>
      <w:sz w:val="22"/>
      <w:szCs w:val="22"/>
    </w:rPr>
  </w:style>
  <w:style w:type="character" w:customStyle="1" w:styleId="NoSpacingChar">
    <w:name w:val="No Spacing Char"/>
    <w:basedOn w:val="DefaultParagraphFont"/>
    <w:link w:val="NoSpacing"/>
    <w:uiPriority w:val="1"/>
    <w:rsid w:val="001D7C6F"/>
    <w:rPr>
      <w:sz w:val="22"/>
      <w:szCs w:val="22"/>
      <w:lang w:eastAsia="en-GB"/>
    </w:rPr>
  </w:style>
  <w:style w:type="paragraph" w:styleId="Header">
    <w:name w:val="header"/>
    <w:basedOn w:val="Normal"/>
    <w:link w:val="HeaderChar"/>
    <w:uiPriority w:val="99"/>
    <w:unhideWhenUsed/>
    <w:rsid w:val="00331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BA5"/>
  </w:style>
  <w:style w:type="paragraph" w:styleId="Footer">
    <w:name w:val="footer"/>
    <w:basedOn w:val="Normal"/>
    <w:link w:val="FooterChar"/>
    <w:uiPriority w:val="99"/>
    <w:unhideWhenUsed/>
    <w:rsid w:val="00331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andfonline.com/doi/abs/10.1080/15332845.2023.2180963"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cWI4WSiWokFW/tdvZo2qpvOPSA==">CgMxLjA4AHIhMTBGMFJtbE1DaDlCaTNwLWRDcVlLYjUtTHJmQmhEdkg2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2938</Words>
  <Characters>16747</Characters>
  <Application>Microsoft Office Word</Application>
  <DocSecurity>0</DocSecurity>
  <Lines>139</Lines>
  <Paragraphs>39</Paragraphs>
  <ScaleCrop>false</ScaleCrop>
  <Company/>
  <LinksUpToDate>false</LinksUpToDate>
  <CharactersWithSpaces>19646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Marin Evciuc</dc:creator>
  <cp:lastModifiedBy>Nicoleta Mocanu (2220990)</cp:lastModifiedBy>
  <cp:revision>3</cp:revision>
  <dcterms:created xsi:type="dcterms:W3CDTF">2025-02-04T17:43:00Z</dcterms:created>
  <dcterms:modified xsi:type="dcterms:W3CDTF">2025-02-28T15:49:00Z</dcterms:modified>
</cp:coreProperties>
</file>