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26253455"/>
        <w:docPartObj>
          <w:docPartGallery w:val="Cover Pages"/>
          <w:docPartUnique/>
        </w:docPartObj>
      </w:sdtPr>
      <w:sdtEndPr>
        <w:rPr>
          <w:rFonts w:eastAsia="Calibri" w:cstheme="minorHAnsi"/>
          <w:sz w:val="28"/>
          <w:szCs w:val="28"/>
        </w:rPr>
      </w:sdtEndPr>
      <w:sdtContent>
        <w:p w14:paraId="4B68B561" w14:textId="1A6EF082" w:rsidR="004D4411" w:rsidRDefault="004D4411">
          <w:r>
            <w:rPr>
              <w:noProof/>
            </w:rPr>
            <mc:AlternateContent>
              <mc:Choice Requires="wps">
                <w:drawing>
                  <wp:anchor distT="0" distB="0" distL="114300" distR="114300" simplePos="0" relativeHeight="251661312" behindDoc="0" locked="0" layoutInCell="1" allowOverlap="1" wp14:anchorId="08E9B5BE" wp14:editId="3FCB13E5">
                    <wp:simplePos x="0" y="0"/>
                    <wp:positionH relativeFrom="page">
                      <wp:posOffset>3510134</wp:posOffset>
                    </wp:positionH>
                    <wp:positionV relativeFrom="page">
                      <wp:posOffset>1151304</wp:posOffset>
                    </wp:positionV>
                    <wp:extent cx="2797810" cy="7795846"/>
                    <wp:effectExtent l="0" t="0" r="0" b="0"/>
                    <wp:wrapSquare wrapText="bothSides"/>
                    <wp:docPr id="470" name="Text Box 7"/>
                    <wp:cNvGraphicFramePr/>
                    <a:graphic xmlns:a="http://schemas.openxmlformats.org/drawingml/2006/main">
                      <a:graphicData uri="http://schemas.microsoft.com/office/word/2010/wordprocessingShape">
                        <wps:wsp>
                          <wps:cNvSpPr txBox="1"/>
                          <wps:spPr>
                            <a:xfrm>
                              <a:off x="0" y="0"/>
                              <a:ext cx="2797810" cy="7795846"/>
                            </a:xfrm>
                            <a:prstGeom prst="rect">
                              <a:avLst/>
                            </a:prstGeom>
                            <a:noFill/>
                            <a:ln w="6350">
                              <a:noFill/>
                            </a:ln>
                            <a:effectLst/>
                          </wps:spPr>
                          <wps:txbx>
                            <w:txbxContent>
                              <w:sdt>
                                <w:sdtPr>
                                  <w:rPr>
                                    <w:rFonts w:asciiTheme="majorHAnsi" w:eastAsiaTheme="majorEastAsia" w:hAnsiTheme="majorHAnsi" w:cstheme="majorBidi"/>
                                    <w:noProof/>
                                    <w:color w:val="000000" w:themeColor="text1"/>
                                    <w:sz w:val="5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684EAB6F" w14:textId="22A6F874" w:rsidR="004D4411" w:rsidRPr="004D4411" w:rsidRDefault="004D4411" w:rsidP="004D4411">
                                    <w:pPr>
                                      <w:spacing w:line="240" w:lineRule="auto"/>
                                      <w:jc w:val="center"/>
                                      <w:rPr>
                                        <w:rFonts w:asciiTheme="majorHAnsi" w:eastAsiaTheme="majorEastAsia" w:hAnsiTheme="majorHAnsi" w:cstheme="majorBidi"/>
                                        <w:noProof/>
                                        <w:color w:val="000000" w:themeColor="text1"/>
                                        <w:sz w:val="52"/>
                                        <w:szCs w:val="72"/>
                                      </w:rPr>
                                    </w:pPr>
                                    <w:r w:rsidRPr="004D4411">
                                      <w:rPr>
                                        <w:rFonts w:asciiTheme="majorHAnsi" w:eastAsiaTheme="majorEastAsia" w:hAnsiTheme="majorHAnsi" w:cstheme="majorBidi"/>
                                        <w:noProof/>
                                        <w:color w:val="000000" w:themeColor="text1"/>
                                        <w:sz w:val="52"/>
                                        <w:szCs w:val="72"/>
                                      </w:rPr>
                                      <w:t>Critically evaluate how past incidents within the community have shaped best practices regarding the use of Section 1 Stop Search Powers. Consider standards of professional behaviour and the Code of Ethics.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D13B637" w14:textId="60C79732" w:rsidR="004D4411" w:rsidRDefault="004D4411" w:rsidP="004D4411">
                                    <w:pPr>
                                      <w:jc w:val="cente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Operational Policing</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type w14:anchorId="08E9B5BE" id="_x0000_t202" coordsize="21600,21600" o:spt="202" path="m,l,21600r21600,l21600,xe">
                    <v:stroke joinstyle="miter"/>
                    <v:path gradientshapeok="t" o:connecttype="rect"/>
                  </v:shapetype>
                  <v:shape id="Text Box 7" o:spid="_x0000_s1026" type="#_x0000_t202" style="position:absolute;margin-left:276.4pt;margin-top:90.65pt;width:220.3pt;height:613.85pt;z-index:251661312;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" filled="f" stroked="f" strokeweight=".5pt">
                    <v:textbox>
                      <w:txbxContent>
                        <w:sdt>
                          <w:sdtPr>
                            <w:rPr>
                              <w:rFonts w:asciiTheme="majorHAnsi" w:eastAsiaTheme="majorEastAsia" w:hAnsiTheme="majorHAnsi" w:cstheme="majorBidi"/>
                              <w:noProof/>
                              <w:color w:val="000000" w:themeColor="text1"/>
                              <w:sz w:val="5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684EAB6F" w14:textId="22A6F874" w:rsidR="004D4411" w:rsidRPr="004D4411" w:rsidRDefault="004D4411" w:rsidP="004D4411">
                              <w:pPr>
                                <w:spacing w:line="240" w:lineRule="auto"/>
                                <w:jc w:val="center"/>
                                <w:rPr>
                                  <w:rFonts w:asciiTheme="majorHAnsi" w:eastAsiaTheme="majorEastAsia" w:hAnsiTheme="majorHAnsi" w:cstheme="majorBidi"/>
                                  <w:noProof/>
                                  <w:color w:val="000000" w:themeColor="text1"/>
                                  <w:sz w:val="52"/>
                                  <w:szCs w:val="72"/>
                                </w:rPr>
                              </w:pPr>
                              <w:r w:rsidRPr="004D4411">
                                <w:rPr>
                                  <w:rFonts w:asciiTheme="majorHAnsi" w:eastAsiaTheme="majorEastAsia" w:hAnsiTheme="majorHAnsi" w:cstheme="majorBidi"/>
                                  <w:noProof/>
                                  <w:color w:val="000000" w:themeColor="text1"/>
                                  <w:sz w:val="52"/>
                                  <w:szCs w:val="72"/>
                                </w:rPr>
                                <w:t>Critically evaluate how past incidents within the community have shaped best practices regarding the use of Section 1 Stop Search Powers. Consider standards of professional behaviour and the Code of Ethics.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D13B637" w14:textId="60C79732" w:rsidR="004D4411" w:rsidRDefault="004D4411" w:rsidP="004D4411">
                              <w:pPr>
                                <w:jc w:val="cente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Operational Policing</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188B717" wp14:editId="6FDF4E42">
                    <wp:simplePos x="0" y="0"/>
                    <wp:positionH relativeFrom="page">
                      <wp:posOffset>3364523</wp:posOffset>
                    </wp:positionH>
                    <wp:positionV relativeFrom="page">
                      <wp:posOffset>-5861538</wp:posOffset>
                    </wp:positionV>
                    <wp:extent cx="2875915" cy="2861895"/>
                    <wp:effectExtent l="0" t="0" r="0" b="0"/>
                    <wp:wrapNone/>
                    <wp:docPr id="467" name="Rectangle 4"/>
                    <wp:cNvGraphicFramePr/>
                    <a:graphic xmlns:a="http://schemas.openxmlformats.org/drawingml/2006/main">
                      <a:graphicData uri="http://schemas.microsoft.com/office/word/2010/wordprocessingShape">
                        <wps:wsp>
                          <wps:cNvSpPr/>
                          <wps:spPr>
                            <a:xfrm>
                              <a:off x="0" y="0"/>
                              <a:ext cx="2875915" cy="286189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C1367E9" w14:textId="77777777" w:rsidR="004D4411" w:rsidRDefault="004D4411">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[Draw your reader in with an engaging abstract. It is typically a short summary of the document. When you’re ready to add your content, just click here and start typing.]</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4188B717" id="Rectangle 4" o:spid="_x0000_s1027" style="position:absolute;margin-left:264.9pt;margin-top:-461.55pt;width:226.45pt;height:225.35pt;z-index:251660288;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" fillcolor="#44546a [3215]" stroked="f" strokeweight="1pt">
                    <v:textbox inset="14.4pt,14.4pt,14.4pt,28.8pt">
                      <w:txbxContent>
                        <w:p w14:paraId="3C1367E9" w14:textId="77777777" w:rsidR="004D4411" w:rsidRDefault="004D4411">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[Draw your reader in with an engaging abstract. It is typically a short summary of the document. When you’re ready to add your content, just click here and start typing.]</w:t>
                              </w:r>
                            </w:sdtContent>
                          </w:sdt>
                        </w:p>
                      </w:txbxContent>
                    </v:textbox>
                    <w10:wrap anchorx="page" anchory="page"/>
                  </v:rect>
                </w:pict>
              </mc:Fallback>
            </mc:AlternateContent>
          </w:r>
          <w:r>
            <w:rPr>
              <w:noProof/>
            </w:rPr>
            <mc:AlternateContent>
              <mc:Choice Requires="wps">
                <w:drawing>
                  <wp:anchor distT="0" distB="0" distL="114300" distR="114300" simplePos="0" relativeHeight="251664384" behindDoc="0" locked="0" layoutInCell="1" allowOverlap="1" wp14:anchorId="0B032C9F" wp14:editId="7AD88013">
                    <wp:simplePos x="0" y="0"/>
                    <wp:positionH relativeFrom="page">
                      <wp:posOffset>3364523</wp:posOffset>
                    </wp:positionH>
                    <wp:positionV relativeFrom="page">
                      <wp:posOffset>926123</wp:posOffset>
                    </wp:positionV>
                    <wp:extent cx="2797810" cy="225507"/>
                    <wp:effectExtent l="0" t="0" r="0" b="0"/>
                    <wp:wrapSquare wrapText="bothSides"/>
                    <wp:docPr id="465" name="Text Box 2"/>
                    <wp:cNvGraphicFramePr/>
                    <a:graphic xmlns:a="http://schemas.openxmlformats.org/drawingml/2006/main">
                      <a:graphicData uri="http://schemas.microsoft.com/office/word/2010/wordprocessingShape">
                        <wps:wsp>
                          <wps:cNvSpPr txBox="1"/>
                          <wps:spPr>
                            <a:xfrm>
                              <a:off x="0" y="0"/>
                              <a:ext cx="2797810" cy="225507"/>
                            </a:xfrm>
                            <a:prstGeom prst="rect">
                              <a:avLst/>
                            </a:prstGeom>
                            <a:noFill/>
                            <a:ln w="6350">
                              <a:noFill/>
                            </a:ln>
                            <a:effectLst/>
                          </wps:spPr>
                          <wps:txbx>
                            <w:txbxContent>
                              <w:p w14:paraId="3A8BC591" w14:textId="3EBD3CE2" w:rsidR="004D4411" w:rsidRDefault="004D4411" w:rsidP="004D4411">
                                <w:pPr>
                                  <w:pStyle w:val="NoSpacing"/>
                                  <w:jc w:val="center"/>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Kimberley Collins (2223837)</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w14:anchorId="0B032C9F" id="Text Box 2" o:spid="_x0000_s1028" type="#_x0000_t202" style="position:absolute;margin-left:264.9pt;margin-top:72.9pt;width:220.3pt;height:17.7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" filled="f" stroked="f" strokeweight=".5pt">
                    <v:textbox>
                      <w:txbxContent>
                        <w:p w14:paraId="3A8BC591" w14:textId="3EBD3CE2" w:rsidR="004D4411" w:rsidRDefault="004D4411" w:rsidP="004D4411">
                          <w:pPr>
                            <w:pStyle w:val="NoSpacing"/>
                            <w:jc w:val="center"/>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Kimberley Collins (2223837)</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3735CC1D" wp14:editId="076BA35F">
                    <wp:simplePos x="0" y="0"/>
                    <wp:positionH relativeFrom="page">
                      <wp:align>center</wp:align>
                    </wp:positionH>
                    <wp:positionV relativeFrom="page">
                      <wp:align>center</wp:align>
                    </wp:positionV>
                    <wp:extent cx="7383780" cy="9555480"/>
                    <wp:effectExtent l="0" t="0" r="7620" b="7620"/>
                    <wp:wrapNone/>
                    <wp:docPr id="46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F272717" w14:textId="77777777" w:rsidR="004D4411" w:rsidRDefault="004D4411"/>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735CC1D" id="Rectangle 3" o:spid="_x0000_s1029"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" fillcolor="#d9e2f3 [660]" stroked="f" strokeweight="1pt">
                    <v:fill color2="#8eaadb [1940]" rotate="t" focus="100%" type="gradient">
                      <o:fill v:ext="view" type="gradientUnscaled"/>
                    </v:fill>
                    <v:textbox inset="21.6pt,,21.6pt">
                      <w:txbxContent>
                        <w:p w14:paraId="1F272717" w14:textId="77777777" w:rsidR="004D4411" w:rsidRDefault="004D4411"/>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4A135FCE" wp14:editId="47671E39">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5"/>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BEFD993" id="Rectangle 5"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&#13;&#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51C7A9F4" wp14:editId="59FF38B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6"/>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3321B564" id="Rectangle 6"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" fillcolor="#4472c4 [3204]" stroked="f" strokeweight="1pt">
                    <w10:wrap anchorx="page" anchory="page"/>
                  </v:rect>
                </w:pict>
              </mc:Fallback>
            </mc:AlternateContent>
          </w:r>
        </w:p>
        <w:p w14:paraId="0DBD845E" w14:textId="03204ECA" w:rsidR="004D4411" w:rsidRDefault="004D4411">
          <w:pPr>
            <w:rPr>
              <w:rFonts w:eastAsia="Calibri" w:cstheme="minorHAnsi"/>
              <w:sz w:val="28"/>
              <w:szCs w:val="28"/>
            </w:rPr>
          </w:pPr>
          <w:r>
            <w:rPr>
              <w:rFonts w:eastAsia="Calibri" w:cstheme="minorHAnsi"/>
              <w:sz w:val="28"/>
              <w:szCs w:val="28"/>
            </w:rPr>
            <w:br w:type="page"/>
          </w:r>
        </w:p>
      </w:sdtContent>
    </w:sdt>
    <w:p w14:paraId="7B1691F0" w14:textId="4F7395E1" w:rsidR="008D6A16" w:rsidRDefault="00795D3F" w:rsidP="004D4411">
      <w:pPr>
        <w:spacing w:line="360" w:lineRule="auto"/>
        <w:jc w:val="center"/>
        <w:rPr>
          <w:rFonts w:eastAsia="Calibri" w:cstheme="minorHAnsi"/>
          <w:sz w:val="28"/>
          <w:szCs w:val="28"/>
        </w:rPr>
      </w:pPr>
      <w:r w:rsidRPr="00795D3F">
        <w:rPr>
          <w:rFonts w:eastAsia="Calibri" w:cstheme="minorHAnsi"/>
          <w:sz w:val="28"/>
          <w:szCs w:val="28"/>
        </w:rPr>
        <w:lastRenderedPageBreak/>
        <w:t xml:space="preserve">The use of Section 1 Stop and Search Powers by </w:t>
      </w:r>
      <w:r w:rsidR="007A269D">
        <w:rPr>
          <w:rFonts w:eastAsia="Calibri" w:cstheme="minorHAnsi"/>
          <w:sz w:val="28"/>
          <w:szCs w:val="28"/>
        </w:rPr>
        <w:t>police forces</w:t>
      </w:r>
      <w:r w:rsidRPr="00795D3F">
        <w:rPr>
          <w:rFonts w:eastAsia="Calibri" w:cstheme="minorHAnsi"/>
          <w:sz w:val="28"/>
          <w:szCs w:val="28"/>
        </w:rPr>
        <w:t xml:space="preserve"> has long been </w:t>
      </w:r>
      <w:r w:rsidR="003E6697">
        <w:rPr>
          <w:rFonts w:eastAsia="Calibri" w:cstheme="minorHAnsi"/>
          <w:sz w:val="28"/>
          <w:szCs w:val="28"/>
        </w:rPr>
        <w:t>controversial and debated</w:t>
      </w:r>
      <w:r w:rsidRPr="00795D3F">
        <w:rPr>
          <w:rFonts w:eastAsia="Calibri" w:cstheme="minorHAnsi"/>
          <w:sz w:val="28"/>
          <w:szCs w:val="28"/>
        </w:rPr>
        <w:t xml:space="preserve"> in the United Kingdom. These powers grant police officers the authority to stop and search individuals under specific circumstances</w:t>
      </w:r>
      <w:r w:rsidR="00205E9D">
        <w:rPr>
          <w:rFonts w:eastAsia="Calibri" w:cstheme="minorHAnsi"/>
          <w:sz w:val="28"/>
          <w:szCs w:val="28"/>
        </w:rPr>
        <w:t xml:space="preserve"> however they must ha</w:t>
      </w:r>
      <w:r w:rsidR="00956EFF">
        <w:rPr>
          <w:rFonts w:eastAsia="Calibri" w:cstheme="minorHAnsi"/>
          <w:sz w:val="28"/>
          <w:szCs w:val="28"/>
        </w:rPr>
        <w:t>ve reasonable grounds for the search (College of Policing,</w:t>
      </w:r>
      <w:r w:rsidR="007C68DC">
        <w:rPr>
          <w:rFonts w:eastAsia="Calibri" w:cstheme="minorHAnsi"/>
          <w:sz w:val="28"/>
          <w:szCs w:val="28"/>
        </w:rPr>
        <w:t xml:space="preserve"> 2017). </w:t>
      </w:r>
      <w:r w:rsidRPr="00795D3F">
        <w:rPr>
          <w:rFonts w:eastAsia="Calibri" w:cstheme="minorHAnsi"/>
          <w:sz w:val="28"/>
          <w:szCs w:val="28"/>
        </w:rPr>
        <w:t xml:space="preserve">The history of </w:t>
      </w:r>
      <w:r>
        <w:rPr>
          <w:rFonts w:eastAsia="Calibri" w:cstheme="minorHAnsi"/>
          <w:sz w:val="28"/>
          <w:szCs w:val="28"/>
        </w:rPr>
        <w:t>stop-and-search</w:t>
      </w:r>
      <w:r w:rsidRPr="00795D3F">
        <w:rPr>
          <w:rFonts w:eastAsia="Calibri" w:cstheme="minorHAnsi"/>
          <w:sz w:val="28"/>
          <w:szCs w:val="28"/>
        </w:rPr>
        <w:t xml:space="preserve"> powers is marked by past incidents that have raised significant concerns about their application, particularly regarding civil liberties, human rights, and racial discrimination</w:t>
      </w:r>
      <w:r w:rsidR="00A60FEC">
        <w:rPr>
          <w:rFonts w:eastAsia="Calibri" w:cstheme="minorHAnsi"/>
          <w:sz w:val="28"/>
          <w:szCs w:val="28"/>
        </w:rPr>
        <w:t xml:space="preserve"> </w:t>
      </w:r>
      <w:r w:rsidR="00A94399">
        <w:rPr>
          <w:rFonts w:eastAsia="Calibri" w:cstheme="minorHAnsi"/>
          <w:sz w:val="28"/>
          <w:szCs w:val="28"/>
        </w:rPr>
        <w:t>(</w:t>
      </w:r>
      <w:proofErr w:type="spellStart"/>
      <w:r w:rsidR="00A60FEC" w:rsidRPr="00A93E07">
        <w:rPr>
          <w:rFonts w:cstheme="minorHAnsi"/>
          <w:color w:val="333333"/>
          <w:sz w:val="28"/>
          <w:szCs w:val="28"/>
          <w:shd w:val="clear" w:color="auto" w:fill="FBFBFB"/>
        </w:rPr>
        <w:t>Nikolls</w:t>
      </w:r>
      <w:proofErr w:type="spellEnd"/>
      <w:r w:rsidR="00A60FEC" w:rsidRPr="00A93E07">
        <w:rPr>
          <w:rFonts w:cstheme="minorHAnsi"/>
          <w:color w:val="333333"/>
          <w:sz w:val="28"/>
          <w:szCs w:val="28"/>
          <w:shd w:val="clear" w:color="auto" w:fill="FBFBFB"/>
        </w:rPr>
        <w:t>, L. Allen, G</w:t>
      </w:r>
      <w:r w:rsidR="00A94399">
        <w:rPr>
          <w:rFonts w:cstheme="minorHAnsi"/>
          <w:color w:val="333333"/>
          <w:sz w:val="28"/>
          <w:szCs w:val="28"/>
          <w:shd w:val="clear" w:color="auto" w:fill="FBFBFB"/>
        </w:rPr>
        <w:t xml:space="preserve">, </w:t>
      </w:r>
      <w:r w:rsidR="00A60FEC" w:rsidRPr="00A93E07">
        <w:rPr>
          <w:rFonts w:cstheme="minorHAnsi"/>
          <w:color w:val="333333"/>
          <w:sz w:val="28"/>
          <w:szCs w:val="28"/>
          <w:shd w:val="clear" w:color="auto" w:fill="FBFBFB"/>
        </w:rPr>
        <w:t>2022)</w:t>
      </w:r>
      <w:r w:rsidRPr="00795D3F">
        <w:rPr>
          <w:rFonts w:eastAsia="Calibri" w:cstheme="minorHAnsi"/>
          <w:sz w:val="28"/>
          <w:szCs w:val="28"/>
        </w:rPr>
        <w:t xml:space="preserve">. This essay critically evaluates how past incidents within the community have shaped best practices regarding the use of Section 1 Stop Search Powers, </w:t>
      </w:r>
      <w:r w:rsidR="006B126A">
        <w:rPr>
          <w:rFonts w:eastAsia="Calibri" w:cstheme="minorHAnsi"/>
          <w:sz w:val="28"/>
          <w:szCs w:val="28"/>
        </w:rPr>
        <w:t>focusing</w:t>
      </w:r>
      <w:r w:rsidRPr="00795D3F">
        <w:rPr>
          <w:rFonts w:eastAsia="Calibri" w:cstheme="minorHAnsi"/>
          <w:sz w:val="28"/>
          <w:szCs w:val="28"/>
        </w:rPr>
        <w:t xml:space="preserve"> on the impact on standards of professional </w:t>
      </w:r>
      <w:r>
        <w:rPr>
          <w:rFonts w:eastAsia="Calibri" w:cstheme="minorHAnsi"/>
          <w:sz w:val="28"/>
          <w:szCs w:val="28"/>
        </w:rPr>
        <w:t>behaviour</w:t>
      </w:r>
      <w:r w:rsidRPr="00795D3F">
        <w:rPr>
          <w:rFonts w:eastAsia="Calibri" w:cstheme="minorHAnsi"/>
          <w:sz w:val="28"/>
          <w:szCs w:val="28"/>
        </w:rPr>
        <w:t xml:space="preserve"> and adherence to the Code of Ethics in policing.</w:t>
      </w:r>
      <w:r w:rsidR="007A269D">
        <w:rPr>
          <w:rFonts w:eastAsia="Calibri" w:cstheme="minorHAnsi"/>
          <w:sz w:val="28"/>
          <w:szCs w:val="28"/>
        </w:rPr>
        <w:t xml:space="preserve"> </w:t>
      </w:r>
      <w:r w:rsidRPr="00795D3F">
        <w:rPr>
          <w:rFonts w:eastAsia="Calibri" w:cstheme="minorHAnsi"/>
          <w:sz w:val="28"/>
          <w:szCs w:val="28"/>
        </w:rPr>
        <w:t xml:space="preserve">Throughout the essay, we will explore the historical context of </w:t>
      </w:r>
      <w:r>
        <w:rPr>
          <w:rFonts w:eastAsia="Calibri" w:cstheme="minorHAnsi"/>
          <w:sz w:val="28"/>
          <w:szCs w:val="28"/>
        </w:rPr>
        <w:t>stop-and-search</w:t>
      </w:r>
      <w:r w:rsidRPr="00795D3F">
        <w:rPr>
          <w:rFonts w:eastAsia="Calibri" w:cstheme="minorHAnsi"/>
          <w:sz w:val="28"/>
          <w:szCs w:val="28"/>
        </w:rPr>
        <w:t xml:space="preserve"> powers in the UK, </w:t>
      </w:r>
      <w:r w:rsidR="003E6697">
        <w:rPr>
          <w:rFonts w:eastAsia="Calibri" w:cstheme="minorHAnsi"/>
          <w:sz w:val="28"/>
          <w:szCs w:val="28"/>
        </w:rPr>
        <w:t>specifically emphasising</w:t>
      </w:r>
      <w:r w:rsidRPr="00795D3F">
        <w:rPr>
          <w:rFonts w:eastAsia="Calibri" w:cstheme="minorHAnsi"/>
          <w:sz w:val="28"/>
          <w:szCs w:val="28"/>
        </w:rPr>
        <w:t xml:space="preserve"> the contentious issues </w:t>
      </w:r>
      <w:r w:rsidR="00CD3912">
        <w:rPr>
          <w:rFonts w:eastAsia="Calibri" w:cstheme="minorHAnsi"/>
          <w:sz w:val="28"/>
          <w:szCs w:val="28"/>
        </w:rPr>
        <w:t>arising from</w:t>
      </w:r>
      <w:r w:rsidRPr="00795D3F">
        <w:rPr>
          <w:rFonts w:eastAsia="Calibri" w:cstheme="minorHAnsi"/>
          <w:sz w:val="28"/>
          <w:szCs w:val="28"/>
        </w:rPr>
        <w:t xml:space="preserve"> their application. We will examine how these past incidents, often </w:t>
      </w:r>
      <w:r w:rsidR="006B126A">
        <w:rPr>
          <w:rFonts w:eastAsia="Calibri" w:cstheme="minorHAnsi"/>
          <w:sz w:val="28"/>
          <w:szCs w:val="28"/>
        </w:rPr>
        <w:t>characterised</w:t>
      </w:r>
      <w:r w:rsidRPr="00795D3F">
        <w:rPr>
          <w:rFonts w:eastAsia="Calibri" w:cstheme="minorHAnsi"/>
          <w:sz w:val="28"/>
          <w:szCs w:val="28"/>
        </w:rPr>
        <w:t xml:space="preserve"> by allegations of abuse and discrimination, have influenced changes in legislation and the development of legal frameworks.</w:t>
      </w:r>
    </w:p>
    <w:p w14:paraId="4A2C175E" w14:textId="77777777" w:rsidR="007C68DC" w:rsidRDefault="007C68DC" w:rsidP="004D4411">
      <w:pPr>
        <w:spacing w:line="360" w:lineRule="auto"/>
        <w:jc w:val="center"/>
        <w:rPr>
          <w:rFonts w:eastAsia="Calibri" w:cstheme="minorHAnsi"/>
          <w:sz w:val="28"/>
          <w:szCs w:val="28"/>
        </w:rPr>
      </w:pPr>
    </w:p>
    <w:p w14:paraId="5585C790" w14:textId="77777777" w:rsidR="00CD3912" w:rsidRDefault="00CD3912" w:rsidP="004D4411">
      <w:pPr>
        <w:spacing w:line="360" w:lineRule="auto"/>
        <w:jc w:val="center"/>
        <w:rPr>
          <w:rFonts w:eastAsia="Calibri" w:cstheme="minorHAnsi"/>
          <w:sz w:val="28"/>
          <w:szCs w:val="28"/>
        </w:rPr>
      </w:pPr>
    </w:p>
    <w:p w14:paraId="799CF3A4" w14:textId="77777777" w:rsidR="00CD3912" w:rsidRDefault="00CD3912" w:rsidP="004D4411">
      <w:pPr>
        <w:spacing w:line="360" w:lineRule="auto"/>
        <w:jc w:val="center"/>
        <w:rPr>
          <w:rFonts w:eastAsia="Calibri" w:cstheme="minorHAnsi"/>
          <w:sz w:val="28"/>
          <w:szCs w:val="28"/>
        </w:rPr>
      </w:pPr>
    </w:p>
    <w:p w14:paraId="34E5F529" w14:textId="77777777" w:rsidR="00CD3912" w:rsidRDefault="00CD3912" w:rsidP="004D4411">
      <w:pPr>
        <w:spacing w:line="360" w:lineRule="auto"/>
        <w:jc w:val="center"/>
        <w:rPr>
          <w:rFonts w:eastAsia="Calibri" w:cstheme="minorHAnsi"/>
          <w:sz w:val="28"/>
          <w:szCs w:val="28"/>
        </w:rPr>
      </w:pPr>
    </w:p>
    <w:p w14:paraId="5D14B6C0" w14:textId="77777777" w:rsidR="00CD3912" w:rsidRDefault="00CD3912" w:rsidP="004D4411">
      <w:pPr>
        <w:spacing w:line="360" w:lineRule="auto"/>
        <w:jc w:val="center"/>
        <w:rPr>
          <w:rFonts w:eastAsia="Calibri" w:cstheme="minorHAnsi"/>
          <w:sz w:val="28"/>
          <w:szCs w:val="28"/>
        </w:rPr>
      </w:pPr>
    </w:p>
    <w:p w14:paraId="662BBBDC" w14:textId="77777777" w:rsidR="00CD3912" w:rsidRDefault="00CD3912" w:rsidP="004D4411">
      <w:pPr>
        <w:spacing w:line="360" w:lineRule="auto"/>
        <w:jc w:val="center"/>
        <w:rPr>
          <w:rFonts w:eastAsia="Calibri" w:cstheme="minorHAnsi"/>
          <w:sz w:val="28"/>
          <w:szCs w:val="28"/>
        </w:rPr>
      </w:pPr>
    </w:p>
    <w:p w14:paraId="4D246E64" w14:textId="77777777" w:rsidR="00D61E2A" w:rsidRDefault="00D61E2A" w:rsidP="004D4411">
      <w:pPr>
        <w:spacing w:line="360" w:lineRule="auto"/>
        <w:jc w:val="center"/>
        <w:rPr>
          <w:rFonts w:eastAsia="Calibri" w:cstheme="minorHAnsi"/>
          <w:sz w:val="28"/>
          <w:szCs w:val="28"/>
        </w:rPr>
      </w:pPr>
    </w:p>
    <w:p w14:paraId="60409D85" w14:textId="38B87723" w:rsidR="00F7780F" w:rsidRPr="003C1969" w:rsidRDefault="007646CF" w:rsidP="004D4411">
      <w:pPr>
        <w:spacing w:line="360" w:lineRule="auto"/>
        <w:jc w:val="center"/>
        <w:rPr>
          <w:rFonts w:eastAsia="Calibri" w:cstheme="minorHAnsi"/>
          <w:sz w:val="28"/>
          <w:szCs w:val="28"/>
        </w:rPr>
      </w:pPr>
      <w:r w:rsidRPr="007646CF">
        <w:rPr>
          <w:rFonts w:eastAsia="Calibri" w:cstheme="minorHAnsi"/>
          <w:sz w:val="28"/>
          <w:szCs w:val="28"/>
        </w:rPr>
        <w:lastRenderedPageBreak/>
        <w:t xml:space="preserve">The Police and Criminal Evidence Act 1984 is a significant piece of legislation </w:t>
      </w:r>
      <w:r w:rsidR="00AA6308">
        <w:rPr>
          <w:rFonts w:eastAsia="Calibri" w:cstheme="minorHAnsi"/>
          <w:sz w:val="28"/>
          <w:szCs w:val="28"/>
        </w:rPr>
        <w:t xml:space="preserve">that </w:t>
      </w:r>
      <w:r w:rsidRPr="007646CF">
        <w:rPr>
          <w:rFonts w:eastAsia="Calibri" w:cstheme="minorHAnsi"/>
          <w:sz w:val="28"/>
          <w:szCs w:val="28"/>
        </w:rPr>
        <w:t>provides a legal framework for various police powers and procedures. PACE was enacted to regulate the powers of the police when carrying out investigations, making arrests, and conducting searches.</w:t>
      </w:r>
      <w:r w:rsidR="00AD64F7">
        <w:rPr>
          <w:rFonts w:eastAsia="Calibri" w:cstheme="minorHAnsi"/>
          <w:sz w:val="28"/>
          <w:szCs w:val="28"/>
        </w:rPr>
        <w:t xml:space="preserve"> </w:t>
      </w:r>
      <w:r w:rsidR="00AD64F7" w:rsidRPr="00AD64F7">
        <w:rPr>
          <w:rFonts w:eastAsia="Calibri" w:cstheme="minorHAnsi"/>
          <w:sz w:val="28"/>
          <w:szCs w:val="28"/>
        </w:rPr>
        <w:t xml:space="preserve">Section 1 provides the legal basis for stop and search powers. It allows police officers to stop and </w:t>
      </w:r>
      <w:r w:rsidR="00AD64F7" w:rsidRPr="003C1969">
        <w:rPr>
          <w:rFonts w:eastAsia="Calibri" w:cstheme="minorHAnsi"/>
          <w:sz w:val="28"/>
          <w:szCs w:val="28"/>
        </w:rPr>
        <w:t xml:space="preserve">search individuals if they have reasonable grounds to suspect that the person is carrying prohibited articles or items related to criminal activity. The section also sets out guidelines for conducting these searches and specifies the information that must be provided to the </w:t>
      </w:r>
      <w:r w:rsidR="00843B35">
        <w:rPr>
          <w:rFonts w:eastAsia="Calibri" w:cstheme="minorHAnsi"/>
          <w:sz w:val="28"/>
          <w:szCs w:val="28"/>
        </w:rPr>
        <w:t>searched person</w:t>
      </w:r>
      <w:r w:rsidR="00FC4B0F" w:rsidRPr="003C1969">
        <w:rPr>
          <w:rFonts w:eastAsia="Calibri" w:cstheme="minorHAnsi"/>
          <w:sz w:val="28"/>
          <w:szCs w:val="28"/>
        </w:rPr>
        <w:t xml:space="preserve"> (</w:t>
      </w:r>
      <w:r w:rsidR="00521777">
        <w:rPr>
          <w:rFonts w:eastAsia="Calibri" w:cstheme="minorHAnsi"/>
          <w:sz w:val="28"/>
          <w:szCs w:val="28"/>
        </w:rPr>
        <w:t>Home Office</w:t>
      </w:r>
      <w:r w:rsidR="00FC4B0F" w:rsidRPr="003C1969">
        <w:rPr>
          <w:rFonts w:eastAsia="Calibri" w:cstheme="minorHAnsi"/>
          <w:sz w:val="28"/>
          <w:szCs w:val="28"/>
        </w:rPr>
        <w:t xml:space="preserve">, </w:t>
      </w:r>
      <w:r w:rsidR="005E50EB" w:rsidRPr="003C1969">
        <w:rPr>
          <w:rFonts w:eastAsia="Calibri" w:cstheme="minorHAnsi"/>
          <w:sz w:val="28"/>
          <w:szCs w:val="28"/>
        </w:rPr>
        <w:t>2021).</w:t>
      </w:r>
      <w:r w:rsidR="00257A27" w:rsidRPr="003C1969">
        <w:rPr>
          <w:rFonts w:eastAsia="Calibri" w:cstheme="minorHAnsi"/>
          <w:sz w:val="28"/>
          <w:szCs w:val="28"/>
        </w:rPr>
        <w:t xml:space="preserve"> </w:t>
      </w:r>
      <w:r w:rsidR="007B03B2" w:rsidRPr="003C1969">
        <w:rPr>
          <w:rFonts w:eastAsia="Calibri" w:cstheme="minorHAnsi"/>
          <w:sz w:val="28"/>
          <w:szCs w:val="28"/>
        </w:rPr>
        <w:t xml:space="preserve">This legislation is an important part of the change </w:t>
      </w:r>
      <w:r w:rsidR="00F07051" w:rsidRPr="003C1969">
        <w:rPr>
          <w:rFonts w:eastAsia="Calibri" w:cstheme="minorHAnsi"/>
          <w:sz w:val="28"/>
          <w:szCs w:val="28"/>
        </w:rPr>
        <w:t>to</w:t>
      </w:r>
      <w:r w:rsidR="007B03B2" w:rsidRPr="003C1969">
        <w:rPr>
          <w:rFonts w:eastAsia="Calibri" w:cstheme="minorHAnsi"/>
          <w:sz w:val="28"/>
          <w:szCs w:val="28"/>
        </w:rPr>
        <w:t xml:space="preserve"> stop and search powers, it </w:t>
      </w:r>
      <w:r w:rsidR="00816C2B" w:rsidRPr="003C1969">
        <w:rPr>
          <w:rFonts w:eastAsia="Calibri" w:cstheme="minorHAnsi"/>
          <w:sz w:val="28"/>
          <w:szCs w:val="28"/>
        </w:rPr>
        <w:t xml:space="preserve">safeguards individual rights </w:t>
      </w:r>
      <w:r w:rsidR="00707315" w:rsidRPr="003C1969">
        <w:rPr>
          <w:rFonts w:eastAsia="Calibri" w:cstheme="minorHAnsi"/>
          <w:sz w:val="28"/>
          <w:szCs w:val="28"/>
        </w:rPr>
        <w:t xml:space="preserve">and </w:t>
      </w:r>
      <w:r w:rsidR="000A77BC" w:rsidRPr="003C1969">
        <w:rPr>
          <w:rFonts w:eastAsia="Calibri" w:cstheme="minorHAnsi"/>
          <w:sz w:val="28"/>
          <w:szCs w:val="28"/>
        </w:rPr>
        <w:t>allows</w:t>
      </w:r>
      <w:r w:rsidR="00F07051" w:rsidRPr="003C1969">
        <w:rPr>
          <w:rFonts w:eastAsia="Calibri" w:cstheme="minorHAnsi"/>
          <w:sz w:val="28"/>
          <w:szCs w:val="28"/>
        </w:rPr>
        <w:t xml:space="preserve"> them to avoid </w:t>
      </w:r>
      <w:r w:rsidR="000A77BC" w:rsidRPr="003C1969">
        <w:rPr>
          <w:rFonts w:eastAsia="Calibri" w:cstheme="minorHAnsi"/>
          <w:sz w:val="28"/>
          <w:szCs w:val="28"/>
        </w:rPr>
        <w:t>unlawful discrimination</w:t>
      </w:r>
      <w:r w:rsidR="00F07051" w:rsidRPr="003C1969">
        <w:rPr>
          <w:rFonts w:eastAsia="Calibri" w:cstheme="minorHAnsi"/>
          <w:sz w:val="28"/>
          <w:szCs w:val="28"/>
        </w:rPr>
        <w:t xml:space="preserve"> </w:t>
      </w:r>
      <w:r w:rsidR="000A77BC" w:rsidRPr="003C1969">
        <w:rPr>
          <w:rFonts w:eastAsia="Calibri" w:cstheme="minorHAnsi"/>
          <w:sz w:val="28"/>
          <w:szCs w:val="28"/>
        </w:rPr>
        <w:t>and be searched respectfully</w:t>
      </w:r>
      <w:r w:rsidR="00707315" w:rsidRPr="003C1969">
        <w:rPr>
          <w:rFonts w:eastAsia="Calibri" w:cstheme="minorHAnsi"/>
          <w:sz w:val="28"/>
          <w:szCs w:val="28"/>
        </w:rPr>
        <w:t xml:space="preserve">, </w:t>
      </w:r>
      <w:r w:rsidR="008C2F13" w:rsidRPr="003C1969">
        <w:rPr>
          <w:rFonts w:eastAsia="Calibri" w:cstheme="minorHAnsi"/>
          <w:sz w:val="28"/>
          <w:szCs w:val="28"/>
        </w:rPr>
        <w:t xml:space="preserve">Code A states that </w:t>
      </w:r>
      <w:r w:rsidR="00FB07A4" w:rsidRPr="003C1969">
        <w:rPr>
          <w:rFonts w:cstheme="minorHAnsi"/>
          <w:color w:val="0B0C0C"/>
          <w:sz w:val="28"/>
          <w:szCs w:val="28"/>
          <w:shd w:val="clear" w:color="auto" w:fill="FFFFFF"/>
        </w:rPr>
        <w:t>powers which require reasonable grounds for suspicion, before they may be exercised; that articles unlawfully obtained or possessed are being carried such as section 1 of PACE for stolen and prohibited articles and section 23 of the Misuse of Drugs Act 1971 for controlled drugs</w:t>
      </w:r>
      <w:r w:rsidR="000A77BC" w:rsidRPr="003C1969">
        <w:rPr>
          <w:rFonts w:eastAsia="Calibri" w:cstheme="minorHAnsi"/>
          <w:sz w:val="28"/>
          <w:szCs w:val="28"/>
        </w:rPr>
        <w:t xml:space="preserve"> (</w:t>
      </w:r>
      <w:r w:rsidR="00521777">
        <w:rPr>
          <w:rFonts w:eastAsia="Calibri" w:cstheme="minorHAnsi"/>
          <w:sz w:val="28"/>
          <w:szCs w:val="28"/>
        </w:rPr>
        <w:t>Home Office</w:t>
      </w:r>
      <w:r w:rsidR="000A77BC" w:rsidRPr="003C1969">
        <w:rPr>
          <w:rFonts w:eastAsia="Calibri" w:cstheme="minorHAnsi"/>
          <w:sz w:val="28"/>
          <w:szCs w:val="28"/>
        </w:rPr>
        <w:t xml:space="preserve">, 2022). </w:t>
      </w:r>
      <w:r w:rsidR="003C1969" w:rsidRPr="003C1969">
        <w:rPr>
          <w:rFonts w:eastAsia="Calibri" w:cstheme="minorHAnsi"/>
          <w:sz w:val="28"/>
          <w:szCs w:val="28"/>
        </w:rPr>
        <w:t xml:space="preserve">These powers are crucial for maintaining a balance between effective law enforcement and the protection of individual rights. Section 1 of the Police and Criminal Evidence Act </w:t>
      </w:r>
      <w:r w:rsidR="000775C5">
        <w:rPr>
          <w:rFonts w:eastAsia="Calibri" w:cstheme="minorHAnsi"/>
          <w:sz w:val="28"/>
          <w:szCs w:val="28"/>
        </w:rPr>
        <w:t>(</w:t>
      </w:r>
      <w:r w:rsidR="003C1969" w:rsidRPr="003C1969">
        <w:rPr>
          <w:rFonts w:eastAsia="Calibri" w:cstheme="minorHAnsi"/>
          <w:sz w:val="28"/>
          <w:szCs w:val="28"/>
        </w:rPr>
        <w:t>1984</w:t>
      </w:r>
      <w:r w:rsidR="000775C5">
        <w:rPr>
          <w:rFonts w:eastAsia="Calibri" w:cstheme="minorHAnsi"/>
          <w:sz w:val="28"/>
          <w:szCs w:val="28"/>
        </w:rPr>
        <w:t xml:space="preserve">) </w:t>
      </w:r>
      <w:r w:rsidR="003C1969" w:rsidRPr="003C1969">
        <w:rPr>
          <w:rFonts w:eastAsia="Calibri" w:cstheme="minorHAnsi"/>
          <w:sz w:val="28"/>
          <w:szCs w:val="28"/>
        </w:rPr>
        <w:t>enables police officers to stop and search individuals or vehicles when they have legitimate cause to suspect that stolen or prohibited items are being carried</w:t>
      </w:r>
      <w:r w:rsidR="007508F3">
        <w:rPr>
          <w:rFonts w:eastAsia="Calibri" w:cstheme="minorHAnsi"/>
          <w:sz w:val="28"/>
          <w:szCs w:val="28"/>
        </w:rPr>
        <w:t xml:space="preserve"> (</w:t>
      </w:r>
      <w:r w:rsidR="00521777">
        <w:rPr>
          <w:rFonts w:eastAsia="Calibri" w:cstheme="minorHAnsi"/>
          <w:sz w:val="28"/>
          <w:szCs w:val="28"/>
        </w:rPr>
        <w:t>Home Office</w:t>
      </w:r>
      <w:r w:rsidR="007508F3">
        <w:rPr>
          <w:rFonts w:eastAsia="Calibri" w:cstheme="minorHAnsi"/>
          <w:sz w:val="28"/>
          <w:szCs w:val="28"/>
        </w:rPr>
        <w:t>, 2021)</w:t>
      </w:r>
      <w:r w:rsidR="003C1969" w:rsidRPr="003C1969">
        <w:rPr>
          <w:rFonts w:eastAsia="Calibri" w:cstheme="minorHAnsi"/>
          <w:sz w:val="28"/>
          <w:szCs w:val="28"/>
        </w:rPr>
        <w:t xml:space="preserve">. Similarly, Section 23 of the Misuse of Drugs Act 1971 grants police the authority to conduct searches if they have reasonable grounds to believe that controlled drugs are being unlawfully obtained, possessed, or carried. The requirement of "reasonable grounds for suspicion" acts as a legal safeguard, ensuring that law enforcement actions are not arbitrary and that they are based on justifiable concerns. It underscores the importance of upholding civil liberties and protecting individuals from </w:t>
      </w:r>
      <w:r w:rsidR="003C1969" w:rsidRPr="003C1969">
        <w:rPr>
          <w:rFonts w:eastAsia="Calibri" w:cstheme="minorHAnsi"/>
          <w:sz w:val="28"/>
          <w:szCs w:val="28"/>
        </w:rPr>
        <w:lastRenderedPageBreak/>
        <w:t>unwarranted intrusions while allowing the police to fulfil their duties in combating crime and enforcing the law effectively</w:t>
      </w:r>
      <w:r w:rsidR="00FC7ABC">
        <w:rPr>
          <w:rFonts w:eastAsia="Calibri" w:cstheme="minorHAnsi"/>
          <w:sz w:val="28"/>
          <w:szCs w:val="28"/>
        </w:rPr>
        <w:t xml:space="preserve"> (</w:t>
      </w:r>
      <w:r w:rsidR="00521777">
        <w:rPr>
          <w:rFonts w:eastAsia="Calibri" w:cstheme="minorHAnsi"/>
          <w:sz w:val="28"/>
          <w:szCs w:val="28"/>
        </w:rPr>
        <w:t>Home Office</w:t>
      </w:r>
      <w:r w:rsidR="00FC7ABC">
        <w:rPr>
          <w:rFonts w:eastAsia="Calibri" w:cstheme="minorHAnsi"/>
          <w:sz w:val="28"/>
          <w:szCs w:val="28"/>
        </w:rPr>
        <w:t>, 2021).</w:t>
      </w:r>
      <w:r w:rsidR="004D4411">
        <w:rPr>
          <w:rFonts w:eastAsia="Calibri" w:cstheme="minorHAnsi"/>
          <w:sz w:val="28"/>
          <w:szCs w:val="28"/>
        </w:rPr>
        <w:t xml:space="preserve"> </w:t>
      </w:r>
      <w:r w:rsidR="00725902">
        <w:rPr>
          <w:rFonts w:eastAsia="Calibri" w:cstheme="minorHAnsi"/>
          <w:sz w:val="28"/>
          <w:szCs w:val="28"/>
        </w:rPr>
        <w:t>Code B</w:t>
      </w:r>
      <w:r w:rsidR="00F7780F" w:rsidRPr="00F7780F">
        <w:rPr>
          <w:rFonts w:eastAsia="Calibri" w:cstheme="minorHAnsi"/>
          <w:sz w:val="28"/>
          <w:szCs w:val="28"/>
        </w:rPr>
        <w:t xml:space="preserve"> of </w:t>
      </w:r>
      <w:r w:rsidR="000775C5">
        <w:rPr>
          <w:rFonts w:eastAsia="Calibri" w:cstheme="minorHAnsi"/>
          <w:sz w:val="28"/>
          <w:szCs w:val="28"/>
        </w:rPr>
        <w:t xml:space="preserve">the </w:t>
      </w:r>
      <w:r w:rsidR="00F7780F" w:rsidRPr="00F7780F">
        <w:rPr>
          <w:rFonts w:eastAsia="Calibri" w:cstheme="minorHAnsi"/>
          <w:sz w:val="28"/>
          <w:szCs w:val="28"/>
        </w:rPr>
        <w:t>P</w:t>
      </w:r>
      <w:r w:rsidR="000775C5">
        <w:rPr>
          <w:rFonts w:eastAsia="Calibri" w:cstheme="minorHAnsi"/>
          <w:sz w:val="28"/>
          <w:szCs w:val="28"/>
        </w:rPr>
        <w:t>olice and Criminal Evidence Act (1984)</w:t>
      </w:r>
      <w:r w:rsidR="00F7780F" w:rsidRPr="00F7780F">
        <w:rPr>
          <w:rFonts w:eastAsia="Calibri" w:cstheme="minorHAnsi"/>
          <w:sz w:val="28"/>
          <w:szCs w:val="28"/>
        </w:rPr>
        <w:t xml:space="preserve"> pertains to the search of premises and the seizure of property. It outlines the procedures that should be followed when police officers need to search a person's property, such as a home or business premises. It also addresses the rules for obtaining and executing search warrants, safeguarding the </w:t>
      </w:r>
      <w:r w:rsidR="00843B35">
        <w:rPr>
          <w:rFonts w:eastAsia="Calibri" w:cstheme="minorHAnsi"/>
          <w:sz w:val="28"/>
          <w:szCs w:val="28"/>
        </w:rPr>
        <w:t>property owner's rights</w:t>
      </w:r>
      <w:r w:rsidR="00F7780F" w:rsidRPr="00F7780F">
        <w:rPr>
          <w:rFonts w:eastAsia="Calibri" w:cstheme="minorHAnsi"/>
          <w:sz w:val="28"/>
          <w:szCs w:val="28"/>
        </w:rPr>
        <w:t>, and documenting the search process</w:t>
      </w:r>
      <w:r w:rsidR="00F21FD5">
        <w:rPr>
          <w:rFonts w:eastAsia="Calibri" w:cstheme="minorHAnsi"/>
          <w:sz w:val="28"/>
          <w:szCs w:val="28"/>
        </w:rPr>
        <w:t xml:space="preserve"> so the evidence can be </w:t>
      </w:r>
      <w:r w:rsidR="00DB4072">
        <w:rPr>
          <w:rFonts w:eastAsia="Calibri" w:cstheme="minorHAnsi"/>
          <w:sz w:val="28"/>
          <w:szCs w:val="28"/>
        </w:rPr>
        <w:t>admissible in court.</w:t>
      </w:r>
    </w:p>
    <w:p w14:paraId="3C2C4F52" w14:textId="77777777" w:rsidR="008D6A16" w:rsidRDefault="008D6A16" w:rsidP="004D4411">
      <w:pPr>
        <w:spacing w:line="360" w:lineRule="auto"/>
        <w:jc w:val="center"/>
        <w:rPr>
          <w:rFonts w:eastAsia="Calibri" w:cstheme="minorHAnsi"/>
          <w:sz w:val="28"/>
          <w:szCs w:val="28"/>
        </w:rPr>
      </w:pPr>
    </w:p>
    <w:p w14:paraId="47584229" w14:textId="52E1BF7E" w:rsidR="00AD7850" w:rsidRPr="00B07E47" w:rsidRDefault="00C42860" w:rsidP="004D4411">
      <w:pPr>
        <w:pStyle w:val="NormalWeb"/>
        <w:spacing w:line="360" w:lineRule="auto"/>
        <w:jc w:val="center"/>
        <w:rPr>
          <w:rFonts w:asciiTheme="minorHAnsi" w:hAnsiTheme="minorHAnsi" w:cstheme="minorHAnsi"/>
          <w:sz w:val="28"/>
          <w:szCs w:val="28"/>
        </w:rPr>
      </w:pPr>
      <w:r w:rsidRPr="0056586C">
        <w:rPr>
          <w:rFonts w:asciiTheme="minorHAnsi" w:eastAsia="Calibri" w:hAnsiTheme="minorHAnsi" w:cstheme="minorHAnsi"/>
          <w:sz w:val="28"/>
          <w:szCs w:val="28"/>
        </w:rPr>
        <w:t xml:space="preserve">The Code of Ethics, introduced by the College of Policing in 2014, plays a pivotal role in shaping the standards of behaviour and conduct within the policing sector (College of Policing, 2023). This code consists of nine fundamental components, each with specific implications for policing practices. By </w:t>
      </w:r>
      <w:r w:rsidR="00BF18DC" w:rsidRPr="0056586C">
        <w:rPr>
          <w:rFonts w:asciiTheme="minorHAnsi" w:eastAsia="Calibri" w:hAnsiTheme="minorHAnsi" w:cstheme="minorHAnsi"/>
          <w:sz w:val="28"/>
          <w:szCs w:val="28"/>
        </w:rPr>
        <w:t>analysing</w:t>
      </w:r>
      <w:r w:rsidRPr="0056586C">
        <w:rPr>
          <w:rFonts w:asciiTheme="minorHAnsi" w:eastAsia="Calibri" w:hAnsiTheme="minorHAnsi" w:cstheme="minorHAnsi"/>
          <w:sz w:val="28"/>
          <w:szCs w:val="28"/>
        </w:rPr>
        <w:t xml:space="preserve"> these principles and their impact, we gain insights into how they influence policing standards and the relationship between law enforcement and the community. </w:t>
      </w:r>
      <w:r w:rsidR="002D2A22" w:rsidRPr="0056586C">
        <w:rPr>
          <w:rFonts w:asciiTheme="minorHAnsi" w:eastAsia="Calibri" w:hAnsiTheme="minorHAnsi" w:cstheme="minorHAnsi"/>
          <w:sz w:val="28"/>
          <w:szCs w:val="28"/>
        </w:rPr>
        <w:t xml:space="preserve">Stanford University (2020) outlines </w:t>
      </w:r>
      <w:r w:rsidR="00BB48E9" w:rsidRPr="0056586C">
        <w:rPr>
          <w:rFonts w:asciiTheme="minorHAnsi" w:eastAsia="Calibri" w:hAnsiTheme="minorHAnsi" w:cstheme="minorHAnsi"/>
          <w:sz w:val="28"/>
          <w:szCs w:val="28"/>
        </w:rPr>
        <w:t>each of the key principles, t</w:t>
      </w:r>
      <w:r w:rsidRPr="0056586C">
        <w:rPr>
          <w:rFonts w:asciiTheme="minorHAnsi" w:eastAsia="Calibri" w:hAnsiTheme="minorHAnsi" w:cstheme="minorHAnsi"/>
          <w:sz w:val="28"/>
          <w:szCs w:val="28"/>
        </w:rPr>
        <w:t>he first component is a</w:t>
      </w:r>
      <w:r w:rsidR="00D01D7C" w:rsidRPr="0056586C">
        <w:rPr>
          <w:rFonts w:asciiTheme="minorHAnsi" w:eastAsia="Calibri" w:hAnsiTheme="minorHAnsi" w:cstheme="minorHAnsi"/>
          <w:sz w:val="28"/>
          <w:szCs w:val="28"/>
        </w:rPr>
        <w:t xml:space="preserve">ccountability, Police personnel are held accountable for their actions and judgements. They are accountable for adhering to the law and departmental policies, as well as justifying their actions when necessary. Fairness, to be fair, law enforcement must treat all individuals impartially and without bias. It emphasises the significance of equal legal protection and due process. Honesty, </w:t>
      </w:r>
      <w:r w:rsidR="001016DA" w:rsidRPr="0056586C">
        <w:rPr>
          <w:rFonts w:asciiTheme="minorHAnsi" w:eastAsia="Calibri" w:hAnsiTheme="minorHAnsi" w:cstheme="minorHAnsi"/>
          <w:sz w:val="28"/>
          <w:szCs w:val="28"/>
        </w:rPr>
        <w:t>police officers must be honest</w:t>
      </w:r>
      <w:r w:rsidR="00D01D7C" w:rsidRPr="0056586C">
        <w:rPr>
          <w:rFonts w:asciiTheme="minorHAnsi" w:eastAsia="Calibri" w:hAnsiTheme="minorHAnsi" w:cstheme="minorHAnsi"/>
          <w:sz w:val="28"/>
          <w:szCs w:val="28"/>
        </w:rPr>
        <w:t xml:space="preserve"> </w:t>
      </w:r>
      <w:r w:rsidR="001016DA" w:rsidRPr="0056586C">
        <w:rPr>
          <w:rFonts w:asciiTheme="minorHAnsi" w:eastAsia="Calibri" w:hAnsiTheme="minorHAnsi" w:cstheme="minorHAnsi"/>
          <w:sz w:val="28"/>
          <w:szCs w:val="28"/>
        </w:rPr>
        <w:t>i</w:t>
      </w:r>
      <w:r w:rsidR="00D01D7C" w:rsidRPr="0056586C">
        <w:rPr>
          <w:rFonts w:asciiTheme="minorHAnsi" w:eastAsia="Calibri" w:hAnsiTheme="minorHAnsi" w:cstheme="minorHAnsi"/>
          <w:sz w:val="28"/>
          <w:szCs w:val="28"/>
        </w:rPr>
        <w:t xml:space="preserve">n their dealings with the public, fellow officers, and superiors, </w:t>
      </w:r>
      <w:r w:rsidR="001016DA" w:rsidRPr="0056586C">
        <w:rPr>
          <w:rFonts w:asciiTheme="minorHAnsi" w:eastAsia="Calibri" w:hAnsiTheme="minorHAnsi" w:cstheme="minorHAnsi"/>
          <w:sz w:val="28"/>
          <w:szCs w:val="28"/>
        </w:rPr>
        <w:t xml:space="preserve">they </w:t>
      </w:r>
      <w:r w:rsidR="00D01D7C" w:rsidRPr="0056586C">
        <w:rPr>
          <w:rFonts w:asciiTheme="minorHAnsi" w:eastAsia="Calibri" w:hAnsiTheme="minorHAnsi" w:cstheme="minorHAnsi"/>
          <w:sz w:val="28"/>
          <w:szCs w:val="28"/>
        </w:rPr>
        <w:t>are required to be truthful and transparent</w:t>
      </w:r>
      <w:r w:rsidR="00DE05E2" w:rsidRPr="00DE05E2">
        <w:rPr>
          <w:rFonts w:asciiTheme="minorHAnsi" w:eastAsia="Calibri" w:hAnsiTheme="minorHAnsi" w:cstheme="minorHAnsi"/>
          <w:sz w:val="28"/>
          <w:szCs w:val="28"/>
        </w:rPr>
        <w:t xml:space="preserve"> </w:t>
      </w:r>
      <w:r w:rsidR="00DE05E2">
        <w:rPr>
          <w:rFonts w:asciiTheme="minorHAnsi" w:eastAsia="Calibri" w:hAnsiTheme="minorHAnsi" w:cstheme="minorHAnsi"/>
          <w:sz w:val="28"/>
          <w:szCs w:val="28"/>
        </w:rPr>
        <w:t xml:space="preserve">in </w:t>
      </w:r>
      <w:r w:rsidR="00DE05E2" w:rsidRPr="0056586C">
        <w:rPr>
          <w:rFonts w:asciiTheme="minorHAnsi" w:eastAsia="Calibri" w:hAnsiTheme="minorHAnsi" w:cstheme="minorHAnsi"/>
          <w:sz w:val="28"/>
          <w:szCs w:val="28"/>
        </w:rPr>
        <w:t>processes</w:t>
      </w:r>
      <w:r w:rsidR="00DE05E2">
        <w:rPr>
          <w:rFonts w:asciiTheme="minorHAnsi" w:eastAsia="Calibri" w:hAnsiTheme="minorHAnsi" w:cstheme="minorHAnsi"/>
          <w:sz w:val="28"/>
          <w:szCs w:val="28"/>
        </w:rPr>
        <w:t xml:space="preserve"> (</w:t>
      </w:r>
      <w:r w:rsidR="00DE05E2" w:rsidRPr="0056586C">
        <w:rPr>
          <w:rFonts w:asciiTheme="minorHAnsi" w:eastAsia="Calibri" w:hAnsiTheme="minorHAnsi" w:cstheme="minorHAnsi"/>
          <w:sz w:val="28"/>
          <w:szCs w:val="28"/>
        </w:rPr>
        <w:t>Standford University, 2020)</w:t>
      </w:r>
      <w:r w:rsidR="00D01D7C" w:rsidRPr="0056586C">
        <w:rPr>
          <w:rFonts w:asciiTheme="minorHAnsi" w:eastAsia="Calibri" w:hAnsiTheme="minorHAnsi" w:cstheme="minorHAnsi"/>
          <w:sz w:val="28"/>
          <w:szCs w:val="28"/>
        </w:rPr>
        <w:t>.</w:t>
      </w:r>
      <w:r w:rsidR="001F3E6C" w:rsidRPr="0056586C">
        <w:rPr>
          <w:rFonts w:asciiTheme="minorHAnsi" w:eastAsia="Calibri" w:hAnsiTheme="minorHAnsi" w:cstheme="minorHAnsi"/>
          <w:sz w:val="28"/>
          <w:szCs w:val="28"/>
        </w:rPr>
        <w:t xml:space="preserve"> Integrity, Integrity is a fundamental concept in policing. It entails upholding strong moral and ethical principles. Even when faced with difficult situations, </w:t>
      </w:r>
      <w:r w:rsidR="001F3E6C" w:rsidRPr="0056586C">
        <w:rPr>
          <w:rFonts w:asciiTheme="minorHAnsi" w:eastAsia="Calibri" w:hAnsiTheme="minorHAnsi" w:cstheme="minorHAnsi"/>
          <w:sz w:val="28"/>
          <w:szCs w:val="28"/>
        </w:rPr>
        <w:lastRenderedPageBreak/>
        <w:t>officers are obliged to preserve their integrity. Leadership is essential at all levels of law enforcement, from front-line officers to supervisors and administrators. Setting a positive example, encouraging others, and cultivating a culture of professionalism and ethical behaviour are all aspects of effective leadership</w:t>
      </w:r>
      <w:r w:rsidR="00DE05E2" w:rsidRPr="00DE05E2">
        <w:rPr>
          <w:rFonts w:asciiTheme="minorHAnsi" w:eastAsia="Calibri" w:hAnsiTheme="minorHAnsi" w:cstheme="minorHAnsi"/>
          <w:sz w:val="28"/>
          <w:szCs w:val="28"/>
        </w:rPr>
        <w:t xml:space="preserve"> </w:t>
      </w:r>
      <w:r w:rsidR="00DE05E2" w:rsidRPr="0056586C">
        <w:rPr>
          <w:rFonts w:asciiTheme="minorHAnsi" w:eastAsia="Calibri" w:hAnsiTheme="minorHAnsi" w:cstheme="minorHAnsi"/>
          <w:sz w:val="28"/>
          <w:szCs w:val="28"/>
        </w:rPr>
        <w:t>processes</w:t>
      </w:r>
      <w:r w:rsidR="00DE05E2">
        <w:rPr>
          <w:rFonts w:asciiTheme="minorHAnsi" w:eastAsia="Calibri" w:hAnsiTheme="minorHAnsi" w:cstheme="minorHAnsi"/>
          <w:sz w:val="28"/>
          <w:szCs w:val="28"/>
        </w:rPr>
        <w:t xml:space="preserve"> (</w:t>
      </w:r>
      <w:r w:rsidR="00DE05E2" w:rsidRPr="0056586C">
        <w:rPr>
          <w:rFonts w:asciiTheme="minorHAnsi" w:eastAsia="Calibri" w:hAnsiTheme="minorHAnsi" w:cstheme="minorHAnsi"/>
          <w:sz w:val="28"/>
          <w:szCs w:val="28"/>
        </w:rPr>
        <w:t>Standford University, 2020)</w:t>
      </w:r>
      <w:r w:rsidR="001F3E6C" w:rsidRPr="0056586C">
        <w:rPr>
          <w:rFonts w:asciiTheme="minorHAnsi" w:eastAsia="Calibri" w:hAnsiTheme="minorHAnsi" w:cstheme="minorHAnsi"/>
          <w:sz w:val="28"/>
          <w:szCs w:val="28"/>
        </w:rPr>
        <w:t>. Objectivity, Police officers must be objective in their choices and actions, basing them on evidence and the facts rather than personal views or biases. It is critical for achieving impartial and just results.</w:t>
      </w:r>
      <w:r w:rsidR="005A746F" w:rsidRPr="0056586C">
        <w:rPr>
          <w:rFonts w:asciiTheme="minorHAnsi" w:eastAsia="Calibri" w:hAnsiTheme="minorHAnsi" w:cstheme="minorHAnsi"/>
          <w:sz w:val="28"/>
          <w:szCs w:val="28"/>
        </w:rPr>
        <w:t xml:space="preserve"> Openness, Police agencies that are transparent and open with the public provide information about their actions, policies, and processes</w:t>
      </w:r>
      <w:r w:rsidR="00DE05E2">
        <w:rPr>
          <w:rFonts w:asciiTheme="minorHAnsi" w:eastAsia="Calibri" w:hAnsiTheme="minorHAnsi" w:cstheme="minorHAnsi"/>
          <w:sz w:val="28"/>
          <w:szCs w:val="28"/>
        </w:rPr>
        <w:t xml:space="preserve"> (</w:t>
      </w:r>
      <w:r w:rsidR="00DE05E2" w:rsidRPr="0056586C">
        <w:rPr>
          <w:rFonts w:asciiTheme="minorHAnsi" w:eastAsia="Calibri" w:hAnsiTheme="minorHAnsi" w:cstheme="minorHAnsi"/>
          <w:sz w:val="28"/>
          <w:szCs w:val="28"/>
        </w:rPr>
        <w:t>Standford University, 2020)</w:t>
      </w:r>
      <w:r w:rsidR="005A746F" w:rsidRPr="0056586C">
        <w:rPr>
          <w:rFonts w:asciiTheme="minorHAnsi" w:eastAsia="Calibri" w:hAnsiTheme="minorHAnsi" w:cstheme="minorHAnsi"/>
          <w:sz w:val="28"/>
          <w:szCs w:val="28"/>
        </w:rPr>
        <w:t>. Transparency fosters trust and accountability. A fundamental concept is respect for the dignity and rights of all individuals. The ninth principle is selflessness, which emphasises that the benefit of the community and public safety take precedence above an officer's interests</w:t>
      </w:r>
      <w:r w:rsidR="008B11A7" w:rsidRPr="0056586C">
        <w:rPr>
          <w:rFonts w:asciiTheme="minorHAnsi" w:eastAsia="Calibri" w:hAnsiTheme="minorHAnsi" w:cstheme="minorHAnsi"/>
          <w:sz w:val="28"/>
          <w:szCs w:val="28"/>
        </w:rPr>
        <w:t xml:space="preserve"> (Standford University, 2020). </w:t>
      </w:r>
      <w:r w:rsidR="005A746F" w:rsidRPr="0056586C">
        <w:rPr>
          <w:rFonts w:asciiTheme="minorHAnsi" w:eastAsia="Calibri" w:hAnsiTheme="minorHAnsi" w:cstheme="minorHAnsi"/>
          <w:sz w:val="28"/>
          <w:szCs w:val="28"/>
        </w:rPr>
        <w:t xml:space="preserve">It entails a dedication to public service. </w:t>
      </w:r>
      <w:r w:rsidR="00311C23" w:rsidRPr="0056586C">
        <w:rPr>
          <w:rFonts w:asciiTheme="minorHAnsi" w:eastAsia="Calibri" w:hAnsiTheme="minorHAnsi" w:cstheme="minorHAnsi"/>
          <w:sz w:val="28"/>
          <w:szCs w:val="28"/>
        </w:rPr>
        <w:t>These principles collectively contribute to the development of a professional and ethical law enforcement culture. They guide officers in their daily interactions, decision-making processes, and response to challenges. When followed diligently, these principles help build trust between the police and the community, promote public safety, and uphold the rule of law</w:t>
      </w:r>
      <w:r w:rsidR="00DE05E2">
        <w:rPr>
          <w:rFonts w:asciiTheme="minorHAnsi" w:eastAsia="Calibri" w:hAnsiTheme="minorHAnsi" w:cstheme="minorHAnsi"/>
          <w:sz w:val="28"/>
          <w:szCs w:val="28"/>
        </w:rPr>
        <w:t>. However, when these principles are broken or not followed it</w:t>
      </w:r>
      <w:r w:rsidR="004F08A0">
        <w:rPr>
          <w:rFonts w:asciiTheme="minorHAnsi" w:eastAsia="Calibri" w:hAnsiTheme="minorHAnsi" w:cstheme="minorHAnsi"/>
          <w:sz w:val="28"/>
          <w:szCs w:val="28"/>
        </w:rPr>
        <w:t xml:space="preserve"> can diminish public trust in the police force damage police reputation and </w:t>
      </w:r>
      <w:r w:rsidR="00F8555F">
        <w:rPr>
          <w:rFonts w:asciiTheme="minorHAnsi" w:eastAsia="Calibri" w:hAnsiTheme="minorHAnsi" w:cstheme="minorHAnsi"/>
          <w:sz w:val="28"/>
          <w:szCs w:val="28"/>
        </w:rPr>
        <w:t xml:space="preserve">can lead to people having negative perceptions of the entire force. </w:t>
      </w:r>
      <w:r w:rsidR="008B11A7" w:rsidRPr="0056586C">
        <w:rPr>
          <w:rFonts w:asciiTheme="minorHAnsi" w:eastAsia="Calibri" w:hAnsiTheme="minorHAnsi" w:cstheme="minorHAnsi"/>
          <w:sz w:val="28"/>
          <w:szCs w:val="28"/>
        </w:rPr>
        <w:t xml:space="preserve"> </w:t>
      </w:r>
      <w:r w:rsidR="000F33E3" w:rsidRPr="000F33E3">
        <w:rPr>
          <w:rFonts w:asciiTheme="minorHAnsi" w:eastAsia="Calibri" w:hAnsiTheme="minorHAnsi" w:cstheme="minorHAnsi"/>
          <w:sz w:val="28"/>
          <w:szCs w:val="28"/>
        </w:rPr>
        <w:t xml:space="preserve">An example of police officers violating multiple principles occurred in London when two Black athletes, Bianca Williams and Ricardo dos Santos, were subjected to a stop and search by two Metropolitan police officers who claimed to have detected the scent of cannabis on them (The Guardian, 2023). </w:t>
      </w:r>
      <w:r w:rsidR="000F33E3" w:rsidRPr="000F33E3">
        <w:rPr>
          <w:rFonts w:asciiTheme="minorHAnsi" w:eastAsia="Calibri" w:hAnsiTheme="minorHAnsi" w:cstheme="minorHAnsi"/>
          <w:sz w:val="28"/>
          <w:szCs w:val="28"/>
        </w:rPr>
        <w:t>Both</w:t>
      </w:r>
      <w:r w:rsidR="000F33E3" w:rsidRPr="000F33E3">
        <w:rPr>
          <w:rFonts w:asciiTheme="minorHAnsi" w:eastAsia="Calibri" w:hAnsiTheme="minorHAnsi" w:cstheme="minorHAnsi"/>
          <w:sz w:val="28"/>
          <w:szCs w:val="28"/>
        </w:rPr>
        <w:t xml:space="preserve"> officers were subsequently dismissed from their positions and barred from further police service. The panel chairman, Cheiw </w:t>
      </w:r>
      <w:r w:rsidR="000F33E3" w:rsidRPr="000F33E3">
        <w:rPr>
          <w:rFonts w:asciiTheme="minorHAnsi" w:eastAsia="Calibri" w:hAnsiTheme="minorHAnsi" w:cstheme="minorHAnsi"/>
          <w:sz w:val="28"/>
          <w:szCs w:val="28"/>
        </w:rPr>
        <w:lastRenderedPageBreak/>
        <w:t>Yin Jones (2023), stated that their actions constituted gross misconduct due to a severe breach of honesty and integrity standards, particularly during an encounter with the public involving the use of coercive powers.</w:t>
      </w:r>
      <w:r w:rsidR="002F16DA">
        <w:rPr>
          <w:rFonts w:asciiTheme="minorHAnsi" w:eastAsia="Calibri" w:hAnsiTheme="minorHAnsi" w:cstheme="minorHAnsi"/>
          <w:sz w:val="28"/>
          <w:szCs w:val="28"/>
        </w:rPr>
        <w:t xml:space="preserve"> </w:t>
      </w:r>
      <w:r w:rsidR="000F33E3" w:rsidRPr="000F33E3">
        <w:rPr>
          <w:rFonts w:asciiTheme="minorHAnsi" w:eastAsia="Calibri" w:hAnsiTheme="minorHAnsi" w:cstheme="minorHAnsi"/>
          <w:sz w:val="28"/>
          <w:szCs w:val="28"/>
        </w:rPr>
        <w:t>These officers were found to have been untruthful and lacked objective justification for suspecting the presence of cannabis on the individuals or in their vehicle. Honesty and integrity are fundamental values in policing (Criminal Justice Inspectorates, 1999), and these officers did not demonstrate these values</w:t>
      </w:r>
      <w:r w:rsidR="00F66346">
        <w:rPr>
          <w:rFonts w:asciiTheme="minorHAnsi" w:eastAsia="Calibri" w:hAnsiTheme="minorHAnsi" w:cstheme="minorHAnsi"/>
          <w:sz w:val="28"/>
          <w:szCs w:val="28"/>
        </w:rPr>
        <w:t xml:space="preserve"> therefore diminishing trust with the public</w:t>
      </w:r>
      <w:r w:rsidR="000F33E3" w:rsidRPr="000F33E3">
        <w:rPr>
          <w:rFonts w:asciiTheme="minorHAnsi" w:eastAsia="Calibri" w:hAnsiTheme="minorHAnsi" w:cstheme="minorHAnsi"/>
          <w:sz w:val="28"/>
          <w:szCs w:val="28"/>
        </w:rPr>
        <w:t>. Notably, Williams and Santos, both athletes subject to regular drug testing, had no reason to possess or use drugs (The Guardian, 2023).</w:t>
      </w:r>
      <w:r w:rsidR="008F3ACF">
        <w:rPr>
          <w:rFonts w:asciiTheme="minorHAnsi" w:eastAsia="Calibri" w:hAnsiTheme="minorHAnsi" w:cstheme="minorHAnsi"/>
          <w:sz w:val="28"/>
          <w:szCs w:val="28"/>
        </w:rPr>
        <w:t xml:space="preserve"> </w:t>
      </w:r>
      <w:r w:rsidR="001541DF">
        <w:rPr>
          <w:rFonts w:asciiTheme="minorHAnsi" w:eastAsia="Calibri" w:hAnsiTheme="minorHAnsi" w:cstheme="minorHAnsi"/>
          <w:sz w:val="28"/>
          <w:szCs w:val="28"/>
        </w:rPr>
        <w:t>A</w:t>
      </w:r>
      <w:r w:rsidR="000F33E3" w:rsidRPr="000F33E3">
        <w:rPr>
          <w:rFonts w:asciiTheme="minorHAnsi" w:eastAsia="Calibri" w:hAnsiTheme="minorHAnsi" w:cstheme="minorHAnsi"/>
          <w:sz w:val="28"/>
          <w:szCs w:val="28"/>
        </w:rPr>
        <w:t xml:space="preserve"> case </w:t>
      </w:r>
      <w:r w:rsidR="001541DF">
        <w:rPr>
          <w:rFonts w:asciiTheme="minorHAnsi" w:eastAsia="Calibri" w:hAnsiTheme="minorHAnsi" w:cstheme="minorHAnsi"/>
          <w:sz w:val="28"/>
          <w:szCs w:val="28"/>
        </w:rPr>
        <w:t xml:space="preserve">like this </w:t>
      </w:r>
      <w:r w:rsidR="000F33E3" w:rsidRPr="000F33E3">
        <w:rPr>
          <w:rFonts w:asciiTheme="minorHAnsi" w:eastAsia="Calibri" w:hAnsiTheme="minorHAnsi" w:cstheme="minorHAnsi"/>
          <w:sz w:val="28"/>
          <w:szCs w:val="28"/>
        </w:rPr>
        <w:t>has had detrimental effects on the trust that Black communities have in the police. In a policing system based on consent, maintaining trust from all segments of the community is crucial. Trust relies on a foundation of mutual understanding and respect between the police and the communities they serve. Every time an individual officer engages in improper conduct, it has a negative impact on public trust and confidence in the entire police service (Criminal Justice Inspectorates, 1999).</w:t>
      </w:r>
      <w:r w:rsidR="00FB2C92">
        <w:rPr>
          <w:rFonts w:asciiTheme="minorHAnsi" w:eastAsia="Calibri" w:hAnsiTheme="minorHAnsi" w:cstheme="minorHAnsi"/>
          <w:sz w:val="28"/>
          <w:szCs w:val="28"/>
        </w:rPr>
        <w:t xml:space="preserve"> </w:t>
      </w:r>
      <w:r w:rsidR="00A966C4" w:rsidRPr="00A966C4">
        <w:rPr>
          <w:rFonts w:asciiTheme="minorHAnsi" w:eastAsia="Calibri" w:hAnsiTheme="minorHAnsi" w:cstheme="minorHAnsi"/>
          <w:sz w:val="28"/>
          <w:szCs w:val="28"/>
        </w:rPr>
        <w:t xml:space="preserve">According to data from the Home Office in 2021, the Metropolitan Police in London conducted nearly half (49%) of </w:t>
      </w:r>
      <w:r w:rsidR="00A966C4" w:rsidRPr="00020718">
        <w:rPr>
          <w:rFonts w:asciiTheme="minorHAnsi" w:eastAsia="Calibri" w:hAnsiTheme="minorHAnsi" w:cstheme="minorHAnsi"/>
          <w:sz w:val="28"/>
          <w:szCs w:val="28"/>
        </w:rPr>
        <w:t>all stop and searches in England and Wales. Moreover, the majority (80%) of stop and searches involving Black individuals took place in London</w:t>
      </w:r>
      <w:r w:rsidR="00F06A38" w:rsidRPr="00020718">
        <w:rPr>
          <w:rFonts w:asciiTheme="minorHAnsi" w:eastAsia="Calibri" w:hAnsiTheme="minorHAnsi" w:cstheme="minorHAnsi"/>
          <w:sz w:val="28"/>
          <w:szCs w:val="28"/>
        </w:rPr>
        <w:t xml:space="preserve">, these statistics </w:t>
      </w:r>
      <w:r w:rsidR="00530D4C" w:rsidRPr="00020718">
        <w:rPr>
          <w:rFonts w:asciiTheme="minorHAnsi" w:eastAsia="Calibri" w:hAnsiTheme="minorHAnsi" w:cstheme="minorHAnsi"/>
          <w:sz w:val="28"/>
          <w:szCs w:val="28"/>
        </w:rPr>
        <w:t xml:space="preserve">create a perception of racial profiling </w:t>
      </w:r>
      <w:r w:rsidR="00020718" w:rsidRPr="00020718">
        <w:rPr>
          <w:rFonts w:asciiTheme="minorHAnsi" w:eastAsia="Calibri" w:hAnsiTheme="minorHAnsi" w:cstheme="minorHAnsi"/>
          <w:sz w:val="28"/>
          <w:szCs w:val="28"/>
        </w:rPr>
        <w:t xml:space="preserve">and link with the </w:t>
      </w:r>
      <w:r w:rsidR="00020718" w:rsidRPr="006F7444">
        <w:rPr>
          <w:rFonts w:asciiTheme="minorHAnsi" w:hAnsiTheme="minorHAnsi" w:cstheme="minorHAnsi"/>
          <w:sz w:val="28"/>
          <w:szCs w:val="28"/>
        </w:rPr>
        <w:t>Macpherson</w:t>
      </w:r>
      <w:r w:rsidR="002F1DD0" w:rsidRPr="006F7444">
        <w:rPr>
          <w:rFonts w:asciiTheme="minorHAnsi" w:hAnsiTheme="minorHAnsi" w:cstheme="minorHAnsi"/>
          <w:sz w:val="28"/>
          <w:szCs w:val="28"/>
        </w:rPr>
        <w:t xml:space="preserve"> (1999)</w:t>
      </w:r>
      <w:r w:rsidR="00020718" w:rsidRPr="006F7444">
        <w:rPr>
          <w:rFonts w:asciiTheme="minorHAnsi" w:hAnsiTheme="minorHAnsi" w:cstheme="minorHAnsi"/>
          <w:sz w:val="28"/>
          <w:szCs w:val="28"/>
        </w:rPr>
        <w:t xml:space="preserve"> report that the Metropolitan police is institutionally racist</w:t>
      </w:r>
      <w:r w:rsidR="002F1DD0" w:rsidRPr="006F7444">
        <w:rPr>
          <w:rFonts w:asciiTheme="minorHAnsi" w:hAnsiTheme="minorHAnsi" w:cstheme="minorHAnsi"/>
          <w:sz w:val="28"/>
          <w:szCs w:val="28"/>
        </w:rPr>
        <w:t xml:space="preserve">. The black community may </w:t>
      </w:r>
      <w:r w:rsidR="00AD7850" w:rsidRPr="006F7444">
        <w:rPr>
          <w:rFonts w:asciiTheme="minorHAnsi" w:hAnsiTheme="minorHAnsi" w:cstheme="minorHAnsi"/>
          <w:sz w:val="28"/>
          <w:szCs w:val="28"/>
        </w:rPr>
        <w:t>perceive</w:t>
      </w:r>
      <w:r w:rsidR="002F1DD0" w:rsidRPr="006F7444">
        <w:rPr>
          <w:rFonts w:asciiTheme="minorHAnsi" w:hAnsiTheme="minorHAnsi" w:cstheme="minorHAnsi"/>
          <w:sz w:val="28"/>
          <w:szCs w:val="28"/>
        </w:rPr>
        <w:t xml:space="preserve"> these practices as discriminatory and unjust </w:t>
      </w:r>
      <w:r w:rsidR="00AD7850" w:rsidRPr="006F7444">
        <w:rPr>
          <w:rFonts w:asciiTheme="minorHAnsi" w:hAnsiTheme="minorHAnsi" w:cstheme="minorHAnsi"/>
          <w:sz w:val="28"/>
          <w:szCs w:val="28"/>
        </w:rPr>
        <w:t>potentially leading to resentment towards law enforcement</w:t>
      </w:r>
      <w:r w:rsidR="006F7444" w:rsidRPr="006F7444">
        <w:rPr>
          <w:rFonts w:asciiTheme="minorHAnsi" w:hAnsiTheme="minorHAnsi" w:cstheme="minorHAnsi"/>
          <w:sz w:val="28"/>
          <w:szCs w:val="28"/>
        </w:rPr>
        <w:t xml:space="preserve"> for example, </w:t>
      </w:r>
      <w:r w:rsidR="00382E52" w:rsidRPr="006F7444">
        <w:rPr>
          <w:rFonts w:asciiTheme="minorHAnsi" w:hAnsiTheme="minorHAnsi" w:cstheme="minorHAnsi"/>
          <w:sz w:val="28"/>
          <w:szCs w:val="28"/>
        </w:rPr>
        <w:t>S. Taylor (1984) believes that t</w:t>
      </w:r>
      <w:r w:rsidR="00B560EB" w:rsidRPr="006F7444">
        <w:rPr>
          <w:rFonts w:asciiTheme="minorHAnsi" w:hAnsiTheme="minorHAnsi" w:cstheme="minorHAnsi"/>
          <w:sz w:val="28"/>
          <w:szCs w:val="28"/>
        </w:rPr>
        <w:t>he 1981 Brixton riots were a spontaneous eruption of anger</w:t>
      </w:r>
      <w:r w:rsidR="00B560EB" w:rsidRPr="006F7444">
        <w:rPr>
          <w:rFonts w:asciiTheme="minorHAnsi" w:hAnsiTheme="minorHAnsi" w:cstheme="minorHAnsi"/>
          <w:sz w:val="28"/>
          <w:szCs w:val="28"/>
        </w:rPr>
        <w:t>, f</w:t>
      </w:r>
      <w:r w:rsidR="00B560EB" w:rsidRPr="006F7444">
        <w:rPr>
          <w:rFonts w:asciiTheme="minorHAnsi" w:hAnsiTheme="minorHAnsi" w:cstheme="minorHAnsi"/>
          <w:sz w:val="28"/>
          <w:szCs w:val="28"/>
        </w:rPr>
        <w:t xml:space="preserve">rustration </w:t>
      </w:r>
      <w:r w:rsidR="00B560EB" w:rsidRPr="006F7444">
        <w:rPr>
          <w:rFonts w:asciiTheme="minorHAnsi" w:hAnsiTheme="minorHAnsi" w:cstheme="minorHAnsi"/>
          <w:sz w:val="28"/>
          <w:szCs w:val="28"/>
        </w:rPr>
        <w:t xml:space="preserve">and resentment </w:t>
      </w:r>
      <w:r w:rsidR="00B560EB" w:rsidRPr="006F7444">
        <w:rPr>
          <w:rFonts w:asciiTheme="minorHAnsi" w:hAnsiTheme="minorHAnsi" w:cstheme="minorHAnsi"/>
          <w:sz w:val="28"/>
          <w:szCs w:val="28"/>
        </w:rPr>
        <w:t>directed at the police in a backdrop of economic and social hardship</w:t>
      </w:r>
      <w:r w:rsidR="00382E52" w:rsidRPr="006F7444">
        <w:rPr>
          <w:rFonts w:asciiTheme="minorHAnsi" w:hAnsiTheme="minorHAnsi" w:cstheme="minorHAnsi"/>
          <w:sz w:val="28"/>
          <w:szCs w:val="28"/>
        </w:rPr>
        <w:t xml:space="preserve">. </w:t>
      </w:r>
      <w:r w:rsidR="00BE07C2" w:rsidRPr="006F7444">
        <w:rPr>
          <w:rFonts w:asciiTheme="minorHAnsi" w:hAnsiTheme="minorHAnsi" w:cstheme="minorHAnsi"/>
          <w:sz w:val="28"/>
          <w:szCs w:val="28"/>
        </w:rPr>
        <w:t xml:space="preserve">The escalating conflict between law enforcement and the community </w:t>
      </w:r>
      <w:r w:rsidR="00BE07C2" w:rsidRPr="006F7444">
        <w:rPr>
          <w:rFonts w:asciiTheme="minorHAnsi" w:hAnsiTheme="minorHAnsi" w:cstheme="minorHAnsi"/>
          <w:sz w:val="28"/>
          <w:szCs w:val="28"/>
        </w:rPr>
        <w:lastRenderedPageBreak/>
        <w:t>was exacerbated by the existence of the "sus law," which empowered the police to detain individuals they found suspicious. This legislation unfairly singled out black people, intensifying feelings of unfair treatment and bias, effectively legitimizing racial profiling</w:t>
      </w:r>
      <w:r w:rsidR="000110D5" w:rsidRPr="006F7444">
        <w:rPr>
          <w:rFonts w:asciiTheme="minorHAnsi" w:hAnsiTheme="minorHAnsi" w:cstheme="minorHAnsi"/>
          <w:sz w:val="28"/>
          <w:szCs w:val="28"/>
        </w:rPr>
        <w:t xml:space="preserve"> (Pierre</w:t>
      </w:r>
      <w:r w:rsidR="0014426B" w:rsidRPr="006F7444">
        <w:rPr>
          <w:rFonts w:asciiTheme="minorHAnsi" w:hAnsiTheme="minorHAnsi" w:cstheme="minorHAnsi"/>
          <w:sz w:val="28"/>
          <w:szCs w:val="28"/>
        </w:rPr>
        <w:t xml:space="preserve">, </w:t>
      </w:r>
      <w:r w:rsidR="000110D5" w:rsidRPr="006F7444">
        <w:rPr>
          <w:rFonts w:asciiTheme="minorHAnsi" w:hAnsiTheme="minorHAnsi" w:cstheme="minorHAnsi"/>
          <w:sz w:val="28"/>
          <w:szCs w:val="28"/>
        </w:rPr>
        <w:t>2022)</w:t>
      </w:r>
      <w:r w:rsidR="006965D7">
        <w:rPr>
          <w:rFonts w:asciiTheme="minorHAnsi" w:hAnsiTheme="minorHAnsi" w:cstheme="minorHAnsi"/>
          <w:sz w:val="28"/>
          <w:szCs w:val="28"/>
        </w:rPr>
        <w:t xml:space="preserve">. </w:t>
      </w:r>
      <w:r w:rsidR="00422261">
        <w:rPr>
          <w:rFonts w:asciiTheme="minorHAnsi" w:hAnsiTheme="minorHAnsi" w:cstheme="minorHAnsi"/>
          <w:sz w:val="28"/>
          <w:szCs w:val="28"/>
        </w:rPr>
        <w:t>While the Bri</w:t>
      </w:r>
      <w:r w:rsidR="004A1136">
        <w:rPr>
          <w:rFonts w:asciiTheme="minorHAnsi" w:hAnsiTheme="minorHAnsi" w:cstheme="minorHAnsi"/>
          <w:sz w:val="28"/>
          <w:szCs w:val="28"/>
        </w:rPr>
        <w:t>xton riots did not lead to immediate legal changes</w:t>
      </w:r>
      <w:r w:rsidR="00B5044C">
        <w:rPr>
          <w:rFonts w:asciiTheme="minorHAnsi" w:hAnsiTheme="minorHAnsi" w:cstheme="minorHAnsi"/>
          <w:sz w:val="28"/>
          <w:szCs w:val="28"/>
        </w:rPr>
        <w:t>, they were a catalyst for broader social and legal reforms aimed at addressing racial discrimination,</w:t>
      </w:r>
      <w:r w:rsidR="00B45E17">
        <w:rPr>
          <w:rFonts w:asciiTheme="minorHAnsi" w:hAnsiTheme="minorHAnsi" w:cstheme="minorHAnsi"/>
          <w:sz w:val="28"/>
          <w:szCs w:val="28"/>
        </w:rPr>
        <w:t xml:space="preserve"> The Scarman report was published in 1981</w:t>
      </w:r>
      <w:r w:rsidR="00AC7FD6">
        <w:rPr>
          <w:rFonts w:asciiTheme="minorHAnsi" w:hAnsiTheme="minorHAnsi" w:cstheme="minorHAnsi"/>
          <w:sz w:val="28"/>
          <w:szCs w:val="28"/>
        </w:rPr>
        <w:t xml:space="preserve"> and although it was not a legal change </w:t>
      </w:r>
      <w:r w:rsidR="00891969">
        <w:rPr>
          <w:rFonts w:asciiTheme="minorHAnsi" w:hAnsiTheme="minorHAnsi" w:cstheme="minorHAnsi"/>
          <w:sz w:val="28"/>
          <w:szCs w:val="28"/>
        </w:rPr>
        <w:t>it</w:t>
      </w:r>
      <w:r w:rsidR="00AC7FD6">
        <w:rPr>
          <w:rFonts w:asciiTheme="minorHAnsi" w:hAnsiTheme="minorHAnsi" w:cstheme="minorHAnsi"/>
          <w:sz w:val="28"/>
          <w:szCs w:val="28"/>
        </w:rPr>
        <w:t xml:space="preserve"> acknowledged institutional racism within the police and made recommendations</w:t>
      </w:r>
      <w:r w:rsidR="00201E43">
        <w:rPr>
          <w:rFonts w:asciiTheme="minorHAnsi" w:hAnsiTheme="minorHAnsi" w:cstheme="minorHAnsi"/>
          <w:sz w:val="28"/>
          <w:szCs w:val="28"/>
        </w:rPr>
        <w:t xml:space="preserve"> (</w:t>
      </w:r>
      <w:r w:rsidR="007348DF">
        <w:rPr>
          <w:rFonts w:asciiTheme="minorHAnsi" w:hAnsiTheme="minorHAnsi" w:cstheme="minorHAnsi"/>
          <w:sz w:val="28"/>
          <w:szCs w:val="28"/>
        </w:rPr>
        <w:t xml:space="preserve">Gloucestershire Council, 2023). </w:t>
      </w:r>
      <w:r w:rsidR="00B07E47" w:rsidRPr="00B07E47">
        <w:rPr>
          <w:rFonts w:asciiTheme="minorHAnsi" w:hAnsiTheme="minorHAnsi" w:cstheme="minorHAnsi"/>
          <w:sz w:val="28"/>
          <w:szCs w:val="28"/>
        </w:rPr>
        <w:t>T</w:t>
      </w:r>
      <w:r w:rsidR="00B07E47">
        <w:rPr>
          <w:rFonts w:asciiTheme="minorHAnsi" w:hAnsiTheme="minorHAnsi" w:cstheme="minorHAnsi"/>
          <w:sz w:val="28"/>
          <w:szCs w:val="28"/>
        </w:rPr>
        <w:t xml:space="preserve">he Brixton riots </w:t>
      </w:r>
      <w:r w:rsidR="00B07E47" w:rsidRPr="00B07E47">
        <w:rPr>
          <w:rFonts w:asciiTheme="minorHAnsi" w:hAnsiTheme="minorHAnsi" w:cstheme="minorHAnsi"/>
          <w:sz w:val="28"/>
          <w:szCs w:val="28"/>
        </w:rPr>
        <w:t>revealed deep-seated issues of inequality and discrimination within society and law enforcement. The riots themselves may not have immediately resulted in legal changes, but their impact was profound. They played a crucial role in raising awareness of these issues, ultimately leading to a series of legal and policy reforms aimed at rectifying the injustices highlighted by the events in Brixton.</w:t>
      </w:r>
    </w:p>
    <w:p w14:paraId="2B425312" w14:textId="77777777" w:rsidR="00AD7850" w:rsidRDefault="00AD7850" w:rsidP="004D4411">
      <w:pPr>
        <w:spacing w:line="360" w:lineRule="auto"/>
        <w:jc w:val="center"/>
        <w:rPr>
          <w:rFonts w:eastAsia="Calibri" w:cstheme="minorHAnsi"/>
          <w:sz w:val="28"/>
          <w:szCs w:val="28"/>
        </w:rPr>
      </w:pPr>
    </w:p>
    <w:p w14:paraId="0E1E7429" w14:textId="04C79ED1" w:rsidR="00607C9E" w:rsidRDefault="00854564" w:rsidP="004D4411">
      <w:pPr>
        <w:spacing w:line="360" w:lineRule="auto"/>
        <w:jc w:val="center"/>
        <w:rPr>
          <w:rFonts w:eastAsia="Calibri" w:cstheme="minorHAnsi"/>
          <w:sz w:val="28"/>
          <w:szCs w:val="28"/>
        </w:rPr>
      </w:pPr>
      <w:r>
        <w:rPr>
          <w:rFonts w:eastAsia="Calibri" w:cstheme="minorHAnsi"/>
          <w:sz w:val="28"/>
          <w:szCs w:val="28"/>
        </w:rPr>
        <w:t>One of the main ethical considerations for stop and search is r</w:t>
      </w:r>
      <w:r w:rsidR="001D1BB1">
        <w:rPr>
          <w:rFonts w:eastAsia="Calibri" w:cstheme="minorHAnsi"/>
          <w:sz w:val="28"/>
          <w:szCs w:val="28"/>
        </w:rPr>
        <w:t>acial profilin</w:t>
      </w:r>
      <w:r w:rsidR="004C754D">
        <w:rPr>
          <w:rFonts w:eastAsia="Calibri" w:cstheme="minorHAnsi"/>
          <w:sz w:val="28"/>
          <w:szCs w:val="28"/>
        </w:rPr>
        <w:t xml:space="preserve">g. Statistics </w:t>
      </w:r>
      <w:r w:rsidR="001066AA" w:rsidRPr="00471B67">
        <w:rPr>
          <w:rFonts w:eastAsia="Calibri" w:cstheme="minorHAnsi"/>
          <w:sz w:val="28"/>
          <w:szCs w:val="28"/>
        </w:rPr>
        <w:t>from Her</w:t>
      </w:r>
      <w:r w:rsidR="00502BA7" w:rsidRPr="00471B67">
        <w:rPr>
          <w:rFonts w:eastAsia="Calibri" w:cstheme="minorHAnsi"/>
          <w:sz w:val="28"/>
          <w:szCs w:val="28"/>
        </w:rPr>
        <w:t xml:space="preserve"> Majesty’s </w:t>
      </w:r>
      <w:r w:rsidR="001066AA" w:rsidRPr="00471B67">
        <w:rPr>
          <w:rFonts w:eastAsia="Calibri" w:cstheme="minorHAnsi"/>
          <w:sz w:val="28"/>
          <w:szCs w:val="28"/>
        </w:rPr>
        <w:t>Inspectorate</w:t>
      </w:r>
      <w:r w:rsidR="00502BA7" w:rsidRPr="00471B67">
        <w:rPr>
          <w:rFonts w:eastAsia="Calibri" w:cstheme="minorHAnsi"/>
          <w:sz w:val="28"/>
          <w:szCs w:val="28"/>
        </w:rPr>
        <w:t xml:space="preserve"> of Constabulary and </w:t>
      </w:r>
      <w:r w:rsidR="001066AA" w:rsidRPr="00471B67">
        <w:rPr>
          <w:rFonts w:eastAsia="Calibri" w:cstheme="minorHAnsi"/>
          <w:sz w:val="28"/>
          <w:szCs w:val="28"/>
        </w:rPr>
        <w:t>Fire</w:t>
      </w:r>
      <w:r w:rsidR="00502BA7" w:rsidRPr="00471B67">
        <w:rPr>
          <w:rFonts w:eastAsia="Calibri" w:cstheme="minorHAnsi"/>
          <w:sz w:val="28"/>
          <w:szCs w:val="28"/>
        </w:rPr>
        <w:t xml:space="preserve"> and Rescue Services</w:t>
      </w:r>
      <w:r w:rsidR="00180AE6">
        <w:rPr>
          <w:rFonts w:eastAsia="Calibri" w:cstheme="minorHAnsi"/>
          <w:sz w:val="28"/>
          <w:szCs w:val="28"/>
        </w:rPr>
        <w:t xml:space="preserve"> (2021</w:t>
      </w:r>
      <w:r w:rsidR="006927DD">
        <w:rPr>
          <w:rFonts w:eastAsia="Calibri" w:cstheme="minorHAnsi"/>
          <w:sz w:val="28"/>
          <w:szCs w:val="28"/>
        </w:rPr>
        <w:t>, HMICFRS</w:t>
      </w:r>
      <w:r w:rsidR="00180AE6">
        <w:rPr>
          <w:rFonts w:eastAsia="Calibri" w:cstheme="minorHAnsi"/>
          <w:sz w:val="28"/>
          <w:szCs w:val="28"/>
        </w:rPr>
        <w:t>)</w:t>
      </w:r>
      <w:r w:rsidR="00502BA7" w:rsidRPr="00471B67">
        <w:rPr>
          <w:rFonts w:eastAsia="Calibri" w:cstheme="minorHAnsi"/>
          <w:sz w:val="28"/>
          <w:szCs w:val="28"/>
        </w:rPr>
        <w:t xml:space="preserve"> show that</w:t>
      </w:r>
      <w:r w:rsidR="00502BA7">
        <w:rPr>
          <w:rFonts w:eastAsia="Calibri" w:cstheme="minorHAnsi"/>
          <w:sz w:val="28"/>
          <w:szCs w:val="28"/>
        </w:rPr>
        <w:t xml:space="preserve"> </w:t>
      </w:r>
      <w:r w:rsidR="003829B2">
        <w:rPr>
          <w:rFonts w:eastAsia="Calibri" w:cstheme="minorHAnsi"/>
          <w:sz w:val="28"/>
          <w:szCs w:val="28"/>
        </w:rPr>
        <w:t xml:space="preserve">during the </w:t>
      </w:r>
      <w:r w:rsidR="003829B2" w:rsidRPr="003829B2">
        <w:rPr>
          <w:rFonts w:eastAsia="Calibri" w:cstheme="minorHAnsi"/>
          <w:sz w:val="28"/>
          <w:szCs w:val="28"/>
        </w:rPr>
        <w:t xml:space="preserve">2019/20 period, individuals from Black, Asian, and Minority Ethnic backgrounds experienced a significantly higher likelihood of being subjected to stop and search procedures compared to White individuals. Specifically, Black individuals were almost nine times more likely to be stopped and searched, while the overall likelihood for </w:t>
      </w:r>
      <w:r w:rsidR="008249DF">
        <w:rPr>
          <w:rFonts w:eastAsia="Calibri" w:cstheme="minorHAnsi"/>
          <w:sz w:val="28"/>
          <w:szCs w:val="28"/>
        </w:rPr>
        <w:t xml:space="preserve">black, Asian and minority ethnic </w:t>
      </w:r>
      <w:r w:rsidR="003829B2" w:rsidRPr="003829B2">
        <w:rPr>
          <w:rFonts w:eastAsia="Calibri" w:cstheme="minorHAnsi"/>
          <w:sz w:val="28"/>
          <w:szCs w:val="28"/>
        </w:rPr>
        <w:t>individuals was over four times that of White individuals</w:t>
      </w:r>
      <w:r w:rsidR="007E6D05">
        <w:rPr>
          <w:rFonts w:eastAsia="Calibri" w:cstheme="minorHAnsi"/>
          <w:sz w:val="28"/>
          <w:szCs w:val="28"/>
        </w:rPr>
        <w:t xml:space="preserve"> </w:t>
      </w:r>
      <w:r w:rsidR="007E6D05">
        <w:rPr>
          <w:rFonts w:eastAsia="Calibri" w:cstheme="minorHAnsi"/>
          <w:sz w:val="28"/>
          <w:szCs w:val="28"/>
        </w:rPr>
        <w:t>(HMICFRS, 2021)</w:t>
      </w:r>
      <w:r w:rsidR="003829B2" w:rsidRPr="003829B2">
        <w:rPr>
          <w:rFonts w:eastAsia="Calibri" w:cstheme="minorHAnsi"/>
          <w:sz w:val="28"/>
          <w:szCs w:val="28"/>
        </w:rPr>
        <w:t xml:space="preserve">. Additionally, when it came to searches conducted under section 60 of the Criminal Justice and Public Order Act 1994, Black individuals were found to be 18 times more likely to undergo such searches </w:t>
      </w:r>
      <w:r w:rsidR="003829B2" w:rsidRPr="003829B2">
        <w:rPr>
          <w:rFonts w:eastAsia="Calibri" w:cstheme="minorHAnsi"/>
          <w:sz w:val="28"/>
          <w:szCs w:val="28"/>
        </w:rPr>
        <w:lastRenderedPageBreak/>
        <w:t>compared to White individuals</w:t>
      </w:r>
      <w:r w:rsidR="002946DE">
        <w:rPr>
          <w:rFonts w:eastAsia="Calibri" w:cstheme="minorHAnsi"/>
          <w:sz w:val="28"/>
          <w:szCs w:val="28"/>
        </w:rPr>
        <w:t xml:space="preserve">, </w:t>
      </w:r>
      <w:r w:rsidR="003A3D22" w:rsidRPr="003829B2">
        <w:rPr>
          <w:rFonts w:eastAsia="Calibri" w:cstheme="minorHAnsi"/>
          <w:sz w:val="28"/>
          <w:szCs w:val="28"/>
        </w:rPr>
        <w:t>this</w:t>
      </w:r>
      <w:r w:rsidR="003829B2" w:rsidRPr="003829B2">
        <w:rPr>
          <w:rFonts w:eastAsia="Calibri" w:cstheme="minorHAnsi"/>
          <w:sz w:val="28"/>
          <w:szCs w:val="28"/>
        </w:rPr>
        <w:t xml:space="preserve"> section grants </w:t>
      </w:r>
      <w:r w:rsidR="003A3D22">
        <w:rPr>
          <w:rFonts w:eastAsia="Calibri" w:cstheme="minorHAnsi"/>
          <w:sz w:val="28"/>
          <w:szCs w:val="28"/>
        </w:rPr>
        <w:t>officers</w:t>
      </w:r>
      <w:r w:rsidR="003829B2" w:rsidRPr="003829B2">
        <w:rPr>
          <w:rFonts w:eastAsia="Calibri" w:cstheme="minorHAnsi"/>
          <w:sz w:val="28"/>
          <w:szCs w:val="28"/>
        </w:rPr>
        <w:t xml:space="preserve"> temporary authority to conduct searches in a designated area without needing specific grounds, with the aim of recovering offensive weapons or potentially dangerous items in anticipation of serious violence.</w:t>
      </w:r>
      <w:r w:rsidR="00BD3CCF">
        <w:rPr>
          <w:rFonts w:eastAsia="Calibri" w:cstheme="minorHAnsi"/>
          <w:sz w:val="28"/>
          <w:szCs w:val="28"/>
        </w:rPr>
        <w:t xml:space="preserve"> </w:t>
      </w:r>
      <w:r w:rsidR="00DE7A43" w:rsidRPr="00DE7A43">
        <w:rPr>
          <w:rFonts w:eastAsia="Calibri" w:cstheme="minorHAnsi"/>
          <w:sz w:val="28"/>
          <w:szCs w:val="28"/>
        </w:rPr>
        <w:t xml:space="preserve">Statistics </w:t>
      </w:r>
      <w:r w:rsidR="00DE7A43">
        <w:rPr>
          <w:rFonts w:eastAsia="Calibri" w:cstheme="minorHAnsi"/>
          <w:sz w:val="28"/>
          <w:szCs w:val="28"/>
        </w:rPr>
        <w:t>reveal that</w:t>
      </w:r>
      <w:r w:rsidR="00DE7A43" w:rsidRPr="00DE7A43">
        <w:rPr>
          <w:rFonts w:eastAsia="Calibri" w:cstheme="minorHAnsi"/>
          <w:sz w:val="28"/>
          <w:szCs w:val="28"/>
        </w:rPr>
        <w:t xml:space="preserve"> racial profiling contribute</w:t>
      </w:r>
      <w:r w:rsidR="00DE7A43">
        <w:rPr>
          <w:rFonts w:eastAsia="Calibri" w:cstheme="minorHAnsi"/>
          <w:sz w:val="28"/>
          <w:szCs w:val="28"/>
        </w:rPr>
        <w:t>s</w:t>
      </w:r>
      <w:r w:rsidR="00DE7A43" w:rsidRPr="00DE7A43">
        <w:rPr>
          <w:rFonts w:eastAsia="Calibri" w:cstheme="minorHAnsi"/>
          <w:sz w:val="28"/>
          <w:szCs w:val="28"/>
        </w:rPr>
        <w:t xml:space="preserve"> to a diminished level of trust between the community and law enforcement. According to the National Police Chiefs Council (2022), the data indicates that Black individuals exhibit a notably lower level of confidence in their local police forces, registering at 64%, compared to the general average of 74%</w:t>
      </w:r>
      <w:r w:rsidR="00E10C2D">
        <w:rPr>
          <w:rFonts w:eastAsia="Calibri" w:cstheme="minorHAnsi"/>
          <w:sz w:val="28"/>
          <w:szCs w:val="28"/>
        </w:rPr>
        <w:t xml:space="preserve">, </w:t>
      </w:r>
      <w:r w:rsidR="00AA5BA9" w:rsidRPr="00AA5BA9">
        <w:rPr>
          <w:rFonts w:eastAsia="Calibri" w:cstheme="minorHAnsi"/>
          <w:sz w:val="28"/>
          <w:szCs w:val="28"/>
        </w:rPr>
        <w:t xml:space="preserve">If trust is lacking within Black and Minority Ethnic communities towards the police, it can significantly hinder law enforcement's effectiveness. Effective collaboration between communities and the police is vital for crime prevention and future safety. </w:t>
      </w:r>
      <w:r w:rsidR="00221399" w:rsidRPr="00221399">
        <w:rPr>
          <w:rFonts w:eastAsia="Calibri" w:cstheme="minorHAnsi"/>
          <w:sz w:val="28"/>
          <w:szCs w:val="28"/>
        </w:rPr>
        <w:t xml:space="preserve">The police can effectively carry out their responsibilities when they operate with the approval of the public, a principle known as 'Policing by consent.' This approach empowers law enforcement to </w:t>
      </w:r>
      <w:r w:rsidR="00221399">
        <w:rPr>
          <w:rFonts w:eastAsia="Calibri" w:cstheme="minorHAnsi"/>
          <w:sz w:val="28"/>
          <w:szCs w:val="28"/>
        </w:rPr>
        <w:t>fulfil</w:t>
      </w:r>
      <w:r w:rsidR="00221399" w:rsidRPr="00221399">
        <w:rPr>
          <w:rFonts w:eastAsia="Calibri" w:cstheme="minorHAnsi"/>
          <w:sz w:val="28"/>
          <w:szCs w:val="28"/>
        </w:rPr>
        <w:t xml:space="preserve"> their duties based on the collective agreement of the public, encompassing individuals from all racial and ethnic backgrounds, rather than solely relying on the consent of White individuals</w:t>
      </w:r>
      <w:r w:rsidR="00221399">
        <w:rPr>
          <w:rFonts w:eastAsia="Calibri" w:cstheme="minorHAnsi"/>
          <w:sz w:val="28"/>
          <w:szCs w:val="28"/>
        </w:rPr>
        <w:t xml:space="preserve"> (UK Parliament, 2023). </w:t>
      </w:r>
      <w:r w:rsidR="00AA5BA9" w:rsidRPr="00AA5BA9">
        <w:rPr>
          <w:rFonts w:eastAsia="Calibri" w:cstheme="minorHAnsi"/>
          <w:sz w:val="28"/>
          <w:szCs w:val="28"/>
        </w:rPr>
        <w:t>Trust in law enforcement is also a crucial element for individual safety and security. The absence of this trust could lead to a situation where witnesses or victims of crimes are reluctant to report incidents they've observed or experienced. This reluctance, in turn, increases the risk to the overall community as it results in fewer preventive measures being taken to address and deter criminal activities</w:t>
      </w:r>
      <w:r w:rsidR="00221399">
        <w:rPr>
          <w:rFonts w:eastAsia="Calibri" w:cstheme="minorHAnsi"/>
          <w:sz w:val="28"/>
          <w:szCs w:val="28"/>
        </w:rPr>
        <w:t xml:space="preserve"> (UK </w:t>
      </w:r>
      <w:r w:rsidR="00857FCC">
        <w:rPr>
          <w:rFonts w:eastAsia="Calibri" w:cstheme="minorHAnsi"/>
          <w:sz w:val="28"/>
          <w:szCs w:val="28"/>
        </w:rPr>
        <w:t>Parliament</w:t>
      </w:r>
      <w:r w:rsidR="00221399">
        <w:rPr>
          <w:rFonts w:eastAsia="Calibri" w:cstheme="minorHAnsi"/>
          <w:sz w:val="28"/>
          <w:szCs w:val="28"/>
        </w:rPr>
        <w:t xml:space="preserve">, 2023). </w:t>
      </w:r>
      <w:r w:rsidR="00C37BEA">
        <w:rPr>
          <w:rFonts w:eastAsia="Calibri" w:cstheme="minorHAnsi"/>
          <w:sz w:val="28"/>
          <w:szCs w:val="28"/>
        </w:rPr>
        <w:t>A case relating to racial profiling</w:t>
      </w:r>
      <w:r w:rsidR="006E78CC">
        <w:rPr>
          <w:rFonts w:eastAsia="Calibri" w:cstheme="minorHAnsi"/>
          <w:sz w:val="28"/>
          <w:szCs w:val="28"/>
        </w:rPr>
        <w:t xml:space="preserve"> that </w:t>
      </w:r>
      <w:r w:rsidR="00C37BEA">
        <w:rPr>
          <w:rFonts w:eastAsia="Calibri" w:cstheme="minorHAnsi"/>
          <w:sz w:val="28"/>
          <w:szCs w:val="28"/>
        </w:rPr>
        <w:t xml:space="preserve">had a significant </w:t>
      </w:r>
      <w:r w:rsidR="006E78CC">
        <w:rPr>
          <w:rFonts w:eastAsia="Calibri" w:cstheme="minorHAnsi"/>
          <w:sz w:val="28"/>
          <w:szCs w:val="28"/>
        </w:rPr>
        <w:t xml:space="preserve">role in stop and search </w:t>
      </w:r>
      <w:r w:rsidR="00056002">
        <w:rPr>
          <w:rFonts w:eastAsia="Calibri" w:cstheme="minorHAnsi"/>
          <w:sz w:val="28"/>
          <w:szCs w:val="28"/>
        </w:rPr>
        <w:t xml:space="preserve">and police practices is Stephen Lawrence. </w:t>
      </w:r>
      <w:r w:rsidR="001B30D7" w:rsidRPr="001B30D7">
        <w:rPr>
          <w:rFonts w:eastAsia="Calibri" w:cstheme="minorHAnsi"/>
          <w:sz w:val="28"/>
          <w:szCs w:val="28"/>
        </w:rPr>
        <w:t xml:space="preserve">In 1993, Stephen Lawrence was tragically killed in a racially motivated attack. Following the initial police inquiry, five individuals were arrested but not found </w:t>
      </w:r>
      <w:r w:rsidR="00730DB7" w:rsidRPr="001B30D7">
        <w:rPr>
          <w:rFonts w:eastAsia="Calibri" w:cstheme="minorHAnsi"/>
          <w:sz w:val="28"/>
          <w:szCs w:val="28"/>
        </w:rPr>
        <w:t>guilty</w:t>
      </w:r>
      <w:r w:rsidR="00730DB7">
        <w:rPr>
          <w:rFonts w:eastAsia="Calibri" w:cstheme="minorHAnsi"/>
          <w:sz w:val="28"/>
          <w:szCs w:val="28"/>
        </w:rPr>
        <w:t xml:space="preserve"> (</w:t>
      </w:r>
      <w:r w:rsidR="009B4126" w:rsidRPr="00582075">
        <w:rPr>
          <w:rFonts w:cstheme="minorHAnsi"/>
          <w:sz w:val="28"/>
          <w:szCs w:val="28"/>
        </w:rPr>
        <w:t>Macpherson, W</w:t>
      </w:r>
      <w:r w:rsidR="009B4126">
        <w:rPr>
          <w:rFonts w:cstheme="minorHAnsi"/>
          <w:sz w:val="28"/>
          <w:szCs w:val="28"/>
        </w:rPr>
        <w:t xml:space="preserve">, </w:t>
      </w:r>
      <w:r w:rsidR="009B4126" w:rsidRPr="00582075">
        <w:rPr>
          <w:rFonts w:cstheme="minorHAnsi"/>
          <w:sz w:val="28"/>
          <w:szCs w:val="28"/>
        </w:rPr>
        <w:t>1999</w:t>
      </w:r>
      <w:r w:rsidR="00730DB7">
        <w:rPr>
          <w:rFonts w:eastAsia="Calibri" w:cstheme="minorHAnsi"/>
          <w:sz w:val="28"/>
          <w:szCs w:val="28"/>
        </w:rPr>
        <w:t>).</w:t>
      </w:r>
      <w:r w:rsidR="001B30D7" w:rsidRPr="001B30D7">
        <w:rPr>
          <w:rFonts w:eastAsia="Calibri" w:cstheme="minorHAnsi"/>
          <w:sz w:val="28"/>
          <w:szCs w:val="28"/>
        </w:rPr>
        <w:t xml:space="preserve"> Subsequently, a public investigation into the </w:t>
      </w:r>
      <w:r w:rsidR="001B30D7" w:rsidRPr="001B30D7">
        <w:rPr>
          <w:rFonts w:eastAsia="Calibri" w:cstheme="minorHAnsi"/>
          <w:sz w:val="28"/>
          <w:szCs w:val="28"/>
        </w:rPr>
        <w:lastRenderedPageBreak/>
        <w:t>way Stephen's case was handled took place in 1998. This inquiry resulted in the Macpherson Report, which is often regarded as a pivotal event in the contemporary history of the British criminal justice system</w:t>
      </w:r>
      <w:r w:rsidR="009B4126">
        <w:rPr>
          <w:rFonts w:eastAsia="Calibri" w:cstheme="minorHAnsi"/>
          <w:sz w:val="28"/>
          <w:szCs w:val="28"/>
        </w:rPr>
        <w:t xml:space="preserve"> </w:t>
      </w:r>
      <w:r w:rsidR="009B4126">
        <w:rPr>
          <w:rFonts w:eastAsia="Calibri" w:cstheme="minorHAnsi"/>
          <w:sz w:val="28"/>
          <w:szCs w:val="28"/>
        </w:rPr>
        <w:t>(</w:t>
      </w:r>
      <w:r w:rsidR="009B4126" w:rsidRPr="00582075">
        <w:rPr>
          <w:rFonts w:cstheme="minorHAnsi"/>
          <w:sz w:val="28"/>
          <w:szCs w:val="28"/>
        </w:rPr>
        <w:t>Macpherson,</w:t>
      </w:r>
      <w:r w:rsidR="00A60FEC">
        <w:rPr>
          <w:rFonts w:cstheme="minorHAnsi"/>
          <w:sz w:val="28"/>
          <w:szCs w:val="28"/>
        </w:rPr>
        <w:t xml:space="preserve"> </w:t>
      </w:r>
      <w:r w:rsidR="009B4126" w:rsidRPr="00582075">
        <w:rPr>
          <w:rFonts w:cstheme="minorHAnsi"/>
          <w:sz w:val="28"/>
          <w:szCs w:val="28"/>
        </w:rPr>
        <w:t>1999</w:t>
      </w:r>
      <w:r w:rsidR="009B4126">
        <w:rPr>
          <w:rFonts w:eastAsia="Calibri" w:cstheme="minorHAnsi"/>
          <w:sz w:val="28"/>
          <w:szCs w:val="28"/>
        </w:rPr>
        <w:t>).</w:t>
      </w:r>
      <w:r w:rsidR="009B4126" w:rsidRPr="001B30D7">
        <w:rPr>
          <w:rFonts w:eastAsia="Calibri" w:cstheme="minorHAnsi"/>
          <w:sz w:val="28"/>
          <w:szCs w:val="28"/>
        </w:rPr>
        <w:t xml:space="preserve"> </w:t>
      </w:r>
      <w:r w:rsidR="008F1219" w:rsidRPr="008F1219">
        <w:rPr>
          <w:rFonts w:eastAsia="Calibri" w:cstheme="minorHAnsi"/>
          <w:sz w:val="28"/>
          <w:szCs w:val="28"/>
        </w:rPr>
        <w:t>The report concluded that the London Metropolitan Police was institutionally racist and identified several contributing factors. One major criticism was that they did not thoroughly investigate the case and did not treat it with the seriousness it deserved, reflecting an institutional failure to address a racially motivated crime. The report also highlighted that police officers were more likely to stop and search Black individuals based on stereotypes rather than reasonable suspicion, which corroborated the statistics showing that Black individuals were nine times more likely to be searched, as reported by HMICFRS. Additionally, cultural factors within the police force were noted as perpetuating racial bias, including a lack of awareness and training on issues of race and racism.</w:t>
      </w:r>
      <w:r w:rsidR="00133758">
        <w:rPr>
          <w:rFonts w:eastAsia="Calibri" w:cstheme="minorHAnsi"/>
          <w:sz w:val="28"/>
          <w:szCs w:val="28"/>
        </w:rPr>
        <w:t xml:space="preserve"> </w:t>
      </w:r>
      <w:r w:rsidR="008F1219" w:rsidRPr="008F1219">
        <w:rPr>
          <w:rFonts w:eastAsia="Calibri" w:cstheme="minorHAnsi"/>
          <w:sz w:val="28"/>
          <w:szCs w:val="28"/>
        </w:rPr>
        <w:t>As a result of the case, changes were made to legislation and policies in policing. The Independent Police Complaints Commission was established to handle complaints and allegations of misconduct against police officers and forces, although it has since been replaced by the Independent Office for Police Conduct</w:t>
      </w:r>
      <w:r w:rsidR="008F1219">
        <w:rPr>
          <w:rFonts w:eastAsia="Calibri" w:cstheme="minorHAnsi"/>
          <w:sz w:val="28"/>
          <w:szCs w:val="28"/>
        </w:rPr>
        <w:t xml:space="preserve"> </w:t>
      </w:r>
      <w:r w:rsidR="008F1219" w:rsidRPr="008F1219">
        <w:rPr>
          <w:rFonts w:eastAsia="Calibri" w:cstheme="minorHAnsi"/>
          <w:sz w:val="28"/>
          <w:szCs w:val="28"/>
        </w:rPr>
        <w:t>(Crime Prosecution Service, 2022).</w:t>
      </w:r>
      <w:r w:rsidR="00A1357C">
        <w:rPr>
          <w:rFonts w:eastAsia="Calibri" w:cstheme="minorHAnsi"/>
          <w:sz w:val="28"/>
          <w:szCs w:val="28"/>
        </w:rPr>
        <w:t xml:space="preserve"> </w:t>
      </w:r>
      <w:r w:rsidR="000D7A65" w:rsidRPr="000D7A65">
        <w:rPr>
          <w:rFonts w:cstheme="minorHAnsi"/>
          <w:color w:val="333333"/>
          <w:sz w:val="28"/>
          <w:szCs w:val="28"/>
          <w:shd w:val="clear" w:color="auto" w:fill="FFFFFF"/>
        </w:rPr>
        <w:t xml:space="preserve">The Macpherson report recommended that police forces should reflect the diversity of the communities they serve, and it suggested setting targets for the recruitment, advancement, and retention of minority ethnic police officers. However, the ten-year targets established by the then Home Secretary, which aimed for an overall representation of 7% for minority ethnic officers in the service by 2009, were not achieved. Even as of 2020, the proportion of BME (Black and Minority Ethnic) officers in the police service throughout England and Wales remained at just 7%, still significantly below the 14% of the population in England and Wales who identify as BME. </w:t>
      </w:r>
      <w:r w:rsidR="000D7A65" w:rsidRPr="000D7A65">
        <w:rPr>
          <w:rFonts w:cstheme="minorHAnsi"/>
          <w:color w:val="333333"/>
          <w:sz w:val="28"/>
          <w:szCs w:val="28"/>
          <w:shd w:val="clear" w:color="auto" w:fill="FFFFFF"/>
        </w:rPr>
        <w:lastRenderedPageBreak/>
        <w:t>This underrepresentation is most pronounced among senior ranks, with only 4% of officers at or above the rank of chief inspector coming from BME backgrounds</w:t>
      </w:r>
      <w:r w:rsidR="00F0723D">
        <w:rPr>
          <w:rFonts w:cstheme="minorHAnsi"/>
          <w:color w:val="333333"/>
          <w:sz w:val="28"/>
          <w:szCs w:val="28"/>
          <w:shd w:val="clear" w:color="auto" w:fill="FFFFFF"/>
        </w:rPr>
        <w:t xml:space="preserve"> (National Police Chiefs Council</w:t>
      </w:r>
      <w:r w:rsidR="000D7A65">
        <w:rPr>
          <w:rFonts w:cstheme="minorHAnsi"/>
          <w:color w:val="333333"/>
          <w:sz w:val="28"/>
          <w:szCs w:val="28"/>
          <w:shd w:val="clear" w:color="auto" w:fill="FFFFFF"/>
        </w:rPr>
        <w:t>,</w:t>
      </w:r>
      <w:r w:rsidR="00F0723D">
        <w:rPr>
          <w:rFonts w:cstheme="minorHAnsi"/>
          <w:color w:val="333333"/>
          <w:sz w:val="28"/>
          <w:szCs w:val="28"/>
          <w:shd w:val="clear" w:color="auto" w:fill="FFFFFF"/>
        </w:rPr>
        <w:t xml:space="preserve"> 2023), </w:t>
      </w:r>
      <w:r w:rsidR="000D7A65">
        <w:rPr>
          <w:rFonts w:cstheme="minorHAnsi"/>
          <w:color w:val="333333"/>
          <w:sz w:val="28"/>
          <w:szCs w:val="28"/>
          <w:shd w:val="clear" w:color="auto" w:fill="FFFFFF"/>
        </w:rPr>
        <w:t xml:space="preserve"> this shows that </w:t>
      </w:r>
      <w:r w:rsidR="00BE0171">
        <w:rPr>
          <w:rFonts w:cstheme="minorHAnsi"/>
          <w:color w:val="333333"/>
          <w:sz w:val="28"/>
          <w:szCs w:val="28"/>
          <w:shd w:val="clear" w:color="auto" w:fill="FFFFFF"/>
        </w:rPr>
        <w:t xml:space="preserve">black and ethnic minorities are still unrepresented after the change’s </w:t>
      </w:r>
      <w:r w:rsidR="00EC5872">
        <w:rPr>
          <w:rFonts w:cstheme="minorHAnsi"/>
          <w:color w:val="333333"/>
          <w:sz w:val="28"/>
          <w:szCs w:val="28"/>
          <w:shd w:val="clear" w:color="auto" w:fill="FFFFFF"/>
        </w:rPr>
        <w:t>recommended,</w:t>
      </w:r>
      <w:r w:rsidR="00BE0171">
        <w:rPr>
          <w:rFonts w:cstheme="minorHAnsi"/>
          <w:color w:val="333333"/>
          <w:sz w:val="28"/>
          <w:szCs w:val="28"/>
          <w:shd w:val="clear" w:color="auto" w:fill="FFFFFF"/>
        </w:rPr>
        <w:t xml:space="preserve"> and the target has failed </w:t>
      </w:r>
      <w:r w:rsidR="00F0723D">
        <w:rPr>
          <w:rFonts w:cstheme="minorHAnsi"/>
          <w:color w:val="333333"/>
          <w:sz w:val="28"/>
          <w:szCs w:val="28"/>
          <w:shd w:val="clear" w:color="auto" w:fill="FFFFFF"/>
        </w:rPr>
        <w:t>and now showing</w:t>
      </w:r>
      <w:r w:rsidR="00F10345">
        <w:rPr>
          <w:rFonts w:cstheme="minorHAnsi"/>
          <w:color w:val="333333"/>
          <w:sz w:val="28"/>
          <w:szCs w:val="28"/>
          <w:shd w:val="clear" w:color="auto" w:fill="FFFFFF"/>
        </w:rPr>
        <w:t xml:space="preserve"> that police need more effective strategies and </w:t>
      </w:r>
      <w:r w:rsidR="00F0723D">
        <w:rPr>
          <w:rFonts w:cstheme="minorHAnsi"/>
          <w:color w:val="333333"/>
          <w:sz w:val="28"/>
          <w:szCs w:val="28"/>
          <w:shd w:val="clear" w:color="auto" w:fill="FFFFFF"/>
        </w:rPr>
        <w:t>policies</w:t>
      </w:r>
      <w:r w:rsidR="00F10345">
        <w:rPr>
          <w:rFonts w:cstheme="minorHAnsi"/>
          <w:color w:val="333333"/>
          <w:sz w:val="28"/>
          <w:szCs w:val="28"/>
          <w:shd w:val="clear" w:color="auto" w:fill="FFFFFF"/>
        </w:rPr>
        <w:t xml:space="preserve"> to address these shortcomings to ensure that the police force is more </w:t>
      </w:r>
      <w:r w:rsidR="00F0723D">
        <w:rPr>
          <w:rFonts w:cstheme="minorHAnsi"/>
          <w:color w:val="333333"/>
          <w:sz w:val="28"/>
          <w:szCs w:val="28"/>
          <w:shd w:val="clear" w:color="auto" w:fill="FFFFFF"/>
        </w:rPr>
        <w:t>reflective</w:t>
      </w:r>
      <w:r w:rsidR="00F10345">
        <w:rPr>
          <w:rFonts w:cstheme="minorHAnsi"/>
          <w:color w:val="333333"/>
          <w:sz w:val="28"/>
          <w:szCs w:val="28"/>
          <w:shd w:val="clear" w:color="auto" w:fill="FFFFFF"/>
        </w:rPr>
        <w:t xml:space="preserve"> of the diverse society today.</w:t>
      </w:r>
    </w:p>
    <w:p w14:paraId="02594134" w14:textId="77777777" w:rsidR="008662A7" w:rsidRDefault="008662A7" w:rsidP="004D4411">
      <w:pPr>
        <w:spacing w:line="360" w:lineRule="auto"/>
        <w:jc w:val="center"/>
        <w:rPr>
          <w:rFonts w:eastAsia="Calibri" w:cstheme="minorHAnsi"/>
          <w:sz w:val="28"/>
          <w:szCs w:val="28"/>
        </w:rPr>
      </w:pPr>
    </w:p>
    <w:p w14:paraId="356098B5" w14:textId="53C93277" w:rsidR="008662A7" w:rsidRDefault="008662A7" w:rsidP="004D4411">
      <w:pPr>
        <w:spacing w:line="360" w:lineRule="auto"/>
        <w:jc w:val="center"/>
        <w:rPr>
          <w:rFonts w:eastAsia="Calibri" w:cstheme="minorHAnsi"/>
          <w:sz w:val="28"/>
          <w:szCs w:val="28"/>
        </w:rPr>
      </w:pPr>
      <w:r w:rsidRPr="008662A7">
        <w:rPr>
          <w:rFonts w:eastAsia="Calibri" w:cstheme="minorHAnsi"/>
          <w:sz w:val="28"/>
          <w:szCs w:val="28"/>
        </w:rPr>
        <w:t xml:space="preserve">In conclusion, the historical context of Section 1 Stop and Search Powers in the United Kingdom has been fraught with controversy, often raising concerns about civil liberties, human rights, and racial discrimination. The analysis of past incidents within the community has highlighted how these incidents have profoundly influenced best practices concerning the use of these powers. The impact has been significant, particularly in terms of professional </w:t>
      </w:r>
      <w:r>
        <w:rPr>
          <w:rFonts w:eastAsia="Calibri" w:cstheme="minorHAnsi"/>
          <w:sz w:val="28"/>
          <w:szCs w:val="28"/>
        </w:rPr>
        <w:t>behaviour</w:t>
      </w:r>
      <w:r w:rsidRPr="008662A7">
        <w:rPr>
          <w:rFonts w:eastAsia="Calibri" w:cstheme="minorHAnsi"/>
          <w:sz w:val="28"/>
          <w:szCs w:val="28"/>
        </w:rPr>
        <w:t xml:space="preserve"> and adherence to the Code of Ethics in policing.</w:t>
      </w:r>
      <w:r>
        <w:rPr>
          <w:rFonts w:eastAsia="Calibri" w:cstheme="minorHAnsi"/>
          <w:sz w:val="28"/>
          <w:szCs w:val="28"/>
        </w:rPr>
        <w:t xml:space="preserve"> </w:t>
      </w:r>
      <w:r w:rsidRPr="008662A7">
        <w:rPr>
          <w:rFonts w:eastAsia="Calibri" w:cstheme="minorHAnsi"/>
          <w:sz w:val="28"/>
          <w:szCs w:val="28"/>
        </w:rPr>
        <w:t xml:space="preserve">The Police and Criminal Evidence Act 1984 (PACE) plays a pivotal role in providing a legal framework for these powers while emphasizing the necessity of "reasonable grounds for suspicion." This legislative safeguard ensures that </w:t>
      </w:r>
      <w:r>
        <w:rPr>
          <w:rFonts w:eastAsia="Calibri" w:cstheme="minorHAnsi"/>
          <w:sz w:val="28"/>
          <w:szCs w:val="28"/>
        </w:rPr>
        <w:t>stop-and-search</w:t>
      </w:r>
      <w:r w:rsidRPr="008662A7">
        <w:rPr>
          <w:rFonts w:eastAsia="Calibri" w:cstheme="minorHAnsi"/>
          <w:sz w:val="28"/>
          <w:szCs w:val="28"/>
        </w:rPr>
        <w:t xml:space="preserve"> actions are rooted in justifiable concerns, thereby balancing the scales between effective law enforcement and the protection of individual rights.</w:t>
      </w:r>
      <w:r>
        <w:rPr>
          <w:rFonts w:eastAsia="Calibri" w:cstheme="minorHAnsi"/>
          <w:sz w:val="28"/>
          <w:szCs w:val="28"/>
        </w:rPr>
        <w:t xml:space="preserve"> </w:t>
      </w:r>
      <w:r w:rsidRPr="008662A7">
        <w:rPr>
          <w:rFonts w:eastAsia="Calibri" w:cstheme="minorHAnsi"/>
          <w:sz w:val="28"/>
          <w:szCs w:val="28"/>
        </w:rPr>
        <w:t xml:space="preserve">Moreover, the Code of Ethics, introduced by the College of Policing, underpins the standards of professional </w:t>
      </w:r>
      <w:r>
        <w:rPr>
          <w:rFonts w:eastAsia="Calibri" w:cstheme="minorHAnsi"/>
          <w:sz w:val="28"/>
          <w:szCs w:val="28"/>
        </w:rPr>
        <w:t>behaviour</w:t>
      </w:r>
      <w:r w:rsidRPr="008662A7">
        <w:rPr>
          <w:rFonts w:eastAsia="Calibri" w:cstheme="minorHAnsi"/>
          <w:sz w:val="28"/>
          <w:szCs w:val="28"/>
        </w:rPr>
        <w:t xml:space="preserve"> within the policing sector. It sets forth nine fundamental components, encompassing accountability, fairness, honesty, integrity, leadership, objectivity, openness, respect, and selflessness. These principles, when adhered to diligently, foster trust between law enforcement and the community, promoting public safety and upholding the rule of law.</w:t>
      </w:r>
      <w:r w:rsidR="00621905">
        <w:rPr>
          <w:rFonts w:eastAsia="Calibri" w:cstheme="minorHAnsi"/>
          <w:sz w:val="28"/>
          <w:szCs w:val="28"/>
        </w:rPr>
        <w:t xml:space="preserve"> </w:t>
      </w:r>
      <w:r w:rsidRPr="008662A7">
        <w:rPr>
          <w:rFonts w:eastAsia="Calibri" w:cstheme="minorHAnsi"/>
          <w:sz w:val="28"/>
          <w:szCs w:val="28"/>
        </w:rPr>
        <w:lastRenderedPageBreak/>
        <w:t>However, the ethical consideration of racial profiling remains a critical issue in the context of stop and search. The analysis of statistics demonstrates that individuals from Black, Asian, and Minority Ethnic backgrounds are disproportionately subjected to stop and search procedures, eroding trust between the community and law enforcement. The case of Stephen Lawrence exemplifies the consequences of racial bias, leading to institutional changes and recommendations, yet there remains a need for more effective strategies and policies to ensure that the police force better reflects the diverse society it serves.</w:t>
      </w:r>
      <w:r w:rsidR="00621905">
        <w:rPr>
          <w:rFonts w:eastAsia="Calibri" w:cstheme="minorHAnsi"/>
          <w:sz w:val="28"/>
          <w:szCs w:val="28"/>
        </w:rPr>
        <w:t xml:space="preserve"> </w:t>
      </w:r>
      <w:r w:rsidRPr="008662A7">
        <w:rPr>
          <w:rFonts w:eastAsia="Calibri" w:cstheme="minorHAnsi"/>
          <w:sz w:val="28"/>
          <w:szCs w:val="28"/>
        </w:rPr>
        <w:t>The historical incidents and reforms underscore the ongoing necessity for vigilance and progress in addressing the challenges related to stop and search powers. The preservation of trust and collaboration between the police and the community remains paramount, as it underpins effective law enforcement and public safety. The journey towards achieving fair and unbiased policing is continuous, with the past acting as a catalyst for shaping the path forward and reaffirming the commitment to a just and equitable society.</w:t>
      </w:r>
    </w:p>
    <w:p w14:paraId="0724979D" w14:textId="01773BB4" w:rsidR="008662A7" w:rsidRDefault="008662A7" w:rsidP="008662A7">
      <w:pPr>
        <w:spacing w:line="360" w:lineRule="auto"/>
        <w:rPr>
          <w:rFonts w:eastAsia="Calibri" w:cstheme="minorHAnsi"/>
          <w:sz w:val="28"/>
          <w:szCs w:val="28"/>
        </w:rPr>
      </w:pPr>
    </w:p>
    <w:p w14:paraId="1A8FB8CA" w14:textId="77777777" w:rsidR="00621905" w:rsidRDefault="00621905" w:rsidP="00234229">
      <w:pPr>
        <w:rPr>
          <w:rFonts w:cstheme="minorHAnsi"/>
          <w:sz w:val="28"/>
          <w:szCs w:val="28"/>
        </w:rPr>
      </w:pPr>
    </w:p>
    <w:p w14:paraId="198E2AFC" w14:textId="77777777" w:rsidR="00621905" w:rsidRDefault="00621905" w:rsidP="00234229">
      <w:pPr>
        <w:rPr>
          <w:rFonts w:cstheme="minorHAnsi"/>
          <w:sz w:val="28"/>
          <w:szCs w:val="28"/>
        </w:rPr>
      </w:pPr>
    </w:p>
    <w:p w14:paraId="54D096CF" w14:textId="77777777" w:rsidR="00621905" w:rsidRDefault="00621905" w:rsidP="00234229">
      <w:pPr>
        <w:rPr>
          <w:rFonts w:cstheme="minorHAnsi"/>
          <w:sz w:val="28"/>
          <w:szCs w:val="28"/>
        </w:rPr>
      </w:pPr>
    </w:p>
    <w:p w14:paraId="7F1D48F9" w14:textId="60D9AA99" w:rsidR="00621905" w:rsidRDefault="00621905" w:rsidP="00234229">
      <w:pPr>
        <w:rPr>
          <w:rFonts w:cstheme="minorHAnsi"/>
          <w:sz w:val="28"/>
          <w:szCs w:val="28"/>
        </w:rPr>
      </w:pPr>
    </w:p>
    <w:p w14:paraId="5CFA2448" w14:textId="77777777" w:rsidR="004D4411" w:rsidRDefault="004D4411" w:rsidP="00234229">
      <w:pPr>
        <w:rPr>
          <w:rFonts w:cstheme="minorHAnsi"/>
          <w:sz w:val="28"/>
          <w:szCs w:val="28"/>
        </w:rPr>
      </w:pPr>
    </w:p>
    <w:p w14:paraId="7E4BBF6D" w14:textId="77777777" w:rsidR="004D4411" w:rsidRDefault="004D4411" w:rsidP="00234229">
      <w:pPr>
        <w:rPr>
          <w:rFonts w:cstheme="minorHAnsi"/>
          <w:sz w:val="28"/>
          <w:szCs w:val="28"/>
        </w:rPr>
      </w:pPr>
    </w:p>
    <w:p w14:paraId="649488AA" w14:textId="77777777" w:rsidR="004D4411" w:rsidRDefault="004D4411" w:rsidP="00234229">
      <w:pPr>
        <w:rPr>
          <w:rFonts w:cstheme="minorHAnsi"/>
          <w:sz w:val="28"/>
          <w:szCs w:val="28"/>
        </w:rPr>
      </w:pPr>
    </w:p>
    <w:p w14:paraId="65A34F4A" w14:textId="77777777" w:rsidR="00D61E2A" w:rsidRDefault="00D61E2A" w:rsidP="00FF6C21">
      <w:pPr>
        <w:rPr>
          <w:rFonts w:cstheme="minorHAnsi"/>
          <w:sz w:val="28"/>
          <w:szCs w:val="28"/>
        </w:rPr>
      </w:pPr>
    </w:p>
    <w:p w14:paraId="17AB7AC6" w14:textId="6428CD8F" w:rsidR="00621905" w:rsidRDefault="00621905" w:rsidP="006A253D">
      <w:pPr>
        <w:jc w:val="center"/>
        <w:rPr>
          <w:rFonts w:cstheme="minorHAnsi"/>
          <w:sz w:val="28"/>
          <w:szCs w:val="28"/>
          <w:u w:val="single"/>
        </w:rPr>
      </w:pPr>
      <w:r w:rsidRPr="00234229">
        <w:rPr>
          <w:rFonts w:cstheme="minorHAnsi"/>
          <w:sz w:val="28"/>
          <w:szCs w:val="28"/>
          <w:u w:val="single"/>
        </w:rPr>
        <w:lastRenderedPageBreak/>
        <w:t>References:</w:t>
      </w:r>
    </w:p>
    <w:p w14:paraId="78F0AD35" w14:textId="68B675FF" w:rsidR="00621905" w:rsidRDefault="00621905" w:rsidP="006A253D">
      <w:pPr>
        <w:jc w:val="center"/>
        <w:rPr>
          <w:rFonts w:cstheme="minorHAnsi"/>
          <w:sz w:val="28"/>
          <w:szCs w:val="28"/>
        </w:rPr>
      </w:pPr>
      <w:proofErr w:type="spellStart"/>
      <w:r w:rsidRPr="00604758">
        <w:rPr>
          <w:rFonts w:cstheme="minorHAnsi"/>
          <w:sz w:val="28"/>
          <w:szCs w:val="28"/>
        </w:rPr>
        <w:t>Chi</w:t>
      </w:r>
      <w:r>
        <w:rPr>
          <w:rFonts w:cstheme="minorHAnsi"/>
          <w:sz w:val="28"/>
          <w:szCs w:val="28"/>
        </w:rPr>
        <w:t>ew</w:t>
      </w:r>
      <w:proofErr w:type="spellEnd"/>
      <w:r>
        <w:rPr>
          <w:rFonts w:cstheme="minorHAnsi"/>
          <w:sz w:val="28"/>
          <w:szCs w:val="28"/>
        </w:rPr>
        <w:t xml:space="preserve"> Yin Jones (2023) Cited from The Guardian (2023) </w:t>
      </w:r>
      <w:r w:rsidRPr="009D7947">
        <w:rPr>
          <w:rFonts w:cstheme="minorHAnsi"/>
          <w:i/>
          <w:iCs/>
          <w:sz w:val="28"/>
          <w:szCs w:val="28"/>
        </w:rPr>
        <w:t>Met Officers sacked for lying in stop and search of black athletes in car.</w:t>
      </w:r>
      <w:r>
        <w:rPr>
          <w:rFonts w:cstheme="minorHAnsi"/>
          <w:i/>
          <w:iCs/>
          <w:sz w:val="28"/>
          <w:szCs w:val="28"/>
        </w:rPr>
        <w:t xml:space="preserve"> </w:t>
      </w:r>
      <w:r w:rsidRPr="00D05E3A">
        <w:rPr>
          <w:rFonts w:cstheme="minorHAnsi"/>
          <w:sz w:val="28"/>
          <w:szCs w:val="28"/>
        </w:rPr>
        <w:t>Available</w:t>
      </w:r>
      <w:r>
        <w:rPr>
          <w:rFonts w:cstheme="minorHAnsi"/>
          <w:sz w:val="28"/>
          <w:szCs w:val="28"/>
        </w:rPr>
        <w:t xml:space="preserve"> at: </w:t>
      </w:r>
      <w:hyperlink r:id="rId6" w:history="1">
        <w:r w:rsidRPr="008E1CCF">
          <w:rPr>
            <w:rStyle w:val="Hyperlink"/>
            <w:rFonts w:cstheme="minorHAnsi"/>
            <w:sz w:val="28"/>
            <w:szCs w:val="28"/>
          </w:rPr>
          <w:t>https://www.theguardian.com/uk-news/2023/oct/25/met-officers-guilty-of-gross-misconduct-over-stop-and-search-of-black-athletes</w:t>
        </w:r>
      </w:hyperlink>
      <w:r>
        <w:rPr>
          <w:rFonts w:cstheme="minorHAnsi"/>
          <w:sz w:val="28"/>
          <w:szCs w:val="28"/>
        </w:rPr>
        <w:t>. [Accessed: 07 November 2023].</w:t>
      </w:r>
    </w:p>
    <w:p w14:paraId="695CD17B" w14:textId="77777777" w:rsidR="00A0140F" w:rsidRPr="00234229" w:rsidRDefault="00A0140F" w:rsidP="006A253D">
      <w:pPr>
        <w:jc w:val="center"/>
        <w:rPr>
          <w:rFonts w:cstheme="minorHAnsi"/>
          <w:sz w:val="28"/>
          <w:szCs w:val="28"/>
        </w:rPr>
      </w:pPr>
      <w:r w:rsidRPr="00234229">
        <w:rPr>
          <w:rFonts w:cstheme="minorHAnsi"/>
          <w:sz w:val="28"/>
          <w:szCs w:val="28"/>
        </w:rPr>
        <w:t>College Of Policing (2017</w:t>
      </w:r>
      <w:r w:rsidRPr="00234229">
        <w:rPr>
          <w:rFonts w:cstheme="minorHAnsi"/>
          <w:i/>
          <w:iCs/>
          <w:sz w:val="28"/>
          <w:szCs w:val="28"/>
        </w:rPr>
        <w:t>) Stop and Search</w:t>
      </w:r>
      <w:r w:rsidRPr="00234229">
        <w:rPr>
          <w:rFonts w:cstheme="minorHAnsi"/>
          <w:sz w:val="28"/>
          <w:szCs w:val="28"/>
        </w:rPr>
        <w:t xml:space="preserve">. Available at: </w:t>
      </w:r>
      <w:hyperlink r:id="rId7" w:history="1">
        <w:r w:rsidRPr="008E1CCF">
          <w:rPr>
            <w:rStyle w:val="Hyperlink"/>
            <w:rFonts w:cstheme="minorHAnsi"/>
            <w:sz w:val="28"/>
            <w:szCs w:val="28"/>
          </w:rPr>
          <w:t>https://www.college.police.uk/app/stop-and-search/stop-and-search</w:t>
        </w:r>
      </w:hyperlink>
      <w:r>
        <w:rPr>
          <w:rFonts w:cstheme="minorHAnsi"/>
          <w:sz w:val="28"/>
          <w:szCs w:val="28"/>
        </w:rPr>
        <w:t>. [</w:t>
      </w:r>
      <w:r w:rsidRPr="00234229">
        <w:rPr>
          <w:rFonts w:cstheme="minorHAnsi"/>
          <w:sz w:val="28"/>
          <w:szCs w:val="28"/>
        </w:rPr>
        <w:t>Accessed: 27</w:t>
      </w:r>
      <w:r>
        <w:rPr>
          <w:rFonts w:cstheme="minorHAnsi"/>
          <w:sz w:val="28"/>
          <w:szCs w:val="28"/>
        </w:rPr>
        <w:t xml:space="preserve"> October </w:t>
      </w:r>
      <w:r w:rsidRPr="00234229">
        <w:rPr>
          <w:rFonts w:cstheme="minorHAnsi"/>
          <w:sz w:val="28"/>
          <w:szCs w:val="28"/>
        </w:rPr>
        <w:t>2023</w:t>
      </w:r>
      <w:r>
        <w:rPr>
          <w:rFonts w:cstheme="minorHAnsi"/>
          <w:sz w:val="28"/>
          <w:szCs w:val="28"/>
        </w:rPr>
        <w:t>]</w:t>
      </w:r>
      <w:r w:rsidRPr="00234229">
        <w:rPr>
          <w:rFonts w:cstheme="minorHAnsi"/>
          <w:sz w:val="28"/>
          <w:szCs w:val="28"/>
        </w:rPr>
        <w:t>.</w:t>
      </w:r>
    </w:p>
    <w:p w14:paraId="45087E10" w14:textId="0C62C12B" w:rsidR="00621905" w:rsidRPr="00FF6C21" w:rsidRDefault="00621905" w:rsidP="006A253D">
      <w:pPr>
        <w:jc w:val="center"/>
        <w:rPr>
          <w:rFonts w:cstheme="minorHAnsi"/>
          <w:sz w:val="28"/>
          <w:szCs w:val="28"/>
        </w:rPr>
      </w:pPr>
      <w:r>
        <w:rPr>
          <w:rFonts w:cstheme="minorHAnsi"/>
          <w:color w:val="121212"/>
          <w:sz w:val="28"/>
          <w:szCs w:val="28"/>
          <w:shd w:val="clear" w:color="auto" w:fill="FFFFFF"/>
        </w:rPr>
        <w:t xml:space="preserve">Criminal Justice Inspectorates (1999) </w:t>
      </w:r>
      <w:r w:rsidRPr="00A36371">
        <w:rPr>
          <w:rFonts w:cstheme="minorHAnsi"/>
          <w:i/>
          <w:iCs/>
          <w:color w:val="121212"/>
          <w:sz w:val="28"/>
          <w:szCs w:val="28"/>
          <w:shd w:val="clear" w:color="auto" w:fill="FFFFFF"/>
        </w:rPr>
        <w:t>Police Integrity, securing and maintaining police confidence.</w:t>
      </w:r>
      <w:r>
        <w:rPr>
          <w:rFonts w:cstheme="minorHAnsi"/>
          <w:color w:val="121212"/>
          <w:sz w:val="28"/>
          <w:szCs w:val="28"/>
          <w:shd w:val="clear" w:color="auto" w:fill="FFFFFF"/>
        </w:rPr>
        <w:t xml:space="preserve"> Available at: </w:t>
      </w:r>
      <w:hyperlink r:id="rId8" w:history="1">
        <w:r w:rsidRPr="008E1CCF">
          <w:rPr>
            <w:rStyle w:val="Hyperlink"/>
            <w:rFonts w:cstheme="minorHAnsi"/>
            <w:sz w:val="28"/>
            <w:szCs w:val="28"/>
            <w:shd w:val="clear" w:color="auto" w:fill="FFFFFF"/>
          </w:rPr>
          <w:t>https://assets-hmicfrs.justiceinspectorates.gov.uk/uploads/police-integrity-19990601.pdf</w:t>
        </w:r>
      </w:hyperlink>
      <w:r>
        <w:rPr>
          <w:rFonts w:cstheme="minorHAnsi"/>
          <w:color w:val="121212"/>
          <w:sz w:val="28"/>
          <w:szCs w:val="28"/>
          <w:shd w:val="clear" w:color="auto" w:fill="FFFFFF"/>
        </w:rPr>
        <w:t>. [Accessed: 07 November 2023].</w:t>
      </w:r>
    </w:p>
    <w:sdt>
      <w:sdtPr>
        <w:id w:val="-636262908"/>
        <w:bibliography/>
      </w:sdtPr>
      <w:sdtContent>
        <w:p w14:paraId="21649F67" w14:textId="4FEF27EF" w:rsidR="00A0140F" w:rsidRPr="00A0140F" w:rsidRDefault="00A0140F" w:rsidP="006A253D">
          <w:pPr>
            <w:pStyle w:val="Bibliography"/>
            <w:jc w:val="center"/>
            <w:rPr>
              <w:sz w:val="28"/>
              <w:szCs w:val="28"/>
            </w:rPr>
          </w:pPr>
          <w:r w:rsidRPr="00696948">
            <w:rPr>
              <w:sz w:val="28"/>
              <w:szCs w:val="28"/>
            </w:rPr>
            <w:t xml:space="preserve">Gloucestershire Council, 2023. </w:t>
          </w:r>
          <w:r w:rsidRPr="00696948">
            <w:rPr>
              <w:i/>
              <w:iCs/>
              <w:sz w:val="28"/>
              <w:szCs w:val="28"/>
            </w:rPr>
            <w:t>Scarman Report.</w:t>
          </w:r>
          <w:r w:rsidRPr="00696948">
            <w:rPr>
              <w:sz w:val="28"/>
              <w:szCs w:val="28"/>
            </w:rPr>
            <w:t xml:space="preserve"> Available at: </w:t>
          </w:r>
          <w:hyperlink r:id="rId9" w:history="1">
            <w:r w:rsidRPr="008E1CCF">
              <w:rPr>
                <w:rStyle w:val="Hyperlink"/>
                <w:sz w:val="28"/>
                <w:szCs w:val="28"/>
              </w:rPr>
              <w:t>https://www.gloucestershire.gov.uk/your-community/black-history-month/black-history-month-2020/race-relations-acts-1965-2000/scarman-report/</w:t>
            </w:r>
          </w:hyperlink>
          <w:r>
            <w:rPr>
              <w:sz w:val="28"/>
              <w:szCs w:val="28"/>
            </w:rPr>
            <w:t xml:space="preserve">. </w:t>
          </w:r>
          <w:r w:rsidRPr="00696948">
            <w:rPr>
              <w:sz w:val="28"/>
              <w:szCs w:val="28"/>
            </w:rPr>
            <w:t>[Accessed 07 November 2023].</w:t>
          </w:r>
        </w:p>
      </w:sdtContent>
    </w:sdt>
    <w:p w14:paraId="71B45DDE" w14:textId="3C34E3DE" w:rsidR="00621905" w:rsidRDefault="00621905" w:rsidP="006A253D">
      <w:pPr>
        <w:jc w:val="center"/>
        <w:rPr>
          <w:rFonts w:cstheme="minorHAnsi"/>
          <w:sz w:val="28"/>
          <w:szCs w:val="28"/>
        </w:rPr>
      </w:pPr>
      <w:r w:rsidRPr="009778D0">
        <w:rPr>
          <w:rFonts w:cstheme="minorHAnsi"/>
          <w:sz w:val="28"/>
          <w:szCs w:val="28"/>
        </w:rPr>
        <w:t>Her Majesty's Inspectorate of Constabulary and Fire &amp; Rescue Services (</w:t>
      </w:r>
      <w:r>
        <w:rPr>
          <w:rFonts w:cstheme="minorHAnsi"/>
          <w:sz w:val="28"/>
          <w:szCs w:val="28"/>
        </w:rPr>
        <w:t>2021</w:t>
      </w:r>
      <w:r w:rsidRPr="009778D0">
        <w:rPr>
          <w:rFonts w:cstheme="minorHAnsi"/>
          <w:sz w:val="28"/>
          <w:szCs w:val="28"/>
        </w:rPr>
        <w:t>).</w:t>
      </w:r>
      <w:r>
        <w:rPr>
          <w:rFonts w:cstheme="minorHAnsi"/>
          <w:sz w:val="28"/>
          <w:szCs w:val="28"/>
        </w:rPr>
        <w:t xml:space="preserve"> </w:t>
      </w:r>
      <w:r w:rsidRPr="009778D0">
        <w:rPr>
          <w:rFonts w:cstheme="minorHAnsi"/>
          <w:i/>
          <w:iCs/>
          <w:sz w:val="28"/>
          <w:szCs w:val="28"/>
        </w:rPr>
        <w:t>HMICFRS Disproportionate use of police powers: A spotlight on stop and search and the use of force</w:t>
      </w:r>
      <w:r w:rsidRPr="009778D0">
        <w:rPr>
          <w:rFonts w:cstheme="minorHAnsi"/>
          <w:sz w:val="28"/>
          <w:szCs w:val="28"/>
        </w:rPr>
        <w:t>.</w:t>
      </w:r>
      <w:r>
        <w:rPr>
          <w:rFonts w:cstheme="minorHAnsi"/>
          <w:sz w:val="28"/>
          <w:szCs w:val="28"/>
        </w:rPr>
        <w:t xml:space="preserve"> </w:t>
      </w:r>
      <w:r w:rsidRPr="009778D0">
        <w:rPr>
          <w:rFonts w:cstheme="minorHAnsi"/>
          <w:sz w:val="28"/>
          <w:szCs w:val="28"/>
        </w:rPr>
        <w:t>Available at</w:t>
      </w:r>
      <w:r>
        <w:rPr>
          <w:rFonts w:cstheme="minorHAnsi"/>
          <w:sz w:val="28"/>
          <w:szCs w:val="28"/>
        </w:rPr>
        <w:t>:</w:t>
      </w:r>
      <w:r w:rsidRPr="009778D0">
        <w:rPr>
          <w:rFonts w:cstheme="minorHAnsi"/>
          <w:sz w:val="28"/>
          <w:szCs w:val="28"/>
        </w:rPr>
        <w:t xml:space="preserve"> </w:t>
      </w:r>
      <w:hyperlink r:id="rId10" w:history="1">
        <w:r w:rsidRPr="008E1CCF">
          <w:rPr>
            <w:rStyle w:val="Hyperlink"/>
            <w:rFonts w:cstheme="minorHAnsi"/>
            <w:sz w:val="28"/>
            <w:szCs w:val="28"/>
          </w:rPr>
          <w:t>https://assets-hmicfrs.justiceinspectorates.gov.uk/uploads/disproportionate-use-of-police-powers-spotlight-on-stop-search-and-use-of-force.pdf</w:t>
        </w:r>
      </w:hyperlink>
      <w:r>
        <w:rPr>
          <w:rFonts w:cstheme="minorHAnsi"/>
          <w:sz w:val="28"/>
          <w:szCs w:val="28"/>
        </w:rPr>
        <w:t>. [</w:t>
      </w:r>
      <w:r w:rsidRPr="009778D0">
        <w:rPr>
          <w:rFonts w:cstheme="minorHAnsi"/>
          <w:sz w:val="28"/>
          <w:szCs w:val="28"/>
        </w:rPr>
        <w:t xml:space="preserve">Accessed </w:t>
      </w:r>
      <w:r>
        <w:rPr>
          <w:rFonts w:cstheme="minorHAnsi"/>
          <w:sz w:val="28"/>
          <w:szCs w:val="28"/>
        </w:rPr>
        <w:t>06 November 2023]</w:t>
      </w:r>
      <w:r w:rsidRPr="009778D0">
        <w:rPr>
          <w:rFonts w:cstheme="minorHAnsi"/>
          <w:sz w:val="28"/>
          <w:szCs w:val="28"/>
        </w:rPr>
        <w:t>.</w:t>
      </w:r>
    </w:p>
    <w:p w14:paraId="656ACA03" w14:textId="77777777" w:rsidR="00A0140F" w:rsidRDefault="00A0140F" w:rsidP="006A253D">
      <w:pPr>
        <w:jc w:val="center"/>
        <w:rPr>
          <w:rFonts w:cstheme="minorHAnsi"/>
          <w:sz w:val="28"/>
          <w:szCs w:val="28"/>
        </w:rPr>
      </w:pPr>
      <w:r>
        <w:rPr>
          <w:rFonts w:cstheme="minorHAnsi"/>
          <w:sz w:val="28"/>
          <w:szCs w:val="28"/>
        </w:rPr>
        <w:t>Home Office</w:t>
      </w:r>
      <w:r w:rsidRPr="00234229">
        <w:rPr>
          <w:rFonts w:cstheme="minorHAnsi"/>
          <w:sz w:val="28"/>
          <w:szCs w:val="28"/>
        </w:rPr>
        <w:t xml:space="preserve"> (2022). </w:t>
      </w:r>
      <w:r w:rsidRPr="00D66058">
        <w:rPr>
          <w:rFonts w:cstheme="minorHAnsi"/>
          <w:i/>
          <w:iCs/>
          <w:sz w:val="28"/>
          <w:szCs w:val="28"/>
        </w:rPr>
        <w:t>'PACE Code A (Revised) - Principles Governing Stop and Search'</w:t>
      </w:r>
      <w:r w:rsidRPr="00234229">
        <w:rPr>
          <w:rFonts w:cstheme="minorHAnsi"/>
          <w:sz w:val="28"/>
          <w:szCs w:val="28"/>
          <w:u w:val="single"/>
        </w:rPr>
        <w:t>.</w:t>
      </w:r>
      <w:r w:rsidRPr="00234229">
        <w:rPr>
          <w:rFonts w:cstheme="minorHAnsi"/>
          <w:sz w:val="28"/>
          <w:szCs w:val="28"/>
        </w:rPr>
        <w:t xml:space="preserve"> </w:t>
      </w:r>
      <w:r>
        <w:rPr>
          <w:rFonts w:cstheme="minorHAnsi"/>
          <w:sz w:val="28"/>
          <w:szCs w:val="28"/>
        </w:rPr>
        <w:t xml:space="preserve"> </w:t>
      </w:r>
      <w:r w:rsidRPr="00234229">
        <w:rPr>
          <w:rFonts w:cstheme="minorHAnsi"/>
          <w:sz w:val="28"/>
          <w:szCs w:val="28"/>
        </w:rPr>
        <w:t xml:space="preserve">Available at: </w:t>
      </w:r>
      <w:hyperlink r:id="rId11" w:history="1">
        <w:r w:rsidRPr="008E1CCF">
          <w:rPr>
            <w:rStyle w:val="Hyperlink"/>
            <w:rFonts w:cstheme="minorHAnsi"/>
            <w:sz w:val="28"/>
            <w:szCs w:val="28"/>
          </w:rPr>
          <w:t>https://webarchive.nationalarchives.gov.uk/ukgwa/20221216132830/https://www.gov.uk/government/publications/pace-code-a-2015/code-a-revised-accessible#principles-governing-stop-and-search</w:t>
        </w:r>
      </w:hyperlink>
      <w:r>
        <w:rPr>
          <w:rFonts w:cstheme="minorHAnsi"/>
          <w:sz w:val="28"/>
          <w:szCs w:val="28"/>
        </w:rPr>
        <w:t>. [</w:t>
      </w:r>
      <w:r w:rsidRPr="00234229">
        <w:rPr>
          <w:rFonts w:cstheme="minorHAnsi"/>
          <w:sz w:val="28"/>
          <w:szCs w:val="28"/>
        </w:rPr>
        <w:t>Accessed: 27</w:t>
      </w:r>
      <w:r>
        <w:rPr>
          <w:rFonts w:cstheme="minorHAnsi"/>
          <w:sz w:val="28"/>
          <w:szCs w:val="28"/>
        </w:rPr>
        <w:t xml:space="preserve"> October </w:t>
      </w:r>
      <w:r w:rsidRPr="00234229">
        <w:rPr>
          <w:rFonts w:cstheme="minorHAnsi"/>
          <w:sz w:val="28"/>
          <w:szCs w:val="28"/>
        </w:rPr>
        <w:t>2023</w:t>
      </w:r>
      <w:r>
        <w:rPr>
          <w:rFonts w:cstheme="minorHAnsi"/>
          <w:sz w:val="28"/>
          <w:szCs w:val="28"/>
        </w:rPr>
        <w:t>]</w:t>
      </w:r>
      <w:r w:rsidRPr="00234229">
        <w:rPr>
          <w:rFonts w:cstheme="minorHAnsi"/>
          <w:sz w:val="28"/>
          <w:szCs w:val="28"/>
        </w:rPr>
        <w:t>.</w:t>
      </w:r>
    </w:p>
    <w:p w14:paraId="2A857F84" w14:textId="78F9133A" w:rsidR="00621905" w:rsidRPr="00234229" w:rsidRDefault="00621905" w:rsidP="006A253D">
      <w:pPr>
        <w:jc w:val="center"/>
        <w:rPr>
          <w:rFonts w:cstheme="minorHAnsi"/>
          <w:sz w:val="28"/>
          <w:szCs w:val="28"/>
        </w:rPr>
      </w:pPr>
      <w:r>
        <w:rPr>
          <w:rFonts w:cstheme="minorHAnsi"/>
          <w:sz w:val="28"/>
          <w:szCs w:val="28"/>
        </w:rPr>
        <w:t xml:space="preserve">Home Office (2021) </w:t>
      </w:r>
      <w:r w:rsidRPr="007460D3">
        <w:rPr>
          <w:rFonts w:cstheme="minorHAnsi"/>
          <w:i/>
          <w:iCs/>
          <w:sz w:val="28"/>
          <w:szCs w:val="28"/>
        </w:rPr>
        <w:t>Crime and Policing.</w:t>
      </w:r>
      <w:r>
        <w:rPr>
          <w:rFonts w:cstheme="minorHAnsi"/>
          <w:sz w:val="28"/>
          <w:szCs w:val="28"/>
        </w:rPr>
        <w:t xml:space="preserve"> Available at: </w:t>
      </w:r>
      <w:hyperlink r:id="rId12" w:history="1">
        <w:r w:rsidRPr="008E1CCF">
          <w:rPr>
            <w:rStyle w:val="Hyperlink"/>
            <w:rFonts w:cstheme="minorHAnsi"/>
            <w:sz w:val="28"/>
            <w:szCs w:val="28"/>
          </w:rPr>
          <w:t>https://www.gov.uk/government/publications/the-report-of-the-commission-on-race-and-ethnic-disparities/crime-and-policing#fn:3</w:t>
        </w:r>
      </w:hyperlink>
      <w:r>
        <w:rPr>
          <w:rFonts w:cstheme="minorHAnsi"/>
          <w:sz w:val="28"/>
          <w:szCs w:val="28"/>
        </w:rPr>
        <w:t>. [Accessed: 07 November 2023].</w:t>
      </w:r>
    </w:p>
    <w:p w14:paraId="7B6F0BBE" w14:textId="64F8176F" w:rsidR="00621905" w:rsidRPr="00234229" w:rsidRDefault="00621905" w:rsidP="006A253D">
      <w:pPr>
        <w:jc w:val="center"/>
        <w:rPr>
          <w:rFonts w:cstheme="minorHAnsi"/>
          <w:sz w:val="28"/>
          <w:szCs w:val="28"/>
        </w:rPr>
      </w:pPr>
      <w:r>
        <w:rPr>
          <w:rFonts w:cstheme="minorHAnsi"/>
          <w:sz w:val="28"/>
          <w:szCs w:val="28"/>
        </w:rPr>
        <w:lastRenderedPageBreak/>
        <w:t xml:space="preserve">Home Office </w:t>
      </w:r>
      <w:r w:rsidRPr="00234229">
        <w:rPr>
          <w:rFonts w:cstheme="minorHAnsi"/>
          <w:sz w:val="28"/>
          <w:szCs w:val="28"/>
        </w:rPr>
        <w:t xml:space="preserve">(2021) </w:t>
      </w:r>
      <w:r w:rsidRPr="00234229">
        <w:rPr>
          <w:rFonts w:cstheme="minorHAnsi"/>
          <w:i/>
          <w:iCs/>
          <w:sz w:val="28"/>
          <w:szCs w:val="28"/>
        </w:rPr>
        <w:t>Police 'Stop and Search' Powers</w:t>
      </w:r>
      <w:r w:rsidRPr="00234229">
        <w:rPr>
          <w:rFonts w:cstheme="minorHAnsi"/>
          <w:sz w:val="28"/>
          <w:szCs w:val="28"/>
        </w:rPr>
        <w:t xml:space="preserve">. Available at: </w:t>
      </w:r>
      <w:hyperlink r:id="rId13" w:history="1">
        <w:r w:rsidRPr="008E1CCF">
          <w:rPr>
            <w:rStyle w:val="Hyperlink"/>
            <w:rFonts w:cstheme="minorHAnsi"/>
            <w:sz w:val="28"/>
            <w:szCs w:val="28"/>
          </w:rPr>
          <w:t>https://www.gov.uk/government/consultations/police-stop-and-search-powers</w:t>
        </w:r>
      </w:hyperlink>
      <w:r>
        <w:rPr>
          <w:rFonts w:cstheme="minorHAnsi"/>
          <w:sz w:val="28"/>
          <w:szCs w:val="28"/>
        </w:rPr>
        <w:t>. [</w:t>
      </w:r>
      <w:r w:rsidRPr="00234229">
        <w:rPr>
          <w:rFonts w:cstheme="minorHAnsi"/>
          <w:sz w:val="28"/>
          <w:szCs w:val="28"/>
        </w:rPr>
        <w:t>Accessed: 27</w:t>
      </w:r>
      <w:r>
        <w:rPr>
          <w:rFonts w:cstheme="minorHAnsi"/>
          <w:sz w:val="28"/>
          <w:szCs w:val="28"/>
        </w:rPr>
        <w:t xml:space="preserve"> October 2</w:t>
      </w:r>
      <w:r w:rsidRPr="00234229">
        <w:rPr>
          <w:rFonts w:cstheme="minorHAnsi"/>
          <w:sz w:val="28"/>
          <w:szCs w:val="28"/>
        </w:rPr>
        <w:t>023</w:t>
      </w:r>
      <w:r>
        <w:rPr>
          <w:rFonts w:cstheme="minorHAnsi"/>
          <w:sz w:val="28"/>
          <w:szCs w:val="28"/>
        </w:rPr>
        <w:t>]</w:t>
      </w:r>
      <w:r w:rsidRPr="00234229">
        <w:rPr>
          <w:rFonts w:cstheme="minorHAnsi"/>
          <w:sz w:val="28"/>
          <w:szCs w:val="28"/>
        </w:rPr>
        <w:t>.</w:t>
      </w:r>
    </w:p>
    <w:p w14:paraId="01713A02" w14:textId="1966F060" w:rsidR="00621905" w:rsidRDefault="00621905" w:rsidP="006A253D">
      <w:pPr>
        <w:jc w:val="center"/>
        <w:rPr>
          <w:rFonts w:cstheme="minorHAnsi"/>
          <w:sz w:val="28"/>
          <w:szCs w:val="28"/>
        </w:rPr>
      </w:pPr>
      <w:r w:rsidRPr="00582075">
        <w:rPr>
          <w:rFonts w:cstheme="minorHAnsi"/>
          <w:sz w:val="28"/>
          <w:szCs w:val="28"/>
        </w:rPr>
        <w:t>Macpherson, W (1999). The Stephen Lawrence Inquiry: Report of an Inquiry. Presented to Parliament by the Secretary of State for the Home Department by Co</w:t>
      </w:r>
      <w:r w:rsidR="00FF6C21">
        <w:rPr>
          <w:rFonts w:cstheme="minorHAnsi"/>
          <w:sz w:val="28"/>
          <w:szCs w:val="28"/>
        </w:rPr>
        <w:t>m</w:t>
      </w:r>
      <w:r w:rsidRPr="00582075">
        <w:rPr>
          <w:rFonts w:cstheme="minorHAnsi"/>
          <w:sz w:val="28"/>
          <w:szCs w:val="28"/>
        </w:rPr>
        <w:t>mand of Her Majesty. (Cm 4262-I).</w:t>
      </w:r>
    </w:p>
    <w:p w14:paraId="5CD6A2F1" w14:textId="29B46090" w:rsidR="00621905" w:rsidRDefault="00621905" w:rsidP="006A253D">
      <w:pPr>
        <w:jc w:val="center"/>
        <w:rPr>
          <w:rFonts w:cstheme="minorHAnsi"/>
          <w:sz w:val="28"/>
          <w:szCs w:val="28"/>
        </w:rPr>
      </w:pPr>
      <w:r>
        <w:rPr>
          <w:rFonts w:cstheme="minorHAnsi"/>
          <w:sz w:val="28"/>
          <w:szCs w:val="28"/>
        </w:rPr>
        <w:t xml:space="preserve">National Police Chiefs’ Council (2022) ‘Police Race Action Plan: Improving Policing for Black People’. Available at: </w:t>
      </w:r>
      <w:hyperlink r:id="rId14" w:history="1">
        <w:r w:rsidRPr="008E1CCF">
          <w:rPr>
            <w:rStyle w:val="Hyperlink"/>
            <w:rFonts w:cstheme="minorHAnsi"/>
            <w:sz w:val="28"/>
            <w:szCs w:val="28"/>
          </w:rPr>
          <w:t>https://news.npcc.police.uk/releases/police-action-plan-launched-aiming-to-address-race-disparities-affecting-black-people-and-change-a-legacy-of-distrust</w:t>
        </w:r>
      </w:hyperlink>
      <w:r>
        <w:rPr>
          <w:rFonts w:cstheme="minorHAnsi"/>
          <w:sz w:val="28"/>
          <w:szCs w:val="28"/>
        </w:rPr>
        <w:t>. [Accessed: 06 November 2023].</w:t>
      </w:r>
    </w:p>
    <w:p w14:paraId="133B8195" w14:textId="07E92E76" w:rsidR="004945E3" w:rsidRPr="00EE1B3D" w:rsidRDefault="004945E3" w:rsidP="006A253D">
      <w:pPr>
        <w:jc w:val="center"/>
        <w:rPr>
          <w:rFonts w:cstheme="minorHAnsi"/>
          <w:sz w:val="28"/>
          <w:szCs w:val="28"/>
        </w:rPr>
      </w:pPr>
      <w:proofErr w:type="spellStart"/>
      <w:r w:rsidRPr="00EE1B3D">
        <w:rPr>
          <w:rFonts w:cstheme="minorHAnsi"/>
          <w:sz w:val="28"/>
          <w:szCs w:val="28"/>
        </w:rPr>
        <w:t>Nikolls</w:t>
      </w:r>
      <w:proofErr w:type="spellEnd"/>
      <w:r w:rsidRPr="00EE1B3D">
        <w:rPr>
          <w:rFonts w:cstheme="minorHAnsi"/>
          <w:sz w:val="28"/>
          <w:szCs w:val="28"/>
        </w:rPr>
        <w:t xml:space="preserve">, L. Allen, G (2022) </w:t>
      </w:r>
      <w:r w:rsidRPr="00EE1B3D">
        <w:rPr>
          <w:rFonts w:cstheme="minorHAnsi"/>
          <w:i/>
          <w:iCs/>
          <w:sz w:val="28"/>
          <w:szCs w:val="28"/>
        </w:rPr>
        <w:t>Police Powers: Stop and Search.</w:t>
      </w:r>
      <w:r w:rsidRPr="00EE1B3D">
        <w:rPr>
          <w:rFonts w:cstheme="minorHAnsi"/>
          <w:sz w:val="28"/>
          <w:szCs w:val="28"/>
        </w:rPr>
        <w:t xml:space="preserve"> UK Parliament: House of Commons Library. Available at: </w:t>
      </w:r>
      <w:hyperlink r:id="rId15" w:history="1">
        <w:r w:rsidRPr="008E1CCF">
          <w:rPr>
            <w:rStyle w:val="Hyperlink"/>
            <w:rFonts w:cstheme="minorHAnsi"/>
            <w:sz w:val="28"/>
            <w:szCs w:val="28"/>
          </w:rPr>
          <w:t>https://researchbriefings.files.parliament.uk/documents/SN03878/SN03878.pdf</w:t>
        </w:r>
      </w:hyperlink>
      <w:r>
        <w:rPr>
          <w:rFonts w:cstheme="minorHAnsi"/>
          <w:sz w:val="28"/>
          <w:szCs w:val="28"/>
        </w:rPr>
        <w:t>. [</w:t>
      </w:r>
      <w:r w:rsidRPr="00EE1B3D">
        <w:rPr>
          <w:rFonts w:cstheme="minorHAnsi"/>
          <w:sz w:val="28"/>
          <w:szCs w:val="28"/>
        </w:rPr>
        <w:t>Accessed: 27</w:t>
      </w:r>
      <w:r>
        <w:rPr>
          <w:rFonts w:cstheme="minorHAnsi"/>
          <w:sz w:val="28"/>
          <w:szCs w:val="28"/>
        </w:rPr>
        <w:t xml:space="preserve"> October </w:t>
      </w:r>
      <w:r w:rsidRPr="00EE1B3D">
        <w:rPr>
          <w:rFonts w:cstheme="minorHAnsi"/>
          <w:sz w:val="28"/>
          <w:szCs w:val="28"/>
        </w:rPr>
        <w:t>2023</w:t>
      </w:r>
      <w:r>
        <w:rPr>
          <w:rFonts w:cstheme="minorHAnsi"/>
          <w:sz w:val="28"/>
          <w:szCs w:val="28"/>
        </w:rPr>
        <w:t>]</w:t>
      </w:r>
      <w:r w:rsidRPr="00EE1B3D">
        <w:rPr>
          <w:rFonts w:cstheme="minorHAnsi"/>
          <w:sz w:val="28"/>
          <w:szCs w:val="28"/>
        </w:rPr>
        <w:t>.</w:t>
      </w:r>
    </w:p>
    <w:p w14:paraId="7A4CA860" w14:textId="3F1AF0D0" w:rsidR="00621905" w:rsidRPr="00693D5D" w:rsidRDefault="00621905" w:rsidP="006A253D">
      <w:pPr>
        <w:jc w:val="center"/>
        <w:rPr>
          <w:rStyle w:val="Strong"/>
          <w:rFonts w:cstheme="minorHAnsi"/>
          <w:b w:val="0"/>
          <w:bCs w:val="0"/>
          <w:sz w:val="28"/>
          <w:szCs w:val="28"/>
        </w:rPr>
      </w:pPr>
      <w:r>
        <w:rPr>
          <w:rFonts w:cstheme="minorHAnsi"/>
          <w:sz w:val="28"/>
          <w:szCs w:val="28"/>
        </w:rPr>
        <w:t xml:space="preserve">Pierre, J. (2022) </w:t>
      </w:r>
      <w:r w:rsidRPr="0014426B">
        <w:rPr>
          <w:rFonts w:cstheme="minorHAnsi"/>
          <w:i/>
          <w:iCs/>
          <w:sz w:val="28"/>
          <w:szCs w:val="28"/>
        </w:rPr>
        <w:t>From Brixton 1981 to BLM: reflections on Black uprisings.</w:t>
      </w:r>
      <w:r>
        <w:rPr>
          <w:rFonts w:cstheme="minorHAnsi"/>
          <w:i/>
          <w:iCs/>
          <w:sz w:val="28"/>
          <w:szCs w:val="28"/>
        </w:rPr>
        <w:t xml:space="preserve"> </w:t>
      </w:r>
      <w:r w:rsidRPr="00EE6308">
        <w:rPr>
          <w:rFonts w:cstheme="minorHAnsi"/>
          <w:sz w:val="28"/>
          <w:szCs w:val="28"/>
        </w:rPr>
        <w:t xml:space="preserve">Available at: </w:t>
      </w:r>
      <w:hyperlink r:id="rId16" w:history="1">
        <w:r w:rsidRPr="008E1CCF">
          <w:rPr>
            <w:rStyle w:val="Hyperlink"/>
            <w:rFonts w:cstheme="minorHAnsi"/>
            <w:sz w:val="28"/>
            <w:szCs w:val="28"/>
          </w:rPr>
          <w:t>https://www.museumoflondon.org.uk/discover/brixton-1981-blm-20</w:t>
        </w:r>
        <w:r w:rsidRPr="008E1CCF">
          <w:rPr>
            <w:rStyle w:val="Hyperlink"/>
            <w:rFonts w:cstheme="minorHAnsi"/>
            <w:sz w:val="28"/>
            <w:szCs w:val="28"/>
          </w:rPr>
          <w:t>2</w:t>
        </w:r>
        <w:r w:rsidRPr="008E1CCF">
          <w:rPr>
            <w:rStyle w:val="Hyperlink"/>
            <w:rFonts w:cstheme="minorHAnsi"/>
            <w:sz w:val="28"/>
            <w:szCs w:val="28"/>
          </w:rPr>
          <w:t>0-black-uprisings-londons-history</w:t>
        </w:r>
      </w:hyperlink>
      <w:r>
        <w:rPr>
          <w:rFonts w:cstheme="minorHAnsi"/>
          <w:sz w:val="28"/>
          <w:szCs w:val="28"/>
        </w:rPr>
        <w:t>. [Accessed: 07 November 2023].</w:t>
      </w:r>
    </w:p>
    <w:p w14:paraId="78298FD3" w14:textId="17A8168C" w:rsidR="00621905" w:rsidRDefault="00621905" w:rsidP="006A253D">
      <w:pPr>
        <w:jc w:val="center"/>
        <w:rPr>
          <w:rFonts w:cstheme="minorHAnsi"/>
          <w:sz w:val="28"/>
          <w:szCs w:val="28"/>
        </w:rPr>
      </w:pPr>
      <w:r w:rsidRPr="00234229">
        <w:rPr>
          <w:rFonts w:cstheme="minorHAnsi"/>
          <w:sz w:val="28"/>
          <w:szCs w:val="28"/>
        </w:rPr>
        <w:t xml:space="preserve">Stanford University Department of Public Safety. (2020). </w:t>
      </w:r>
      <w:r>
        <w:rPr>
          <w:rFonts w:cstheme="minorHAnsi"/>
          <w:sz w:val="28"/>
          <w:szCs w:val="28"/>
        </w:rPr>
        <w:t>‘</w:t>
      </w:r>
      <w:r w:rsidRPr="00D66058">
        <w:rPr>
          <w:rFonts w:cstheme="minorHAnsi"/>
          <w:i/>
          <w:iCs/>
          <w:sz w:val="28"/>
          <w:szCs w:val="28"/>
        </w:rPr>
        <w:t>Policing Principles and Practices</w:t>
      </w:r>
      <w:r>
        <w:rPr>
          <w:rFonts w:cstheme="minorHAnsi"/>
          <w:i/>
          <w:iCs/>
          <w:sz w:val="28"/>
          <w:szCs w:val="28"/>
        </w:rPr>
        <w:t>’</w:t>
      </w:r>
      <w:r w:rsidRPr="00234229">
        <w:rPr>
          <w:rFonts w:cstheme="minorHAnsi"/>
          <w:sz w:val="28"/>
          <w:szCs w:val="28"/>
        </w:rPr>
        <w:t>. Available at:</w:t>
      </w:r>
      <w:r>
        <w:rPr>
          <w:rFonts w:cstheme="minorHAnsi"/>
          <w:sz w:val="28"/>
          <w:szCs w:val="28"/>
        </w:rPr>
        <w:t xml:space="preserve"> </w:t>
      </w:r>
      <w:hyperlink r:id="rId17" w:history="1">
        <w:r w:rsidRPr="008E1CCF">
          <w:rPr>
            <w:rStyle w:val="Hyperlink"/>
            <w:rFonts w:cstheme="minorHAnsi"/>
            <w:sz w:val="28"/>
            <w:szCs w:val="28"/>
          </w:rPr>
          <w:t>https://police.stanford.edu/pdf/PolicingPrinciplesOutline_013020.pdf</w:t>
        </w:r>
      </w:hyperlink>
      <w:r>
        <w:rPr>
          <w:rFonts w:cstheme="minorHAnsi"/>
          <w:sz w:val="28"/>
          <w:szCs w:val="28"/>
        </w:rPr>
        <w:t>. [</w:t>
      </w:r>
      <w:r w:rsidRPr="00234229">
        <w:rPr>
          <w:rFonts w:cstheme="minorHAnsi"/>
          <w:sz w:val="28"/>
          <w:szCs w:val="28"/>
        </w:rPr>
        <w:t>Accessed: 28</w:t>
      </w:r>
      <w:r>
        <w:rPr>
          <w:rFonts w:cstheme="minorHAnsi"/>
          <w:sz w:val="28"/>
          <w:szCs w:val="28"/>
        </w:rPr>
        <w:t xml:space="preserve"> October </w:t>
      </w:r>
      <w:r w:rsidRPr="00234229">
        <w:rPr>
          <w:rFonts w:cstheme="minorHAnsi"/>
          <w:sz w:val="28"/>
          <w:szCs w:val="28"/>
        </w:rPr>
        <w:t>2023</w:t>
      </w:r>
      <w:r>
        <w:rPr>
          <w:rFonts w:cstheme="minorHAnsi"/>
          <w:sz w:val="28"/>
          <w:szCs w:val="28"/>
        </w:rPr>
        <w:t>].</w:t>
      </w:r>
    </w:p>
    <w:p w14:paraId="5109A5ED" w14:textId="2675BCBF" w:rsidR="00D61E2A" w:rsidRPr="00D61E2A" w:rsidRDefault="00D61E2A" w:rsidP="006A253D">
      <w:pPr>
        <w:jc w:val="center"/>
        <w:rPr>
          <w:rFonts w:cstheme="minorHAnsi"/>
          <w:color w:val="1F1F1F"/>
          <w:sz w:val="28"/>
          <w:szCs w:val="28"/>
        </w:rPr>
      </w:pPr>
      <w:r w:rsidRPr="00775910">
        <w:rPr>
          <w:rFonts w:cstheme="minorHAnsi"/>
          <w:color w:val="333333"/>
          <w:sz w:val="28"/>
          <w:szCs w:val="28"/>
          <w:shd w:val="clear" w:color="auto" w:fill="FBFBFB"/>
        </w:rPr>
        <w:t>Taylor, S. (1984)</w:t>
      </w:r>
      <w:r w:rsidRPr="00775910">
        <w:rPr>
          <w:rStyle w:val="apple-converted-space"/>
          <w:rFonts w:cstheme="minorHAnsi"/>
          <w:color w:val="333333"/>
          <w:sz w:val="28"/>
          <w:szCs w:val="28"/>
          <w:shd w:val="clear" w:color="auto" w:fill="FBFBFB"/>
        </w:rPr>
        <w:t> </w:t>
      </w:r>
      <w:r w:rsidRPr="00775910">
        <w:rPr>
          <w:rFonts w:cstheme="minorHAnsi"/>
          <w:i/>
          <w:iCs/>
          <w:color w:val="333333"/>
          <w:sz w:val="28"/>
          <w:szCs w:val="28"/>
        </w:rPr>
        <w:t>Scarman and After</w:t>
      </w:r>
      <w:r w:rsidRPr="00775910">
        <w:rPr>
          <w:rFonts w:cstheme="minorHAnsi"/>
          <w:color w:val="333333"/>
          <w:sz w:val="28"/>
          <w:szCs w:val="28"/>
          <w:shd w:val="clear" w:color="auto" w:fill="FBFBFB"/>
        </w:rPr>
        <w:t>. London: </w:t>
      </w:r>
      <w:r w:rsidRPr="00775910">
        <w:rPr>
          <w:rFonts w:cstheme="minorHAnsi"/>
          <w:color w:val="1F1F1F"/>
          <w:sz w:val="28"/>
          <w:szCs w:val="28"/>
        </w:rPr>
        <w:t>Elsevier Ltd. Page 20-34.</w:t>
      </w:r>
    </w:p>
    <w:p w14:paraId="4FB84B00" w14:textId="2BE37B9B" w:rsidR="00621905" w:rsidRDefault="00621905" w:rsidP="006A253D">
      <w:pPr>
        <w:jc w:val="center"/>
        <w:rPr>
          <w:rFonts w:cstheme="minorHAnsi"/>
          <w:sz w:val="28"/>
          <w:szCs w:val="28"/>
        </w:rPr>
      </w:pPr>
      <w:r>
        <w:rPr>
          <w:rFonts w:cstheme="minorHAnsi"/>
          <w:sz w:val="28"/>
          <w:szCs w:val="28"/>
        </w:rPr>
        <w:t xml:space="preserve">The Guardian (2023) </w:t>
      </w:r>
      <w:r w:rsidRPr="009D7947">
        <w:rPr>
          <w:rFonts w:cstheme="minorHAnsi"/>
          <w:i/>
          <w:iCs/>
          <w:sz w:val="28"/>
          <w:szCs w:val="28"/>
        </w:rPr>
        <w:t>Met Officers sacked for lying in stop and search of black athletes in car.</w:t>
      </w:r>
      <w:r>
        <w:rPr>
          <w:rFonts w:cstheme="minorHAnsi"/>
          <w:i/>
          <w:iCs/>
          <w:sz w:val="28"/>
          <w:szCs w:val="28"/>
        </w:rPr>
        <w:t xml:space="preserve"> </w:t>
      </w:r>
      <w:r w:rsidRPr="00D05E3A">
        <w:rPr>
          <w:rFonts w:cstheme="minorHAnsi"/>
          <w:sz w:val="28"/>
          <w:szCs w:val="28"/>
        </w:rPr>
        <w:t>Available</w:t>
      </w:r>
      <w:r>
        <w:rPr>
          <w:rFonts w:cstheme="minorHAnsi"/>
          <w:sz w:val="28"/>
          <w:szCs w:val="28"/>
        </w:rPr>
        <w:t xml:space="preserve"> at: </w:t>
      </w:r>
      <w:hyperlink r:id="rId18" w:history="1">
        <w:r w:rsidRPr="008E1CCF">
          <w:rPr>
            <w:rStyle w:val="Hyperlink"/>
            <w:rFonts w:cstheme="minorHAnsi"/>
            <w:sz w:val="28"/>
            <w:szCs w:val="28"/>
          </w:rPr>
          <w:t>https://www.theguardian.com/uk-news/2023/oct/25/met-officers-guilty-of-gross-misconduct-over-stop-and-search-of-black-athletes</w:t>
        </w:r>
      </w:hyperlink>
      <w:r>
        <w:rPr>
          <w:rFonts w:cstheme="minorHAnsi"/>
          <w:sz w:val="28"/>
          <w:szCs w:val="28"/>
        </w:rPr>
        <w:t>. [Accessed: 07 November 2023].</w:t>
      </w:r>
    </w:p>
    <w:p w14:paraId="746D32C6" w14:textId="58D4C804" w:rsidR="00621905" w:rsidRDefault="00621905" w:rsidP="006A253D">
      <w:pPr>
        <w:jc w:val="center"/>
        <w:rPr>
          <w:rFonts w:cstheme="minorHAnsi"/>
          <w:sz w:val="28"/>
          <w:szCs w:val="28"/>
        </w:rPr>
      </w:pPr>
      <w:r>
        <w:rPr>
          <w:rFonts w:cstheme="minorHAnsi"/>
          <w:sz w:val="28"/>
          <w:szCs w:val="28"/>
        </w:rPr>
        <w:t>UK Parliament (2023) ‘</w:t>
      </w:r>
      <w:r w:rsidRPr="00BB7185">
        <w:rPr>
          <w:rFonts w:cstheme="minorHAnsi"/>
          <w:i/>
          <w:iCs/>
          <w:sz w:val="28"/>
          <w:szCs w:val="28"/>
        </w:rPr>
        <w:t>Trust in the Police</w:t>
      </w:r>
      <w:r>
        <w:rPr>
          <w:rFonts w:cstheme="minorHAnsi"/>
          <w:i/>
          <w:iCs/>
          <w:sz w:val="28"/>
          <w:szCs w:val="28"/>
        </w:rPr>
        <w:t>’.</w:t>
      </w:r>
      <w:r w:rsidRPr="00BB7185">
        <w:rPr>
          <w:rFonts w:cstheme="minorHAnsi"/>
          <w:i/>
          <w:iCs/>
          <w:sz w:val="28"/>
          <w:szCs w:val="28"/>
        </w:rPr>
        <w:t xml:space="preserve"> </w:t>
      </w:r>
      <w:r>
        <w:rPr>
          <w:rFonts w:cstheme="minorHAnsi"/>
          <w:i/>
          <w:iCs/>
          <w:sz w:val="28"/>
          <w:szCs w:val="28"/>
        </w:rPr>
        <w:t>Available at</w:t>
      </w:r>
      <w:r>
        <w:rPr>
          <w:rFonts w:cstheme="minorHAnsi"/>
          <w:sz w:val="28"/>
          <w:szCs w:val="28"/>
        </w:rPr>
        <w:t>:</w:t>
      </w:r>
      <w:r w:rsidRPr="00BB7185">
        <w:t xml:space="preserve"> </w:t>
      </w:r>
      <w:hyperlink r:id="rId19" w:history="1">
        <w:r w:rsidRPr="008E1CCF">
          <w:rPr>
            <w:rStyle w:val="Hyperlink"/>
            <w:rFonts w:cstheme="minorHAnsi"/>
            <w:sz w:val="28"/>
            <w:szCs w:val="28"/>
          </w:rPr>
          <w:t>https://post.parliament.uk/research-briefings/post-pn-0693/</w:t>
        </w:r>
      </w:hyperlink>
      <w:r>
        <w:rPr>
          <w:rFonts w:cstheme="minorHAnsi"/>
          <w:sz w:val="28"/>
          <w:szCs w:val="28"/>
        </w:rPr>
        <w:t>. [Accessed: 06 November 2023].</w:t>
      </w:r>
    </w:p>
    <w:p w14:paraId="263FFE3B" w14:textId="77777777" w:rsidR="00621905" w:rsidRDefault="00621905" w:rsidP="006A253D">
      <w:pPr>
        <w:jc w:val="center"/>
        <w:rPr>
          <w:rFonts w:cstheme="minorHAnsi"/>
          <w:sz w:val="28"/>
          <w:szCs w:val="28"/>
          <w:u w:val="single"/>
        </w:rPr>
      </w:pPr>
    </w:p>
    <w:p w14:paraId="704B74E6" w14:textId="25FB5188" w:rsidR="00621905" w:rsidRPr="00D61E2A" w:rsidRDefault="00621905" w:rsidP="006A253D">
      <w:pPr>
        <w:jc w:val="center"/>
        <w:rPr>
          <w:rFonts w:cstheme="minorHAnsi"/>
          <w:sz w:val="28"/>
          <w:szCs w:val="28"/>
          <w:u w:val="single"/>
        </w:rPr>
      </w:pPr>
      <w:r>
        <w:rPr>
          <w:rFonts w:cstheme="minorHAnsi"/>
          <w:sz w:val="28"/>
          <w:szCs w:val="28"/>
          <w:u w:val="single"/>
        </w:rPr>
        <w:lastRenderedPageBreak/>
        <w:t>Legislation:</w:t>
      </w:r>
    </w:p>
    <w:p w14:paraId="5463A0BC" w14:textId="77777777" w:rsidR="00D61E2A" w:rsidRPr="002E6FC6" w:rsidRDefault="00D61E2A" w:rsidP="006A253D">
      <w:pPr>
        <w:jc w:val="center"/>
        <w:rPr>
          <w:rFonts w:cstheme="minorHAnsi"/>
          <w:sz w:val="28"/>
          <w:szCs w:val="28"/>
        </w:rPr>
      </w:pPr>
      <w:r w:rsidRPr="00234229">
        <w:rPr>
          <w:rFonts w:cstheme="minorHAnsi"/>
          <w:sz w:val="28"/>
          <w:szCs w:val="28"/>
        </w:rPr>
        <w:t xml:space="preserve">Legislation.gov.uk, (2023). </w:t>
      </w:r>
      <w:r w:rsidRPr="00234229">
        <w:rPr>
          <w:rFonts w:cstheme="minorHAnsi"/>
          <w:i/>
          <w:iCs/>
          <w:sz w:val="28"/>
          <w:szCs w:val="28"/>
        </w:rPr>
        <w:t>‘Criminal Justice and Public Order Act 1994, section 60</w:t>
      </w:r>
      <w:r w:rsidRPr="00234229">
        <w:rPr>
          <w:rFonts w:cstheme="minorHAnsi"/>
          <w:sz w:val="28"/>
          <w:szCs w:val="28"/>
        </w:rPr>
        <w:t xml:space="preserve">’. Available at: </w:t>
      </w:r>
      <w:hyperlink r:id="rId20" w:history="1">
        <w:r w:rsidRPr="008E1CCF">
          <w:rPr>
            <w:rStyle w:val="Hyperlink"/>
            <w:rFonts w:cstheme="minorHAnsi"/>
            <w:sz w:val="28"/>
            <w:szCs w:val="28"/>
          </w:rPr>
          <w:t>https://www.legislation.gov.uk/ukpga/1994/33/contents</w:t>
        </w:r>
      </w:hyperlink>
      <w:r>
        <w:rPr>
          <w:rFonts w:cstheme="minorHAnsi"/>
          <w:sz w:val="28"/>
          <w:szCs w:val="28"/>
        </w:rPr>
        <w:t xml:space="preserve">. </w:t>
      </w:r>
      <w:r w:rsidRPr="00234229">
        <w:rPr>
          <w:rFonts w:cstheme="minorHAnsi"/>
          <w:sz w:val="28"/>
          <w:szCs w:val="28"/>
        </w:rPr>
        <w:t xml:space="preserve"> </w:t>
      </w:r>
      <w:r>
        <w:rPr>
          <w:rFonts w:cstheme="minorHAnsi"/>
          <w:sz w:val="28"/>
          <w:szCs w:val="28"/>
        </w:rPr>
        <w:t>[</w:t>
      </w:r>
      <w:r w:rsidRPr="00234229">
        <w:rPr>
          <w:rFonts w:cstheme="minorHAnsi"/>
          <w:sz w:val="28"/>
          <w:szCs w:val="28"/>
        </w:rPr>
        <w:t>Accessed: 06</w:t>
      </w:r>
      <w:r>
        <w:rPr>
          <w:rFonts w:cstheme="minorHAnsi"/>
          <w:sz w:val="28"/>
          <w:szCs w:val="28"/>
        </w:rPr>
        <w:t xml:space="preserve"> November </w:t>
      </w:r>
      <w:r w:rsidRPr="00234229">
        <w:rPr>
          <w:rFonts w:cstheme="minorHAnsi"/>
          <w:sz w:val="28"/>
          <w:szCs w:val="28"/>
        </w:rPr>
        <w:t>2023</w:t>
      </w:r>
      <w:r>
        <w:rPr>
          <w:rFonts w:cstheme="minorHAnsi"/>
          <w:sz w:val="28"/>
          <w:szCs w:val="28"/>
        </w:rPr>
        <w:t>]</w:t>
      </w:r>
    </w:p>
    <w:p w14:paraId="0A863FC0" w14:textId="119B8507" w:rsidR="00621905" w:rsidRPr="00234229" w:rsidRDefault="00621905" w:rsidP="006A253D">
      <w:pPr>
        <w:jc w:val="center"/>
        <w:rPr>
          <w:rFonts w:cstheme="minorHAnsi"/>
          <w:sz w:val="28"/>
          <w:szCs w:val="28"/>
        </w:rPr>
      </w:pPr>
      <w:r w:rsidRPr="00234229">
        <w:rPr>
          <w:rFonts w:cstheme="minorHAnsi"/>
          <w:sz w:val="28"/>
          <w:szCs w:val="28"/>
        </w:rPr>
        <w:t xml:space="preserve">Legislation.gov.uk, (2023). </w:t>
      </w:r>
      <w:r w:rsidRPr="00234229">
        <w:rPr>
          <w:rFonts w:cstheme="minorHAnsi"/>
          <w:i/>
          <w:iCs/>
          <w:sz w:val="28"/>
          <w:szCs w:val="28"/>
        </w:rPr>
        <w:t>'Misuse of Drugs Act 1971, Section 23'</w:t>
      </w:r>
      <w:r w:rsidRPr="00234229">
        <w:rPr>
          <w:rFonts w:cstheme="minorHAnsi"/>
          <w:sz w:val="28"/>
          <w:szCs w:val="28"/>
        </w:rPr>
        <w:t xml:space="preserve">. Available at: </w:t>
      </w:r>
      <w:hyperlink r:id="rId21" w:history="1">
        <w:r w:rsidRPr="008E1CCF">
          <w:rPr>
            <w:rStyle w:val="Hyperlink"/>
            <w:rFonts w:cstheme="minorHAnsi"/>
            <w:sz w:val="28"/>
            <w:szCs w:val="28"/>
          </w:rPr>
          <w:t>https://www.legislation.gov.uk/ukpga/1971/38/section/23</w:t>
        </w:r>
      </w:hyperlink>
      <w:r>
        <w:rPr>
          <w:rFonts w:cstheme="minorHAnsi"/>
          <w:sz w:val="28"/>
          <w:szCs w:val="28"/>
        </w:rPr>
        <w:t>. [</w:t>
      </w:r>
      <w:r w:rsidRPr="00234229">
        <w:rPr>
          <w:rFonts w:cstheme="minorHAnsi"/>
          <w:sz w:val="28"/>
          <w:szCs w:val="28"/>
        </w:rPr>
        <w:t>Accessed: 28</w:t>
      </w:r>
      <w:r>
        <w:rPr>
          <w:rFonts w:cstheme="minorHAnsi"/>
          <w:sz w:val="28"/>
          <w:szCs w:val="28"/>
        </w:rPr>
        <w:t xml:space="preserve"> October </w:t>
      </w:r>
      <w:r w:rsidRPr="00234229">
        <w:rPr>
          <w:rFonts w:cstheme="minorHAnsi"/>
          <w:sz w:val="28"/>
          <w:szCs w:val="28"/>
        </w:rPr>
        <w:t>2023</w:t>
      </w:r>
      <w:r>
        <w:rPr>
          <w:rFonts w:cstheme="minorHAnsi"/>
          <w:sz w:val="28"/>
          <w:szCs w:val="28"/>
        </w:rPr>
        <w:t>]</w:t>
      </w:r>
      <w:r w:rsidRPr="00234229">
        <w:rPr>
          <w:rFonts w:cstheme="minorHAnsi"/>
          <w:sz w:val="28"/>
          <w:szCs w:val="28"/>
        </w:rPr>
        <w:t>.</w:t>
      </w:r>
    </w:p>
    <w:p w14:paraId="49358AF7" w14:textId="77777777" w:rsidR="00D61E2A" w:rsidRPr="00234229" w:rsidRDefault="00D61E2A" w:rsidP="006A253D">
      <w:pPr>
        <w:jc w:val="center"/>
        <w:rPr>
          <w:rFonts w:cstheme="minorHAnsi"/>
          <w:sz w:val="28"/>
          <w:szCs w:val="28"/>
        </w:rPr>
      </w:pPr>
      <w:r w:rsidRPr="00234229">
        <w:rPr>
          <w:rFonts w:cstheme="minorHAnsi"/>
          <w:sz w:val="28"/>
          <w:szCs w:val="28"/>
        </w:rPr>
        <w:t xml:space="preserve">Police and Criminal Evidence Act 1984, c. 60. (1984). Available at: </w:t>
      </w:r>
      <w:hyperlink r:id="rId22" w:history="1">
        <w:r w:rsidRPr="008E1CCF">
          <w:rPr>
            <w:rStyle w:val="Hyperlink"/>
            <w:rFonts w:cstheme="minorHAnsi"/>
            <w:sz w:val="28"/>
            <w:szCs w:val="28"/>
          </w:rPr>
          <w:t>https://www.legislation.gov.uk/ukpga/1984/60/contents</w:t>
        </w:r>
      </w:hyperlink>
      <w:r>
        <w:rPr>
          <w:rFonts w:cstheme="minorHAnsi"/>
          <w:sz w:val="28"/>
          <w:szCs w:val="28"/>
        </w:rPr>
        <w:t xml:space="preserve">. </w:t>
      </w:r>
      <w:r w:rsidRPr="00234229">
        <w:rPr>
          <w:rFonts w:cstheme="minorHAnsi"/>
          <w:sz w:val="28"/>
          <w:szCs w:val="28"/>
        </w:rPr>
        <w:t xml:space="preserve"> (Accessed [27</w:t>
      </w:r>
      <w:r>
        <w:rPr>
          <w:rFonts w:cstheme="minorHAnsi"/>
          <w:sz w:val="28"/>
          <w:szCs w:val="28"/>
        </w:rPr>
        <w:t xml:space="preserve"> October </w:t>
      </w:r>
      <w:r w:rsidRPr="00234229">
        <w:rPr>
          <w:rFonts w:cstheme="minorHAnsi"/>
          <w:sz w:val="28"/>
          <w:szCs w:val="28"/>
        </w:rPr>
        <w:t>2023]</w:t>
      </w:r>
      <w:r>
        <w:rPr>
          <w:rFonts w:cstheme="minorHAnsi"/>
          <w:sz w:val="28"/>
          <w:szCs w:val="28"/>
        </w:rPr>
        <w:t>.</w:t>
      </w:r>
    </w:p>
    <w:p w14:paraId="3A5C1BEF" w14:textId="4944B2AA" w:rsidR="00234229" w:rsidRPr="002E6FC6" w:rsidRDefault="00234229" w:rsidP="006A253D">
      <w:pPr>
        <w:jc w:val="center"/>
        <w:rPr>
          <w:rFonts w:cstheme="minorHAnsi"/>
          <w:sz w:val="28"/>
          <w:szCs w:val="28"/>
        </w:rPr>
      </w:pPr>
    </w:p>
    <w:sectPr w:rsidR="00234229" w:rsidRPr="002E6FC6" w:rsidSect="00D61E2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5077EC"/>
    <w:multiLevelType w:val="multilevel"/>
    <w:tmpl w:val="DDDE1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E30519"/>
    <w:multiLevelType w:val="multilevel"/>
    <w:tmpl w:val="A3BCF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EB1A11"/>
    <w:multiLevelType w:val="hybridMultilevel"/>
    <w:tmpl w:val="E01C26A2"/>
    <w:lvl w:ilvl="0" w:tplc="F9B05A26">
      <w:start w:val="3"/>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9481805">
    <w:abstractNumId w:val="2"/>
  </w:num>
  <w:num w:numId="2" w16cid:durableId="742147290">
    <w:abstractNumId w:val="0"/>
  </w:num>
  <w:num w:numId="3" w16cid:durableId="15994120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6CA"/>
    <w:rsid w:val="000015A8"/>
    <w:rsid w:val="000110D5"/>
    <w:rsid w:val="00020718"/>
    <w:rsid w:val="00040918"/>
    <w:rsid w:val="000478E1"/>
    <w:rsid w:val="00051A29"/>
    <w:rsid w:val="000543FA"/>
    <w:rsid w:val="00054C0E"/>
    <w:rsid w:val="00056002"/>
    <w:rsid w:val="00062442"/>
    <w:rsid w:val="0006665B"/>
    <w:rsid w:val="00066B79"/>
    <w:rsid w:val="000676CA"/>
    <w:rsid w:val="000775C5"/>
    <w:rsid w:val="000A77BC"/>
    <w:rsid w:val="000B6FFE"/>
    <w:rsid w:val="000D7A65"/>
    <w:rsid w:val="000E34B9"/>
    <w:rsid w:val="000F33E3"/>
    <w:rsid w:val="001016DA"/>
    <w:rsid w:val="00101A0C"/>
    <w:rsid w:val="00104E6F"/>
    <w:rsid w:val="001066AA"/>
    <w:rsid w:val="00115F3B"/>
    <w:rsid w:val="00133758"/>
    <w:rsid w:val="0014426B"/>
    <w:rsid w:val="00150EDD"/>
    <w:rsid w:val="001541DF"/>
    <w:rsid w:val="0016183F"/>
    <w:rsid w:val="00174715"/>
    <w:rsid w:val="00180AE6"/>
    <w:rsid w:val="001875F6"/>
    <w:rsid w:val="00194B6B"/>
    <w:rsid w:val="00195BE4"/>
    <w:rsid w:val="001B30D7"/>
    <w:rsid w:val="001D1BB1"/>
    <w:rsid w:val="001F3E6C"/>
    <w:rsid w:val="001F7D3D"/>
    <w:rsid w:val="00201E43"/>
    <w:rsid w:val="00202206"/>
    <w:rsid w:val="00205E9D"/>
    <w:rsid w:val="00207546"/>
    <w:rsid w:val="002142AD"/>
    <w:rsid w:val="00221399"/>
    <w:rsid w:val="00234229"/>
    <w:rsid w:val="00234CBD"/>
    <w:rsid w:val="002514DB"/>
    <w:rsid w:val="00257A27"/>
    <w:rsid w:val="0026604E"/>
    <w:rsid w:val="00266F12"/>
    <w:rsid w:val="00277B6D"/>
    <w:rsid w:val="0028030C"/>
    <w:rsid w:val="002946DE"/>
    <w:rsid w:val="002D2A22"/>
    <w:rsid w:val="002E0CD8"/>
    <w:rsid w:val="002E5BC1"/>
    <w:rsid w:val="002E6FC6"/>
    <w:rsid w:val="002F16DA"/>
    <w:rsid w:val="002F1DC0"/>
    <w:rsid w:val="002F1DD0"/>
    <w:rsid w:val="002F4234"/>
    <w:rsid w:val="00311C23"/>
    <w:rsid w:val="003201AD"/>
    <w:rsid w:val="00336695"/>
    <w:rsid w:val="00342E86"/>
    <w:rsid w:val="00366310"/>
    <w:rsid w:val="003829B2"/>
    <w:rsid w:val="00382E52"/>
    <w:rsid w:val="003A3D22"/>
    <w:rsid w:val="003C1969"/>
    <w:rsid w:val="003E168A"/>
    <w:rsid w:val="003E6697"/>
    <w:rsid w:val="003F1B93"/>
    <w:rsid w:val="00422261"/>
    <w:rsid w:val="004243DB"/>
    <w:rsid w:val="00426036"/>
    <w:rsid w:val="00454F8E"/>
    <w:rsid w:val="0045636F"/>
    <w:rsid w:val="00471B67"/>
    <w:rsid w:val="00486D33"/>
    <w:rsid w:val="0049350D"/>
    <w:rsid w:val="004945E3"/>
    <w:rsid w:val="004A0230"/>
    <w:rsid w:val="004A1136"/>
    <w:rsid w:val="004B733D"/>
    <w:rsid w:val="004C34DE"/>
    <w:rsid w:val="004C5B69"/>
    <w:rsid w:val="004C6D05"/>
    <w:rsid w:val="004C754D"/>
    <w:rsid w:val="004D4411"/>
    <w:rsid w:val="004F08A0"/>
    <w:rsid w:val="0050281A"/>
    <w:rsid w:val="00502BA7"/>
    <w:rsid w:val="00512F57"/>
    <w:rsid w:val="00521777"/>
    <w:rsid w:val="005224D0"/>
    <w:rsid w:val="005258B0"/>
    <w:rsid w:val="00530D4C"/>
    <w:rsid w:val="0056586C"/>
    <w:rsid w:val="00580B12"/>
    <w:rsid w:val="00582075"/>
    <w:rsid w:val="005950D5"/>
    <w:rsid w:val="00597B6C"/>
    <w:rsid w:val="005A3630"/>
    <w:rsid w:val="005A61D9"/>
    <w:rsid w:val="005A746F"/>
    <w:rsid w:val="005B79FB"/>
    <w:rsid w:val="005D3E05"/>
    <w:rsid w:val="005D681A"/>
    <w:rsid w:val="005E06AA"/>
    <w:rsid w:val="005E50EB"/>
    <w:rsid w:val="005E6090"/>
    <w:rsid w:val="00604758"/>
    <w:rsid w:val="00607C9E"/>
    <w:rsid w:val="00607FD1"/>
    <w:rsid w:val="00621905"/>
    <w:rsid w:val="00633938"/>
    <w:rsid w:val="00635C9F"/>
    <w:rsid w:val="00645AE9"/>
    <w:rsid w:val="00656D95"/>
    <w:rsid w:val="00656E8A"/>
    <w:rsid w:val="00673D1D"/>
    <w:rsid w:val="0068192F"/>
    <w:rsid w:val="006867D9"/>
    <w:rsid w:val="00692199"/>
    <w:rsid w:val="006927DD"/>
    <w:rsid w:val="00693D5D"/>
    <w:rsid w:val="006965D7"/>
    <w:rsid w:val="00696948"/>
    <w:rsid w:val="00697425"/>
    <w:rsid w:val="006A044E"/>
    <w:rsid w:val="006A253D"/>
    <w:rsid w:val="006B126A"/>
    <w:rsid w:val="006D3CDD"/>
    <w:rsid w:val="006E17D6"/>
    <w:rsid w:val="006E78CC"/>
    <w:rsid w:val="006F7444"/>
    <w:rsid w:val="00707315"/>
    <w:rsid w:val="00716363"/>
    <w:rsid w:val="00725902"/>
    <w:rsid w:val="00730DB7"/>
    <w:rsid w:val="007348DF"/>
    <w:rsid w:val="007460D3"/>
    <w:rsid w:val="007508F3"/>
    <w:rsid w:val="00753BB1"/>
    <w:rsid w:val="00761A8A"/>
    <w:rsid w:val="00761BCD"/>
    <w:rsid w:val="007646CF"/>
    <w:rsid w:val="00775910"/>
    <w:rsid w:val="00795D3F"/>
    <w:rsid w:val="00796E79"/>
    <w:rsid w:val="007A269D"/>
    <w:rsid w:val="007B03B2"/>
    <w:rsid w:val="007C68DC"/>
    <w:rsid w:val="007E6D05"/>
    <w:rsid w:val="007F5693"/>
    <w:rsid w:val="008074BA"/>
    <w:rsid w:val="00816C2B"/>
    <w:rsid w:val="00823602"/>
    <w:rsid w:val="008249DF"/>
    <w:rsid w:val="0083001E"/>
    <w:rsid w:val="00843B35"/>
    <w:rsid w:val="00854564"/>
    <w:rsid w:val="008554DC"/>
    <w:rsid w:val="00857FCC"/>
    <w:rsid w:val="00864260"/>
    <w:rsid w:val="008662A7"/>
    <w:rsid w:val="00891969"/>
    <w:rsid w:val="008A5328"/>
    <w:rsid w:val="008B11A7"/>
    <w:rsid w:val="008C2F13"/>
    <w:rsid w:val="008C4DD1"/>
    <w:rsid w:val="008C7794"/>
    <w:rsid w:val="008D6A16"/>
    <w:rsid w:val="008F0B56"/>
    <w:rsid w:val="008F1219"/>
    <w:rsid w:val="008F3ACF"/>
    <w:rsid w:val="00915BC9"/>
    <w:rsid w:val="00926882"/>
    <w:rsid w:val="00956EFF"/>
    <w:rsid w:val="009778D0"/>
    <w:rsid w:val="009825E8"/>
    <w:rsid w:val="009831CC"/>
    <w:rsid w:val="00993BA5"/>
    <w:rsid w:val="00995C8B"/>
    <w:rsid w:val="009A6542"/>
    <w:rsid w:val="009B4126"/>
    <w:rsid w:val="009B570D"/>
    <w:rsid w:val="009D116E"/>
    <w:rsid w:val="009D7947"/>
    <w:rsid w:val="009E7FCA"/>
    <w:rsid w:val="009F56F0"/>
    <w:rsid w:val="00A0140F"/>
    <w:rsid w:val="00A1357C"/>
    <w:rsid w:val="00A32171"/>
    <w:rsid w:val="00A32754"/>
    <w:rsid w:val="00A36371"/>
    <w:rsid w:val="00A579B9"/>
    <w:rsid w:val="00A60FEC"/>
    <w:rsid w:val="00A633CF"/>
    <w:rsid w:val="00A866C6"/>
    <w:rsid w:val="00A90A18"/>
    <w:rsid w:val="00A93E07"/>
    <w:rsid w:val="00A94399"/>
    <w:rsid w:val="00A966C4"/>
    <w:rsid w:val="00AA5BA9"/>
    <w:rsid w:val="00AA6308"/>
    <w:rsid w:val="00AA6CE9"/>
    <w:rsid w:val="00AC7FD6"/>
    <w:rsid w:val="00AD64F7"/>
    <w:rsid w:val="00AD7850"/>
    <w:rsid w:val="00B07E47"/>
    <w:rsid w:val="00B266D9"/>
    <w:rsid w:val="00B45E17"/>
    <w:rsid w:val="00B5044C"/>
    <w:rsid w:val="00B5440E"/>
    <w:rsid w:val="00B560EB"/>
    <w:rsid w:val="00B83554"/>
    <w:rsid w:val="00B914A5"/>
    <w:rsid w:val="00BB0D06"/>
    <w:rsid w:val="00BB3A60"/>
    <w:rsid w:val="00BB3E22"/>
    <w:rsid w:val="00BB48E9"/>
    <w:rsid w:val="00BB7185"/>
    <w:rsid w:val="00BD3CCF"/>
    <w:rsid w:val="00BE0171"/>
    <w:rsid w:val="00BE07C2"/>
    <w:rsid w:val="00BF18DC"/>
    <w:rsid w:val="00C03AE8"/>
    <w:rsid w:val="00C13F7F"/>
    <w:rsid w:val="00C37BEA"/>
    <w:rsid w:val="00C42860"/>
    <w:rsid w:val="00C522CA"/>
    <w:rsid w:val="00C5244E"/>
    <w:rsid w:val="00C55492"/>
    <w:rsid w:val="00C705FD"/>
    <w:rsid w:val="00C77A47"/>
    <w:rsid w:val="00CA4D63"/>
    <w:rsid w:val="00CA5DD1"/>
    <w:rsid w:val="00CD3912"/>
    <w:rsid w:val="00CD4E8A"/>
    <w:rsid w:val="00CE2D8D"/>
    <w:rsid w:val="00D01D7C"/>
    <w:rsid w:val="00D046E0"/>
    <w:rsid w:val="00D05E3A"/>
    <w:rsid w:val="00D15B21"/>
    <w:rsid w:val="00D24BB8"/>
    <w:rsid w:val="00D25CCE"/>
    <w:rsid w:val="00D52777"/>
    <w:rsid w:val="00D5765B"/>
    <w:rsid w:val="00D61E2A"/>
    <w:rsid w:val="00D66058"/>
    <w:rsid w:val="00D92495"/>
    <w:rsid w:val="00DB4072"/>
    <w:rsid w:val="00DE05E2"/>
    <w:rsid w:val="00DE7A43"/>
    <w:rsid w:val="00E10C2D"/>
    <w:rsid w:val="00E121F0"/>
    <w:rsid w:val="00E16AAB"/>
    <w:rsid w:val="00E42B61"/>
    <w:rsid w:val="00E5193F"/>
    <w:rsid w:val="00EC153E"/>
    <w:rsid w:val="00EC5872"/>
    <w:rsid w:val="00ED03C9"/>
    <w:rsid w:val="00EE1B3D"/>
    <w:rsid w:val="00EE6308"/>
    <w:rsid w:val="00F06A38"/>
    <w:rsid w:val="00F07051"/>
    <w:rsid w:val="00F0723D"/>
    <w:rsid w:val="00F10345"/>
    <w:rsid w:val="00F1722C"/>
    <w:rsid w:val="00F21FD5"/>
    <w:rsid w:val="00F43C24"/>
    <w:rsid w:val="00F56BD7"/>
    <w:rsid w:val="00F66346"/>
    <w:rsid w:val="00F7780F"/>
    <w:rsid w:val="00F8555F"/>
    <w:rsid w:val="00FB07A4"/>
    <w:rsid w:val="00FB2C92"/>
    <w:rsid w:val="00FB4E7F"/>
    <w:rsid w:val="00FB7A4A"/>
    <w:rsid w:val="00FC4B0F"/>
    <w:rsid w:val="00FC7ABC"/>
    <w:rsid w:val="00FE75F7"/>
    <w:rsid w:val="00FF6C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F3539"/>
  <w15:chartTrackingRefBased/>
  <w15:docId w15:val="{FBE823CD-5D7D-B74E-90B3-426AB9284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B6B"/>
    <w:rPr>
      <w:sz w:val="20"/>
      <w:szCs w:val="20"/>
    </w:rPr>
  </w:style>
  <w:style w:type="paragraph" w:styleId="Heading1">
    <w:name w:val="heading 1"/>
    <w:basedOn w:val="Normal"/>
    <w:next w:val="Normal"/>
    <w:link w:val="Heading1Char"/>
    <w:uiPriority w:val="9"/>
    <w:qFormat/>
    <w:rsid w:val="00194B6B"/>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194B6B"/>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194B6B"/>
    <w:pPr>
      <w:pBdr>
        <w:top w:val="single" w:sz="6" w:space="2" w:color="4472C4" w:themeColor="accent1"/>
        <w:left w:val="single" w:sz="6" w:space="2" w:color="4472C4" w:themeColor="accent1"/>
      </w:pBdr>
      <w:spacing w:before="300" w:after="0"/>
      <w:outlineLvl w:val="2"/>
    </w:pPr>
    <w:rPr>
      <w:caps/>
      <w:color w:val="1F3763" w:themeColor="accent1" w:themeShade="7F"/>
      <w:spacing w:val="15"/>
      <w:sz w:val="22"/>
      <w:szCs w:val="22"/>
    </w:rPr>
  </w:style>
  <w:style w:type="paragraph" w:styleId="Heading4">
    <w:name w:val="heading 4"/>
    <w:basedOn w:val="Normal"/>
    <w:next w:val="Normal"/>
    <w:link w:val="Heading4Char"/>
    <w:uiPriority w:val="9"/>
    <w:semiHidden/>
    <w:unhideWhenUsed/>
    <w:qFormat/>
    <w:rsid w:val="00194B6B"/>
    <w:pPr>
      <w:pBdr>
        <w:top w:val="dotted" w:sz="6" w:space="2" w:color="4472C4" w:themeColor="accent1"/>
        <w:left w:val="dotted" w:sz="6" w:space="2" w:color="4472C4" w:themeColor="accent1"/>
      </w:pBdr>
      <w:spacing w:before="300" w:after="0"/>
      <w:outlineLvl w:val="3"/>
    </w:pPr>
    <w:rPr>
      <w:caps/>
      <w:color w:val="2F5496" w:themeColor="accent1" w:themeShade="BF"/>
      <w:spacing w:val="10"/>
      <w:sz w:val="22"/>
      <w:szCs w:val="22"/>
    </w:rPr>
  </w:style>
  <w:style w:type="paragraph" w:styleId="Heading5">
    <w:name w:val="heading 5"/>
    <w:basedOn w:val="Normal"/>
    <w:next w:val="Normal"/>
    <w:link w:val="Heading5Char"/>
    <w:uiPriority w:val="9"/>
    <w:semiHidden/>
    <w:unhideWhenUsed/>
    <w:qFormat/>
    <w:rsid w:val="00194B6B"/>
    <w:pPr>
      <w:pBdr>
        <w:bottom w:val="single" w:sz="6" w:space="1" w:color="4472C4" w:themeColor="accent1"/>
      </w:pBdr>
      <w:spacing w:before="300" w:after="0"/>
      <w:outlineLvl w:val="4"/>
    </w:pPr>
    <w:rPr>
      <w:caps/>
      <w:color w:val="2F5496" w:themeColor="accent1" w:themeShade="BF"/>
      <w:spacing w:val="10"/>
      <w:sz w:val="22"/>
      <w:szCs w:val="22"/>
    </w:rPr>
  </w:style>
  <w:style w:type="paragraph" w:styleId="Heading6">
    <w:name w:val="heading 6"/>
    <w:basedOn w:val="Normal"/>
    <w:next w:val="Normal"/>
    <w:link w:val="Heading6Char"/>
    <w:uiPriority w:val="9"/>
    <w:semiHidden/>
    <w:unhideWhenUsed/>
    <w:qFormat/>
    <w:rsid w:val="00194B6B"/>
    <w:pPr>
      <w:pBdr>
        <w:bottom w:val="dotted" w:sz="6" w:space="1" w:color="4472C4" w:themeColor="accent1"/>
      </w:pBdr>
      <w:spacing w:before="300" w:after="0"/>
      <w:outlineLvl w:val="5"/>
    </w:pPr>
    <w:rPr>
      <w:caps/>
      <w:color w:val="2F5496" w:themeColor="accent1" w:themeShade="BF"/>
      <w:spacing w:val="10"/>
      <w:sz w:val="22"/>
      <w:szCs w:val="22"/>
    </w:rPr>
  </w:style>
  <w:style w:type="paragraph" w:styleId="Heading7">
    <w:name w:val="heading 7"/>
    <w:basedOn w:val="Normal"/>
    <w:next w:val="Normal"/>
    <w:link w:val="Heading7Char"/>
    <w:uiPriority w:val="9"/>
    <w:semiHidden/>
    <w:unhideWhenUsed/>
    <w:qFormat/>
    <w:rsid w:val="00194B6B"/>
    <w:pPr>
      <w:spacing w:before="300" w:after="0"/>
      <w:outlineLvl w:val="6"/>
    </w:pPr>
    <w:rPr>
      <w:caps/>
      <w:color w:val="2F5496" w:themeColor="accent1" w:themeShade="BF"/>
      <w:spacing w:val="10"/>
      <w:sz w:val="22"/>
      <w:szCs w:val="22"/>
    </w:rPr>
  </w:style>
  <w:style w:type="paragraph" w:styleId="Heading8">
    <w:name w:val="heading 8"/>
    <w:basedOn w:val="Normal"/>
    <w:next w:val="Normal"/>
    <w:link w:val="Heading8Char"/>
    <w:uiPriority w:val="9"/>
    <w:semiHidden/>
    <w:unhideWhenUsed/>
    <w:qFormat/>
    <w:rsid w:val="00194B6B"/>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194B6B"/>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4B6B"/>
    <w:pPr>
      <w:ind w:left="720"/>
      <w:contextualSpacing/>
    </w:pPr>
  </w:style>
  <w:style w:type="character" w:customStyle="1" w:styleId="apple-converted-space">
    <w:name w:val="apple-converted-space"/>
    <w:basedOn w:val="DefaultParagraphFont"/>
    <w:rsid w:val="00B266D9"/>
  </w:style>
  <w:style w:type="character" w:styleId="Hyperlink">
    <w:name w:val="Hyperlink"/>
    <w:basedOn w:val="DefaultParagraphFont"/>
    <w:uiPriority w:val="99"/>
    <w:unhideWhenUsed/>
    <w:rsid w:val="00B266D9"/>
    <w:rPr>
      <w:color w:val="0000FF"/>
      <w:u w:val="single"/>
    </w:rPr>
  </w:style>
  <w:style w:type="character" w:styleId="Strong">
    <w:name w:val="Strong"/>
    <w:uiPriority w:val="22"/>
    <w:qFormat/>
    <w:rsid w:val="00194B6B"/>
    <w:rPr>
      <w:b/>
      <w:bCs/>
    </w:rPr>
  </w:style>
  <w:style w:type="paragraph" w:styleId="NormalWeb">
    <w:name w:val="Normal (Web)"/>
    <w:basedOn w:val="Normal"/>
    <w:uiPriority w:val="99"/>
    <w:unhideWhenUsed/>
    <w:rsid w:val="00104E6F"/>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635C9F"/>
    <w:rPr>
      <w:color w:val="605E5C"/>
      <w:shd w:val="clear" w:color="auto" w:fill="E1DFDD"/>
    </w:rPr>
  </w:style>
  <w:style w:type="character" w:styleId="Emphasis">
    <w:name w:val="Emphasis"/>
    <w:uiPriority w:val="20"/>
    <w:qFormat/>
    <w:rsid w:val="00194B6B"/>
    <w:rPr>
      <w:caps/>
      <w:color w:val="1F3763" w:themeColor="accent1" w:themeShade="7F"/>
      <w:spacing w:val="5"/>
    </w:rPr>
  </w:style>
  <w:style w:type="character" w:styleId="FollowedHyperlink">
    <w:name w:val="FollowedHyperlink"/>
    <w:basedOn w:val="DefaultParagraphFont"/>
    <w:uiPriority w:val="99"/>
    <w:semiHidden/>
    <w:unhideWhenUsed/>
    <w:rsid w:val="00A93E07"/>
    <w:rPr>
      <w:color w:val="954F72" w:themeColor="followedHyperlink"/>
      <w:u w:val="single"/>
    </w:rPr>
  </w:style>
  <w:style w:type="character" w:customStyle="1" w:styleId="Heading1Char">
    <w:name w:val="Heading 1 Char"/>
    <w:basedOn w:val="DefaultParagraphFont"/>
    <w:link w:val="Heading1"/>
    <w:uiPriority w:val="9"/>
    <w:rsid w:val="00194B6B"/>
    <w:rPr>
      <w:b/>
      <w:bCs/>
      <w:caps/>
      <w:color w:val="FFFFFF" w:themeColor="background1"/>
      <w:spacing w:val="15"/>
      <w:shd w:val="clear" w:color="auto" w:fill="4472C4" w:themeFill="accent1"/>
    </w:rPr>
  </w:style>
  <w:style w:type="paragraph" w:styleId="Bibliography">
    <w:name w:val="Bibliography"/>
    <w:basedOn w:val="Normal"/>
    <w:next w:val="Normal"/>
    <w:uiPriority w:val="37"/>
    <w:unhideWhenUsed/>
    <w:rsid w:val="00CA5DD1"/>
  </w:style>
  <w:style w:type="character" w:customStyle="1" w:styleId="Heading2Char">
    <w:name w:val="Heading 2 Char"/>
    <w:basedOn w:val="DefaultParagraphFont"/>
    <w:link w:val="Heading2"/>
    <w:uiPriority w:val="9"/>
    <w:semiHidden/>
    <w:rsid w:val="00194B6B"/>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194B6B"/>
    <w:rPr>
      <w:caps/>
      <w:color w:val="1F3763" w:themeColor="accent1" w:themeShade="7F"/>
      <w:spacing w:val="15"/>
    </w:rPr>
  </w:style>
  <w:style w:type="character" w:customStyle="1" w:styleId="Heading4Char">
    <w:name w:val="Heading 4 Char"/>
    <w:basedOn w:val="DefaultParagraphFont"/>
    <w:link w:val="Heading4"/>
    <w:uiPriority w:val="9"/>
    <w:semiHidden/>
    <w:rsid w:val="00194B6B"/>
    <w:rPr>
      <w:caps/>
      <w:color w:val="2F5496" w:themeColor="accent1" w:themeShade="BF"/>
      <w:spacing w:val="10"/>
    </w:rPr>
  </w:style>
  <w:style w:type="character" w:customStyle="1" w:styleId="Heading5Char">
    <w:name w:val="Heading 5 Char"/>
    <w:basedOn w:val="DefaultParagraphFont"/>
    <w:link w:val="Heading5"/>
    <w:uiPriority w:val="9"/>
    <w:semiHidden/>
    <w:rsid w:val="00194B6B"/>
    <w:rPr>
      <w:caps/>
      <w:color w:val="2F5496" w:themeColor="accent1" w:themeShade="BF"/>
      <w:spacing w:val="10"/>
    </w:rPr>
  </w:style>
  <w:style w:type="character" w:customStyle="1" w:styleId="Heading6Char">
    <w:name w:val="Heading 6 Char"/>
    <w:basedOn w:val="DefaultParagraphFont"/>
    <w:link w:val="Heading6"/>
    <w:uiPriority w:val="9"/>
    <w:semiHidden/>
    <w:rsid w:val="00194B6B"/>
    <w:rPr>
      <w:caps/>
      <w:color w:val="2F5496" w:themeColor="accent1" w:themeShade="BF"/>
      <w:spacing w:val="10"/>
    </w:rPr>
  </w:style>
  <w:style w:type="character" w:customStyle="1" w:styleId="Heading7Char">
    <w:name w:val="Heading 7 Char"/>
    <w:basedOn w:val="DefaultParagraphFont"/>
    <w:link w:val="Heading7"/>
    <w:uiPriority w:val="9"/>
    <w:semiHidden/>
    <w:rsid w:val="00194B6B"/>
    <w:rPr>
      <w:caps/>
      <w:color w:val="2F5496" w:themeColor="accent1" w:themeShade="BF"/>
      <w:spacing w:val="10"/>
    </w:rPr>
  </w:style>
  <w:style w:type="character" w:customStyle="1" w:styleId="Heading8Char">
    <w:name w:val="Heading 8 Char"/>
    <w:basedOn w:val="DefaultParagraphFont"/>
    <w:link w:val="Heading8"/>
    <w:uiPriority w:val="9"/>
    <w:semiHidden/>
    <w:rsid w:val="00194B6B"/>
    <w:rPr>
      <w:caps/>
      <w:spacing w:val="10"/>
      <w:sz w:val="18"/>
      <w:szCs w:val="18"/>
    </w:rPr>
  </w:style>
  <w:style w:type="character" w:customStyle="1" w:styleId="Heading9Char">
    <w:name w:val="Heading 9 Char"/>
    <w:basedOn w:val="DefaultParagraphFont"/>
    <w:link w:val="Heading9"/>
    <w:uiPriority w:val="9"/>
    <w:semiHidden/>
    <w:rsid w:val="00194B6B"/>
    <w:rPr>
      <w:i/>
      <w:caps/>
      <w:spacing w:val="10"/>
      <w:sz w:val="18"/>
      <w:szCs w:val="18"/>
    </w:rPr>
  </w:style>
  <w:style w:type="paragraph" w:styleId="Caption">
    <w:name w:val="caption"/>
    <w:basedOn w:val="Normal"/>
    <w:next w:val="Normal"/>
    <w:uiPriority w:val="35"/>
    <w:semiHidden/>
    <w:unhideWhenUsed/>
    <w:qFormat/>
    <w:rsid w:val="00194B6B"/>
    <w:rPr>
      <w:b/>
      <w:bCs/>
      <w:color w:val="2F5496" w:themeColor="accent1" w:themeShade="BF"/>
      <w:sz w:val="16"/>
      <w:szCs w:val="16"/>
    </w:rPr>
  </w:style>
  <w:style w:type="paragraph" w:styleId="Title">
    <w:name w:val="Title"/>
    <w:basedOn w:val="Normal"/>
    <w:next w:val="Normal"/>
    <w:link w:val="TitleChar"/>
    <w:uiPriority w:val="10"/>
    <w:qFormat/>
    <w:rsid w:val="00194B6B"/>
    <w:pPr>
      <w:spacing w:before="720"/>
    </w:pPr>
    <w:rPr>
      <w:caps/>
      <w:color w:val="4472C4" w:themeColor="accent1"/>
      <w:spacing w:val="10"/>
      <w:kern w:val="28"/>
      <w:sz w:val="52"/>
      <w:szCs w:val="52"/>
    </w:rPr>
  </w:style>
  <w:style w:type="character" w:customStyle="1" w:styleId="TitleChar">
    <w:name w:val="Title Char"/>
    <w:basedOn w:val="DefaultParagraphFont"/>
    <w:link w:val="Title"/>
    <w:uiPriority w:val="10"/>
    <w:rsid w:val="00194B6B"/>
    <w:rPr>
      <w:caps/>
      <w:color w:val="4472C4" w:themeColor="accent1"/>
      <w:spacing w:val="10"/>
      <w:kern w:val="28"/>
      <w:sz w:val="52"/>
      <w:szCs w:val="52"/>
    </w:rPr>
  </w:style>
  <w:style w:type="paragraph" w:styleId="Subtitle">
    <w:name w:val="Subtitle"/>
    <w:basedOn w:val="Normal"/>
    <w:next w:val="Normal"/>
    <w:link w:val="SubtitleChar"/>
    <w:uiPriority w:val="11"/>
    <w:qFormat/>
    <w:rsid w:val="00194B6B"/>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194B6B"/>
    <w:rPr>
      <w:caps/>
      <w:color w:val="595959" w:themeColor="text1" w:themeTint="A6"/>
      <w:spacing w:val="10"/>
      <w:sz w:val="24"/>
      <w:szCs w:val="24"/>
    </w:rPr>
  </w:style>
  <w:style w:type="paragraph" w:styleId="NoSpacing">
    <w:name w:val="No Spacing"/>
    <w:basedOn w:val="Normal"/>
    <w:link w:val="NoSpacingChar"/>
    <w:uiPriority w:val="1"/>
    <w:qFormat/>
    <w:rsid w:val="00194B6B"/>
    <w:pPr>
      <w:spacing w:before="0" w:after="0" w:line="240" w:lineRule="auto"/>
    </w:pPr>
  </w:style>
  <w:style w:type="character" w:customStyle="1" w:styleId="NoSpacingChar">
    <w:name w:val="No Spacing Char"/>
    <w:basedOn w:val="DefaultParagraphFont"/>
    <w:link w:val="NoSpacing"/>
    <w:uiPriority w:val="1"/>
    <w:rsid w:val="00194B6B"/>
    <w:rPr>
      <w:sz w:val="20"/>
      <w:szCs w:val="20"/>
    </w:rPr>
  </w:style>
  <w:style w:type="paragraph" w:styleId="Quote">
    <w:name w:val="Quote"/>
    <w:basedOn w:val="Normal"/>
    <w:next w:val="Normal"/>
    <w:link w:val="QuoteChar"/>
    <w:uiPriority w:val="29"/>
    <w:qFormat/>
    <w:rsid w:val="00194B6B"/>
    <w:rPr>
      <w:i/>
      <w:iCs/>
    </w:rPr>
  </w:style>
  <w:style w:type="character" w:customStyle="1" w:styleId="QuoteChar">
    <w:name w:val="Quote Char"/>
    <w:basedOn w:val="DefaultParagraphFont"/>
    <w:link w:val="Quote"/>
    <w:uiPriority w:val="29"/>
    <w:rsid w:val="00194B6B"/>
    <w:rPr>
      <w:i/>
      <w:iCs/>
      <w:sz w:val="20"/>
      <w:szCs w:val="20"/>
    </w:rPr>
  </w:style>
  <w:style w:type="paragraph" w:styleId="IntenseQuote">
    <w:name w:val="Intense Quote"/>
    <w:basedOn w:val="Normal"/>
    <w:next w:val="Normal"/>
    <w:link w:val="IntenseQuoteChar"/>
    <w:uiPriority w:val="30"/>
    <w:qFormat/>
    <w:rsid w:val="00194B6B"/>
    <w:pPr>
      <w:pBdr>
        <w:top w:val="single" w:sz="4" w:space="10" w:color="4472C4" w:themeColor="accent1"/>
        <w:left w:val="single" w:sz="4" w:space="10" w:color="4472C4" w:themeColor="accent1"/>
      </w:pBdr>
      <w:spacing w:after="0"/>
      <w:ind w:left="1296" w:right="1152"/>
      <w:jc w:val="both"/>
    </w:pPr>
    <w:rPr>
      <w:i/>
      <w:iCs/>
      <w:color w:val="4472C4" w:themeColor="accent1"/>
    </w:rPr>
  </w:style>
  <w:style w:type="character" w:customStyle="1" w:styleId="IntenseQuoteChar">
    <w:name w:val="Intense Quote Char"/>
    <w:basedOn w:val="DefaultParagraphFont"/>
    <w:link w:val="IntenseQuote"/>
    <w:uiPriority w:val="30"/>
    <w:rsid w:val="00194B6B"/>
    <w:rPr>
      <w:i/>
      <w:iCs/>
      <w:color w:val="4472C4" w:themeColor="accent1"/>
      <w:sz w:val="20"/>
      <w:szCs w:val="20"/>
    </w:rPr>
  </w:style>
  <w:style w:type="character" w:styleId="SubtleEmphasis">
    <w:name w:val="Subtle Emphasis"/>
    <w:uiPriority w:val="19"/>
    <w:qFormat/>
    <w:rsid w:val="00194B6B"/>
    <w:rPr>
      <w:i/>
      <w:iCs/>
      <w:color w:val="1F3763" w:themeColor="accent1" w:themeShade="7F"/>
    </w:rPr>
  </w:style>
  <w:style w:type="character" w:styleId="IntenseEmphasis">
    <w:name w:val="Intense Emphasis"/>
    <w:uiPriority w:val="21"/>
    <w:qFormat/>
    <w:rsid w:val="00194B6B"/>
    <w:rPr>
      <w:b/>
      <w:bCs/>
      <w:caps/>
      <w:color w:val="1F3763" w:themeColor="accent1" w:themeShade="7F"/>
      <w:spacing w:val="10"/>
    </w:rPr>
  </w:style>
  <w:style w:type="character" w:styleId="SubtleReference">
    <w:name w:val="Subtle Reference"/>
    <w:uiPriority w:val="31"/>
    <w:qFormat/>
    <w:rsid w:val="00194B6B"/>
    <w:rPr>
      <w:b/>
      <w:bCs/>
      <w:color w:val="4472C4" w:themeColor="accent1"/>
    </w:rPr>
  </w:style>
  <w:style w:type="character" w:styleId="IntenseReference">
    <w:name w:val="Intense Reference"/>
    <w:uiPriority w:val="32"/>
    <w:qFormat/>
    <w:rsid w:val="00194B6B"/>
    <w:rPr>
      <w:b/>
      <w:bCs/>
      <w:i/>
      <w:iCs/>
      <w:caps/>
      <w:color w:val="4472C4" w:themeColor="accent1"/>
    </w:rPr>
  </w:style>
  <w:style w:type="character" w:styleId="BookTitle">
    <w:name w:val="Book Title"/>
    <w:uiPriority w:val="33"/>
    <w:qFormat/>
    <w:rsid w:val="00194B6B"/>
    <w:rPr>
      <w:b/>
      <w:bCs/>
      <w:i/>
      <w:iCs/>
      <w:spacing w:val="9"/>
    </w:rPr>
  </w:style>
  <w:style w:type="paragraph" w:styleId="TOCHeading">
    <w:name w:val="TOC Heading"/>
    <w:basedOn w:val="Heading1"/>
    <w:next w:val="Normal"/>
    <w:uiPriority w:val="39"/>
    <w:semiHidden/>
    <w:unhideWhenUsed/>
    <w:qFormat/>
    <w:rsid w:val="00194B6B"/>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886663">
      <w:bodyDiv w:val="1"/>
      <w:marLeft w:val="0"/>
      <w:marRight w:val="0"/>
      <w:marTop w:val="0"/>
      <w:marBottom w:val="0"/>
      <w:divBdr>
        <w:top w:val="none" w:sz="0" w:space="0" w:color="auto"/>
        <w:left w:val="none" w:sz="0" w:space="0" w:color="auto"/>
        <w:bottom w:val="none" w:sz="0" w:space="0" w:color="auto"/>
        <w:right w:val="none" w:sz="0" w:space="0" w:color="auto"/>
      </w:divBdr>
    </w:div>
    <w:div w:id="402261394">
      <w:bodyDiv w:val="1"/>
      <w:marLeft w:val="0"/>
      <w:marRight w:val="0"/>
      <w:marTop w:val="0"/>
      <w:marBottom w:val="0"/>
      <w:divBdr>
        <w:top w:val="none" w:sz="0" w:space="0" w:color="auto"/>
        <w:left w:val="none" w:sz="0" w:space="0" w:color="auto"/>
        <w:bottom w:val="none" w:sz="0" w:space="0" w:color="auto"/>
        <w:right w:val="none" w:sz="0" w:space="0" w:color="auto"/>
      </w:divBdr>
    </w:div>
    <w:div w:id="720792185">
      <w:bodyDiv w:val="1"/>
      <w:marLeft w:val="0"/>
      <w:marRight w:val="0"/>
      <w:marTop w:val="0"/>
      <w:marBottom w:val="0"/>
      <w:divBdr>
        <w:top w:val="none" w:sz="0" w:space="0" w:color="auto"/>
        <w:left w:val="none" w:sz="0" w:space="0" w:color="auto"/>
        <w:bottom w:val="none" w:sz="0" w:space="0" w:color="auto"/>
        <w:right w:val="none" w:sz="0" w:space="0" w:color="auto"/>
      </w:divBdr>
    </w:div>
    <w:div w:id="835650252">
      <w:bodyDiv w:val="1"/>
      <w:marLeft w:val="0"/>
      <w:marRight w:val="0"/>
      <w:marTop w:val="0"/>
      <w:marBottom w:val="0"/>
      <w:divBdr>
        <w:top w:val="none" w:sz="0" w:space="0" w:color="auto"/>
        <w:left w:val="none" w:sz="0" w:space="0" w:color="auto"/>
        <w:bottom w:val="none" w:sz="0" w:space="0" w:color="auto"/>
        <w:right w:val="none" w:sz="0" w:space="0" w:color="auto"/>
      </w:divBdr>
    </w:div>
    <w:div w:id="1167867013">
      <w:bodyDiv w:val="1"/>
      <w:marLeft w:val="0"/>
      <w:marRight w:val="0"/>
      <w:marTop w:val="0"/>
      <w:marBottom w:val="0"/>
      <w:divBdr>
        <w:top w:val="none" w:sz="0" w:space="0" w:color="auto"/>
        <w:left w:val="none" w:sz="0" w:space="0" w:color="auto"/>
        <w:bottom w:val="none" w:sz="0" w:space="0" w:color="auto"/>
        <w:right w:val="none" w:sz="0" w:space="0" w:color="auto"/>
      </w:divBdr>
    </w:div>
    <w:div w:id="1168593762">
      <w:bodyDiv w:val="1"/>
      <w:marLeft w:val="0"/>
      <w:marRight w:val="0"/>
      <w:marTop w:val="0"/>
      <w:marBottom w:val="0"/>
      <w:divBdr>
        <w:top w:val="none" w:sz="0" w:space="0" w:color="auto"/>
        <w:left w:val="none" w:sz="0" w:space="0" w:color="auto"/>
        <w:bottom w:val="none" w:sz="0" w:space="0" w:color="auto"/>
        <w:right w:val="none" w:sz="0" w:space="0" w:color="auto"/>
      </w:divBdr>
    </w:div>
    <w:div w:id="1248268401">
      <w:bodyDiv w:val="1"/>
      <w:marLeft w:val="0"/>
      <w:marRight w:val="0"/>
      <w:marTop w:val="0"/>
      <w:marBottom w:val="0"/>
      <w:divBdr>
        <w:top w:val="none" w:sz="0" w:space="0" w:color="auto"/>
        <w:left w:val="none" w:sz="0" w:space="0" w:color="auto"/>
        <w:bottom w:val="none" w:sz="0" w:space="0" w:color="auto"/>
        <w:right w:val="none" w:sz="0" w:space="0" w:color="auto"/>
      </w:divBdr>
      <w:divsChild>
        <w:div w:id="1820488854">
          <w:marLeft w:val="0"/>
          <w:marRight w:val="0"/>
          <w:marTop w:val="0"/>
          <w:marBottom w:val="0"/>
          <w:divBdr>
            <w:top w:val="none" w:sz="0" w:space="0" w:color="auto"/>
            <w:left w:val="none" w:sz="0" w:space="0" w:color="auto"/>
            <w:bottom w:val="none" w:sz="0" w:space="0" w:color="auto"/>
            <w:right w:val="none" w:sz="0" w:space="0" w:color="auto"/>
          </w:divBdr>
          <w:divsChild>
            <w:div w:id="1470972762">
              <w:marLeft w:val="0"/>
              <w:marRight w:val="0"/>
              <w:marTop w:val="0"/>
              <w:marBottom w:val="0"/>
              <w:divBdr>
                <w:top w:val="none" w:sz="0" w:space="0" w:color="auto"/>
                <w:left w:val="none" w:sz="0" w:space="0" w:color="auto"/>
                <w:bottom w:val="none" w:sz="0" w:space="0" w:color="auto"/>
                <w:right w:val="none" w:sz="0" w:space="0" w:color="auto"/>
              </w:divBdr>
              <w:divsChild>
                <w:div w:id="1583834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408862">
      <w:bodyDiv w:val="1"/>
      <w:marLeft w:val="0"/>
      <w:marRight w:val="0"/>
      <w:marTop w:val="0"/>
      <w:marBottom w:val="0"/>
      <w:divBdr>
        <w:top w:val="none" w:sz="0" w:space="0" w:color="auto"/>
        <w:left w:val="none" w:sz="0" w:space="0" w:color="auto"/>
        <w:bottom w:val="none" w:sz="0" w:space="0" w:color="auto"/>
        <w:right w:val="none" w:sz="0" w:space="0" w:color="auto"/>
      </w:divBdr>
    </w:div>
    <w:div w:id="2008316859">
      <w:bodyDiv w:val="1"/>
      <w:marLeft w:val="0"/>
      <w:marRight w:val="0"/>
      <w:marTop w:val="0"/>
      <w:marBottom w:val="0"/>
      <w:divBdr>
        <w:top w:val="none" w:sz="0" w:space="0" w:color="auto"/>
        <w:left w:val="none" w:sz="0" w:space="0" w:color="auto"/>
        <w:bottom w:val="none" w:sz="0" w:space="0" w:color="auto"/>
        <w:right w:val="none" w:sz="0" w:space="0" w:color="auto"/>
      </w:divBdr>
      <w:divsChild>
        <w:div w:id="2128549732">
          <w:marLeft w:val="0"/>
          <w:marRight w:val="0"/>
          <w:marTop w:val="0"/>
          <w:marBottom w:val="0"/>
          <w:divBdr>
            <w:top w:val="none" w:sz="0" w:space="0" w:color="auto"/>
            <w:left w:val="none" w:sz="0" w:space="0" w:color="auto"/>
            <w:bottom w:val="none" w:sz="0" w:space="0" w:color="auto"/>
            <w:right w:val="none" w:sz="0" w:space="0" w:color="auto"/>
          </w:divBdr>
          <w:divsChild>
            <w:div w:id="1219054177">
              <w:marLeft w:val="0"/>
              <w:marRight w:val="0"/>
              <w:marTop w:val="0"/>
              <w:marBottom w:val="0"/>
              <w:divBdr>
                <w:top w:val="none" w:sz="0" w:space="0" w:color="auto"/>
                <w:left w:val="none" w:sz="0" w:space="0" w:color="auto"/>
                <w:bottom w:val="none" w:sz="0" w:space="0" w:color="auto"/>
                <w:right w:val="none" w:sz="0" w:space="0" w:color="auto"/>
              </w:divBdr>
              <w:divsChild>
                <w:div w:id="198253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hmicfrs.justiceinspectorates.gov.uk/uploads/police-integrity-19990601.pdf" TargetMode="External"/><Relationship Id="rId13" Type="http://schemas.openxmlformats.org/officeDocument/2006/relationships/hyperlink" Target="https://www.gov.uk/government/consultations/police-stop-and-search-powers" TargetMode="External"/><Relationship Id="rId18" Type="http://schemas.openxmlformats.org/officeDocument/2006/relationships/hyperlink" Target="https://www.theguardian.com/uk-news/2023/oct/25/met-officers-guilty-of-gross-misconduct-over-stop-and-search-of-black-athletes" TargetMode="External"/><Relationship Id="rId3" Type="http://schemas.openxmlformats.org/officeDocument/2006/relationships/styles" Target="styles.xml"/><Relationship Id="rId21" Type="http://schemas.openxmlformats.org/officeDocument/2006/relationships/hyperlink" Target="https://www.legislation.gov.uk/ukpga/1971/38/section/23" TargetMode="External"/><Relationship Id="rId7" Type="http://schemas.openxmlformats.org/officeDocument/2006/relationships/hyperlink" Target="https://www.college.police.uk/app/stop-and-search/stop-and-search" TargetMode="External"/><Relationship Id="rId12" Type="http://schemas.openxmlformats.org/officeDocument/2006/relationships/hyperlink" Target="https://www.gov.uk/government/publications/the-report-of-the-commission-on-race-and-ethnic-disparities/crime-and-policing#fn:3" TargetMode="External"/><Relationship Id="rId17" Type="http://schemas.openxmlformats.org/officeDocument/2006/relationships/hyperlink" Target="https://police.stanford.edu/pdf/PolicingPrinciplesOutline_013020.pdf" TargetMode="External"/><Relationship Id="rId2" Type="http://schemas.openxmlformats.org/officeDocument/2006/relationships/numbering" Target="numbering.xml"/><Relationship Id="rId16" Type="http://schemas.openxmlformats.org/officeDocument/2006/relationships/hyperlink" Target="https://www.museumoflondon.org.uk/discover/brixton-1981-blm-2020-black-uprisings-londons-history" TargetMode="External"/><Relationship Id="rId20" Type="http://schemas.openxmlformats.org/officeDocument/2006/relationships/hyperlink" Target="https://www.legislation.gov.uk/ukpga/1994/33/contents" TargetMode="External"/><Relationship Id="rId1" Type="http://schemas.openxmlformats.org/officeDocument/2006/relationships/customXml" Target="../customXml/item1.xml"/><Relationship Id="rId6" Type="http://schemas.openxmlformats.org/officeDocument/2006/relationships/hyperlink" Target="https://www.theguardian.com/uk-news/2023/oct/25/met-officers-guilty-of-gross-misconduct-over-stop-and-search-of-black-athletes" TargetMode="External"/><Relationship Id="rId11" Type="http://schemas.openxmlformats.org/officeDocument/2006/relationships/hyperlink" Target="https://webarchive.nationalarchives.gov.uk/ukgwa/20221216132830/https://www.gov.uk/government/publications/pace-code-a-2015/code-a-revised-accessible#principles-governing-stop-and-searc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researchbriefings.files.parliament.uk/documents/SN03878/SN03878.pdf" TargetMode="External"/><Relationship Id="rId23" Type="http://schemas.openxmlformats.org/officeDocument/2006/relationships/fontTable" Target="fontTable.xml"/><Relationship Id="rId10" Type="http://schemas.openxmlformats.org/officeDocument/2006/relationships/hyperlink" Target="https://assets-hmicfrs.justiceinspectorates.gov.uk/uploads/disproportionate-use-of-police-powers-spotlight-on-stop-search-and-use-of-force.pdf" TargetMode="External"/><Relationship Id="rId19" Type="http://schemas.openxmlformats.org/officeDocument/2006/relationships/hyperlink" Target="https://post.parliament.uk/research-briefings/post-pn-0693/" TargetMode="External"/><Relationship Id="rId4" Type="http://schemas.openxmlformats.org/officeDocument/2006/relationships/settings" Target="settings.xml"/><Relationship Id="rId9" Type="http://schemas.openxmlformats.org/officeDocument/2006/relationships/hyperlink" Target="https://www.gloucestershire.gov.uk/your-community/black-history-month/black-history-month-2020/race-relations-acts-1965-2000/scarman-report/" TargetMode="External"/><Relationship Id="rId14" Type="http://schemas.openxmlformats.org/officeDocument/2006/relationships/hyperlink" Target="https://news.npcc.police.uk/releases/police-action-plan-launched-aiming-to-address-race-disparities-affecting-black-people-and-change-a-legacy-of-distrust" TargetMode="External"/><Relationship Id="rId22" Type="http://schemas.openxmlformats.org/officeDocument/2006/relationships/hyperlink" Target="https://www.legislation.gov.uk/ukpga/1984/60/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Cou23</b:Tag>
    <b:SourceType>InternetSite</b:SourceType>
    <b:Guid>{242D3278-02AF-1E4A-B5F1-46161C7566DA}</b:Guid>
    <b:Author>
      <b:Author>
        <b:NameList>
          <b:Person>
            <b:Last>Council</b:Last>
            <b:First>Gloucestershire</b:First>
          </b:Person>
        </b:NameList>
      </b:Author>
    </b:Author>
    <b:Title>Scarman Report</b:Title>
    <b:Year>2023</b:Year>
    <b:URL>https://www.gloucestershire.gov.uk/your-community/black-history-month/black-history-month-2020/race-relations-acts-1965-2000/scarman-report/</b:URL>
    <b:YearAccessed>2023</b:YearAccessed>
    <b:MonthAccessed>November </b:MonthAccessed>
    <b:DayAccessed>07</b:DayAccessed>
    <b:RefOrder>1</b:RefOrder>
  </b:Source>
</b:Sources>
</file>

<file path=customXml/itemProps1.xml><?xml version="1.0" encoding="utf-8"?>
<ds:datastoreItem xmlns:ds="http://schemas.openxmlformats.org/officeDocument/2006/customXml" ds:itemID="{EDB0A06E-A486-2743-9507-C423E3402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14</Pages>
  <Words>3357</Words>
  <Characters>21089</Characters>
  <Application>Microsoft Office Word</Application>
  <DocSecurity>0</DocSecurity>
  <Lines>421</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evaluate how past incidents within the community have shaped best practices regarding the use of Section 1 Stop Search Powers. Consider standards of professional behaviour and the Code of Ethics.</dc:title>
  <dc:subject>Operational Policing</dc:subject>
  <dc:creator>Kimberley Collins (2223837)</dc:creator>
  <cp:keywords/>
  <dc:description/>
  <cp:lastModifiedBy>Kimberley Collins (2223837)</cp:lastModifiedBy>
  <cp:revision>282</cp:revision>
  <dcterms:created xsi:type="dcterms:W3CDTF">2023-10-26T15:47:00Z</dcterms:created>
  <dcterms:modified xsi:type="dcterms:W3CDTF">2023-11-07T14:32:00Z</dcterms:modified>
</cp:coreProperties>
</file>