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A7BD9D0">
        <w:rPr>
          <w:color w:val="000000" w:themeColor="text1"/>
          <w:sz w:val="24"/>
          <w:szCs w:val="24"/>
        </w:rPr>
        <w:t>+</w:t>
      </w:r>
      <w:r w:rsidR="5592E16B">
        <w:rPr>
          <w:noProof/>
        </w:rPr>
        <w:drawing>
          <wp:inline distT="0" distB="0" distL="0" distR="0" wp14:anchorId="661DC7E3" wp14:editId="0F6D5C44">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A642949" w:rsidR="7908378C" w:rsidRDefault="7908378C" w:rsidP="33572C6E">
            <w:pPr>
              <w:ind w:right="237"/>
              <w:rPr>
                <w:b/>
                <w:bCs/>
                <w:color w:val="auto"/>
                <w:sz w:val="32"/>
                <w:szCs w:val="32"/>
              </w:rPr>
            </w:pPr>
            <w:r w:rsidRPr="33572C6E">
              <w:rPr>
                <w:b/>
                <w:bCs/>
                <w:color w:val="auto"/>
                <w:sz w:val="32"/>
                <w:szCs w:val="32"/>
              </w:rPr>
              <w:t>Learner name: _</w:t>
            </w:r>
            <w:r w:rsidR="006A06B3">
              <w:rPr>
                <w:b/>
                <w:bCs/>
                <w:color w:val="auto"/>
                <w:sz w:val="32"/>
                <w:szCs w:val="32"/>
              </w:rPr>
              <w:t xml:space="preserve">Luke Rimes </w:t>
            </w:r>
            <w:r w:rsidRPr="33572C6E">
              <w:rPr>
                <w:b/>
                <w:bCs/>
                <w:color w:val="auto"/>
                <w:sz w:val="32"/>
                <w:szCs w:val="32"/>
              </w:rPr>
              <w:t>_____________________________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37A11D5" w:rsidR="7908378C" w:rsidRDefault="006A06B3" w:rsidP="33572C6E">
            <w:pPr>
              <w:ind w:right="237"/>
              <w:rPr>
                <w:b/>
                <w:bCs/>
                <w:color w:val="auto"/>
                <w:sz w:val="32"/>
                <w:szCs w:val="32"/>
              </w:rPr>
            </w:pPr>
            <w:r>
              <w:rPr>
                <w:b/>
                <w:bCs/>
                <w:color w:val="auto"/>
                <w:sz w:val="32"/>
                <w:szCs w:val="32"/>
              </w:rPr>
              <w:t>2117603</w:t>
            </w:r>
            <w:r w:rsidR="7908378C"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116918"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498ABFDC"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6AEF39C7" w14:textId="768885D8" w:rsidR="00092BC2" w:rsidRDefault="00092BC2" w:rsidP="5B843AF0">
      <w:pPr>
        <w:ind w:right="237"/>
        <w:jc w:val="both"/>
        <w:rPr>
          <w:rFonts w:eastAsia="Arial"/>
          <w:b/>
          <w:bCs/>
          <w:color w:val="000000" w:themeColor="text1"/>
          <w:sz w:val="24"/>
          <w:szCs w:val="24"/>
        </w:rPr>
      </w:pPr>
    </w:p>
    <w:p w14:paraId="686D6B68" w14:textId="77777777" w:rsidR="00092BC2" w:rsidRPr="00092BC2" w:rsidRDefault="00092BC2" w:rsidP="00092BC2">
      <w:pPr>
        <w:spacing w:after="360" w:line="360" w:lineRule="auto"/>
        <w:jc w:val="both"/>
      </w:pPr>
      <w:r w:rsidRPr="00092BC2">
        <w:t xml:space="preserve">This essay will explore the role I played during a policing incident and examine the efficacy of those who assisted me. The policing incident occurred during a planned operational response to new and concerning disclosures by my victim, which, although had previously reported assaults by her father, she had since disclosed further assaults and threats by her family (Bates, 2020). Consequently, this essay will also discuss ways to tackle repeat victimisation within domestic related assault and abuse in the context of HBA, as the assaults appeared to be motivated by family honour. </w:t>
      </w:r>
    </w:p>
    <w:p w14:paraId="48BE5A75" w14:textId="77777777" w:rsidR="00092BC2" w:rsidRPr="00092BC2" w:rsidRDefault="00092BC2" w:rsidP="00092BC2">
      <w:pPr>
        <w:spacing w:after="360" w:line="360" w:lineRule="auto"/>
        <w:jc w:val="both"/>
        <w:rPr>
          <w:b/>
          <w:bCs/>
          <w:i/>
          <w:iCs/>
        </w:rPr>
      </w:pPr>
      <w:r w:rsidRPr="00092BC2">
        <w:rPr>
          <w:b/>
          <w:bCs/>
          <w:i/>
          <w:iCs/>
        </w:rPr>
        <w:t>Context</w:t>
      </w:r>
    </w:p>
    <w:p w14:paraId="49A12700" w14:textId="77777777" w:rsidR="00092BC2" w:rsidRPr="00092BC2" w:rsidRDefault="00092BC2" w:rsidP="00092BC2">
      <w:pPr>
        <w:spacing w:after="360" w:line="360" w:lineRule="auto"/>
        <w:jc w:val="both"/>
      </w:pPr>
      <w:r w:rsidRPr="00092BC2">
        <w:t xml:space="preserve">Before the incident, I lead an investigation into allegations of common assault by a female pupil’s father, to which he denied in interview. The investigation was complex from the offset. </w:t>
      </w:r>
    </w:p>
    <w:p w14:paraId="46620570" w14:textId="77777777" w:rsidR="00092BC2" w:rsidRPr="00092BC2" w:rsidRDefault="00092BC2" w:rsidP="00092BC2">
      <w:pPr>
        <w:spacing w:after="360" w:line="360" w:lineRule="auto"/>
        <w:ind w:firstLine="720"/>
        <w:jc w:val="both"/>
      </w:pPr>
      <w:r w:rsidRPr="00092BC2">
        <w:t xml:space="preserve">The family had gained asylum from Iran and were of Kurdish origin, but required communication to be translated into Kurdish Sorani Furthermore, understanding my victim’s family makeup: namely, the cultural, religious, and family values in Kurdish and Islamic families where factors of religion, culture, socio-community pressure, and shame can increase the likelihood of honour killings (Gill, 2009), female genital mutilation (FGM), and forced marriages that can occur as part of Honour Based Abuse (HBA) (College of Policing, 2023; Abdullah, 2019).  Early in the investigation, therefore, I collaborated with the Domestic Abuse Unit and their HBA specialist officer, so that I was better equipped to spot signs of </w:t>
      </w:r>
      <w:r w:rsidRPr="00092BC2">
        <w:lastRenderedPageBreak/>
        <w:t>increased threat, risk, and harm (TRH) for my victim and her younger sister (</w:t>
      </w:r>
      <w:r w:rsidRPr="00092BC2">
        <w:rPr>
          <w:rFonts w:ascii="Calibri" w:hAnsi="Calibri" w:cs="Calibri"/>
          <w:sz w:val="22"/>
          <w:szCs w:val="22"/>
        </w:rPr>
        <w:t>Brandon, J. and Hafez, S.</w:t>
      </w:r>
      <w:r w:rsidRPr="00092BC2">
        <w:rPr>
          <w:rFonts w:ascii="Calibri" w:hAnsi="Calibri" w:cs="Calibri"/>
        </w:rPr>
        <w:t xml:space="preserve">, </w:t>
      </w:r>
      <w:r w:rsidRPr="00092BC2">
        <w:rPr>
          <w:rFonts w:ascii="Calibri" w:hAnsi="Calibri" w:cs="Calibri"/>
          <w:sz w:val="22"/>
          <w:szCs w:val="22"/>
        </w:rPr>
        <w:t>2008</w:t>
      </w:r>
      <w:r w:rsidRPr="00092BC2">
        <w:rPr>
          <w:rFonts w:ascii="Calibri" w:hAnsi="Calibri" w:cs="Calibri"/>
        </w:rPr>
        <w:t>)</w:t>
      </w:r>
      <w:r w:rsidRPr="00092BC2">
        <w:t>.</w:t>
      </w:r>
    </w:p>
    <w:p w14:paraId="39777CBE" w14:textId="77777777" w:rsidR="00092BC2" w:rsidRPr="00092BC2" w:rsidRDefault="00092BC2" w:rsidP="00092BC2">
      <w:pPr>
        <w:spacing w:after="360" w:line="360" w:lineRule="auto"/>
        <w:ind w:firstLine="720"/>
        <w:jc w:val="both"/>
      </w:pPr>
      <w:r w:rsidRPr="00092BC2">
        <w:t>As part of an on-going safety plan, agreed by social services, the father was required to live elsewhere to safeguard the victim. This allowed for further lines of enquiry to be investigated. Two days before the disclosures, the brother assaulted my victim’s boyfriend at school. When asked by staff about the incident, the brother explained it was to prevent ‘dishonour on the family’. Due to this increased pressure, my victim then disclosed the full nature of her abuse to school staff. The school then contacted police and submitted a Multi-Agency Referral Form (MARF), which outlined my victim’s disclosures and the assault on her boyfriend.</w:t>
      </w:r>
    </w:p>
    <w:p w14:paraId="37F963CF" w14:textId="77777777" w:rsidR="00092BC2" w:rsidRPr="00092BC2" w:rsidRDefault="00092BC2" w:rsidP="00092BC2">
      <w:pPr>
        <w:spacing w:after="360" w:line="360" w:lineRule="auto"/>
        <w:ind w:firstLine="720"/>
        <w:jc w:val="both"/>
      </w:pPr>
      <w:r w:rsidRPr="00092BC2">
        <w:t>The MARF was received by the Multi Agency Sharing Hub (MASH), who informed my department, the Child Abuse Investigation Unit (CAIU). The MARF outlined the further disclosures, explaining that the father broke the safety plan as a result (Ford, 2019). Moreover, the victim explained this time that her family’s actions were motivated by family honour, as her pre-marital sexual relationship with another pupil brought shame on the family because it directly challenged the family’s expectations of my victim. Since I was better versed in HBA, I was acutely aware that my victim’s actions may trigger a more violent response, significantly increasing potential TRH to their daughters (</w:t>
      </w:r>
      <w:proofErr w:type="spellStart"/>
      <w:r w:rsidRPr="00092BC2">
        <w:t>Chantler</w:t>
      </w:r>
      <w:proofErr w:type="spellEnd"/>
      <w:r w:rsidRPr="00092BC2">
        <w:t xml:space="preserve">, 2022; Hafez, 2008). </w:t>
      </w:r>
    </w:p>
    <w:p w14:paraId="7576CD6B" w14:textId="77777777" w:rsidR="00092BC2" w:rsidRPr="00092BC2" w:rsidRDefault="00092BC2" w:rsidP="00092BC2">
      <w:pPr>
        <w:spacing w:after="360" w:line="360" w:lineRule="auto"/>
        <w:ind w:firstLine="720"/>
        <w:jc w:val="both"/>
      </w:pPr>
    </w:p>
    <w:p w14:paraId="69B37E2D" w14:textId="77777777" w:rsidR="00092BC2" w:rsidRPr="00092BC2" w:rsidRDefault="00092BC2" w:rsidP="00092BC2">
      <w:pPr>
        <w:spacing w:after="360" w:line="360" w:lineRule="auto"/>
        <w:ind w:firstLine="720"/>
        <w:jc w:val="both"/>
      </w:pPr>
      <w:r w:rsidRPr="00092BC2">
        <w:t xml:space="preserve">Consequently, as the safety plan failed to protect my victim (Ford, 2019; </w:t>
      </w:r>
      <w:proofErr w:type="spellStart"/>
      <w:r w:rsidRPr="00092BC2">
        <w:t>Shorrock</w:t>
      </w:r>
      <w:proofErr w:type="spellEnd"/>
      <w:r w:rsidRPr="00092BC2">
        <w:t>, 2020), it was my role to escalate the investigation about a voluntary removal of the children agreed by the parents, under s.76 of the Child Act (Children Act, 1989).</w:t>
      </w:r>
    </w:p>
    <w:p w14:paraId="25FC6B60" w14:textId="77777777" w:rsidR="00092BC2" w:rsidRPr="00092BC2" w:rsidRDefault="00092BC2" w:rsidP="00092BC2">
      <w:pPr>
        <w:spacing w:after="360" w:line="360" w:lineRule="auto"/>
        <w:jc w:val="both"/>
        <w:rPr>
          <w:b/>
          <w:bCs/>
          <w:i/>
          <w:iCs/>
        </w:rPr>
      </w:pPr>
      <w:r w:rsidRPr="00092BC2">
        <w:rPr>
          <w:b/>
          <w:bCs/>
          <w:i/>
          <w:iCs/>
        </w:rPr>
        <w:t>Incident</w:t>
      </w:r>
    </w:p>
    <w:p w14:paraId="5FB01259" w14:textId="77777777" w:rsidR="00092BC2" w:rsidRPr="00092BC2" w:rsidRDefault="00092BC2" w:rsidP="00092BC2">
      <w:pPr>
        <w:spacing w:after="360" w:line="360" w:lineRule="auto"/>
        <w:jc w:val="both"/>
      </w:pPr>
      <w:r w:rsidRPr="00092BC2">
        <w:t xml:space="preserve">The response and planning of this operation were vital and relied on a multi-agency approach to remove the children effectively and safely from their family (Andrews, 2022). There were three phases to the operation. </w:t>
      </w:r>
    </w:p>
    <w:p w14:paraId="00BCBD52" w14:textId="77777777" w:rsidR="00092BC2" w:rsidRPr="00092BC2" w:rsidRDefault="00092BC2" w:rsidP="00092BC2">
      <w:pPr>
        <w:spacing w:after="360" w:line="360" w:lineRule="auto"/>
        <w:ind w:firstLine="720"/>
        <w:jc w:val="both"/>
      </w:pPr>
      <w:r w:rsidRPr="00092BC2">
        <w:t>Firstly, to visit my victim in school as part of a joint visit with a social worker to obtain an initial account regarding the new disclosures. Following this, the victim would remain in school with safeguarding staff as it was an agreed place of safety. Next, a combined effort of uniformed and CAIU officers, as well as the case social worker and a Kurdish Sorani translator would remove the second daughter from the family home (College of Policing, 2023). Lastly, my victim would be picked up from her school and the sisters be taken to foster care placements.</w:t>
      </w:r>
    </w:p>
    <w:p w14:paraId="63B7B639" w14:textId="77777777" w:rsidR="00092BC2" w:rsidRPr="00092BC2" w:rsidRDefault="00092BC2" w:rsidP="00092BC2">
      <w:pPr>
        <w:spacing w:after="360" w:line="360" w:lineRule="auto"/>
        <w:ind w:firstLine="720"/>
        <w:jc w:val="both"/>
      </w:pPr>
      <w:r w:rsidRPr="00092BC2">
        <w:lastRenderedPageBreak/>
        <w:t xml:space="preserve">Overall, the operation was successful, as the children were removed safely into foster care. Key to that success was the collaboration of partners and agencies, as their specialist roles matched the operational challenges. However, because of their different approaches to the live situation, this effected the overall execution in both positive and negative ways. Ultimately, it ended in me utilising police powers to supersede social services. Additionally, due to high priority sector calls, I had to balance the immediate TRH and decide the allocation of the officers present. This essay will now examine how uniformed officers and social services responded to the unforeseen incident and evaluate how that influenced my role. </w:t>
      </w:r>
    </w:p>
    <w:p w14:paraId="19D694D5" w14:textId="77777777" w:rsidR="00092BC2" w:rsidRPr="00092BC2" w:rsidRDefault="00092BC2" w:rsidP="00092BC2">
      <w:pPr>
        <w:spacing w:after="360" w:line="360" w:lineRule="auto"/>
        <w:jc w:val="both"/>
        <w:rPr>
          <w:b/>
          <w:bCs/>
          <w:i/>
          <w:iCs/>
        </w:rPr>
      </w:pPr>
      <w:r w:rsidRPr="00092BC2">
        <w:rPr>
          <w:b/>
          <w:bCs/>
          <w:i/>
          <w:iCs/>
        </w:rPr>
        <w:t>Analysis</w:t>
      </w:r>
    </w:p>
    <w:p w14:paraId="58187270" w14:textId="77777777" w:rsidR="00092BC2" w:rsidRPr="00092BC2" w:rsidRDefault="00092BC2" w:rsidP="00092BC2">
      <w:pPr>
        <w:spacing w:after="360" w:line="360" w:lineRule="auto"/>
        <w:ind w:firstLine="720"/>
        <w:jc w:val="both"/>
      </w:pPr>
      <w:r w:rsidRPr="00092BC2">
        <w:t>Following a successful joint visit with the victim at school, the operation moved to phase 2. All personnel arrived at the family home, including the case SW and translator (MET Police, 2007). I received a call from the school explaining that they were in lockdown, as the victim’s brother arrived and begun to make attempts to enter the school for his sister. Along with uniformed officers, we made our way to the school on a blue light run. While on route, the brother left the vicinity due to hearing our sirens, however, the mother and the younger sister – who were supposed to be at home, where our combined team were – then arrived at the school grounds.</w:t>
      </w:r>
    </w:p>
    <w:p w14:paraId="3CEB2255" w14:textId="77777777" w:rsidR="00092BC2" w:rsidRPr="00092BC2" w:rsidRDefault="00092BC2" w:rsidP="00092BC2">
      <w:pPr>
        <w:spacing w:after="360" w:line="360" w:lineRule="auto"/>
        <w:ind w:firstLine="720"/>
        <w:jc w:val="both"/>
      </w:pPr>
      <w:r w:rsidRPr="00092BC2">
        <w:t xml:space="preserve">Due to the on-going risk of the brother’s nearby whereabouts and the potential for the father to arrive, I requested more uniformed units to attend the school and secure the car park. To further contain the situation, I have taken the mother and daughter into the school reception and waited for my colleagues to arrive. </w:t>
      </w:r>
    </w:p>
    <w:p w14:paraId="2390E315" w14:textId="77777777" w:rsidR="00092BC2" w:rsidRPr="00092BC2" w:rsidRDefault="00092BC2" w:rsidP="00092BC2">
      <w:pPr>
        <w:spacing w:after="360" w:line="360" w:lineRule="auto"/>
        <w:ind w:firstLine="720"/>
        <w:jc w:val="both"/>
      </w:pPr>
      <w:r w:rsidRPr="00092BC2">
        <w:t xml:space="preserve">Once the team arrived, a SW and CAIU colleague removed the youngest daughter into the school to be reunited with her eldest sister.  I have then explained to the mother that due to the latest disclosures; she has failed to protect her children from harm and is alleged to have been involved as a suspect in the in the assaults. And, for that reason we must remove her daughters into care. While explaining the voluntary process, she became enraged, resulting in her throwing a small wooden table at the wall and attempted to tackle me to the ground. Several uses of force (UOF) were required by me and uniformed officers to safely restrain her and handcuffs were applied to further mitigate TRH. </w:t>
      </w:r>
    </w:p>
    <w:p w14:paraId="08646C0E" w14:textId="77777777" w:rsidR="00092BC2" w:rsidRPr="00092BC2" w:rsidRDefault="00092BC2" w:rsidP="00092BC2">
      <w:pPr>
        <w:spacing w:after="360" w:line="360" w:lineRule="auto"/>
        <w:ind w:firstLine="720"/>
        <w:jc w:val="both"/>
      </w:pPr>
      <w:r w:rsidRPr="00092BC2">
        <w:t xml:space="preserve">Further attempts were made by the SW and me to explain the removal process, but the mother was uncooperative. The SW was calm and worked well with the translator to simplify their language and explanations into the process. This happened for approximately twenty minutes until the father arrived at the school, bypassing the other officers in the car park. The father successfully forced his way into the reception, pulling apart a locked magnetised door. Owing to his highly aggressive demeanour, I felt it necessary and proportionate to draw my irritant spray from my covert harness, while a further uniformed officer drew their taser (Buttle, 2003). The combined UOF and presence by police reduced the father’s anger significantly, as he realised the potential consequences of furthering his </w:t>
      </w:r>
      <w:r w:rsidRPr="00092BC2">
        <w:lastRenderedPageBreak/>
        <w:t>actions – taser/spray discharges. The father calmed down very quickly and was removed from the reception and into the back of the marked police vehicle (</w:t>
      </w:r>
      <w:proofErr w:type="spellStart"/>
      <w:r w:rsidRPr="00092BC2">
        <w:t>Bertillson</w:t>
      </w:r>
      <w:proofErr w:type="spellEnd"/>
      <w:r w:rsidRPr="00092BC2">
        <w:t xml:space="preserve">, 2017). </w:t>
      </w:r>
    </w:p>
    <w:p w14:paraId="0F921D3F" w14:textId="77777777" w:rsidR="00092BC2" w:rsidRPr="00092BC2" w:rsidRDefault="00092BC2" w:rsidP="00092BC2">
      <w:pPr>
        <w:spacing w:after="360" w:line="360" w:lineRule="auto"/>
        <w:ind w:firstLine="720"/>
        <w:jc w:val="both"/>
      </w:pPr>
      <w:r w:rsidRPr="00092BC2">
        <w:t xml:space="preserve">Soon after, uniformed officers then received multiple high priority calls that required their attention. This added further pressure to the incident, as they were asking me to decide what to do. However, as the mother calmed down and the TRH was largely mitigated – other than the brother’s whereabouts – I decided for the two original officers to remain, to provide a presence in case the brother returned, and the others to leave. </w:t>
      </w:r>
    </w:p>
    <w:p w14:paraId="7378AA4A" w14:textId="77777777" w:rsidR="00092BC2" w:rsidRPr="00092BC2" w:rsidRDefault="00092BC2" w:rsidP="00092BC2">
      <w:pPr>
        <w:spacing w:after="360" w:line="360" w:lineRule="auto"/>
        <w:ind w:firstLine="720"/>
        <w:jc w:val="both"/>
      </w:pPr>
      <w:r w:rsidRPr="00092BC2">
        <w:t xml:space="preserve">The SW and I continued to communicate with the mother to sign over her children voluntarily for almost an hour by now. Voluntary removal would allow the family choice to visit their children and be viewed more favourably at family court proceedings. The SW tried again to explain from the start. Despite this last attempt, I felt that due to the reduced police presence, we had to act quicker. Additionally, I believed that despite the SW’s best efforts, the mother had been given sufficient opportunity and patience by police and social services to come to a decision. Consequently, the negotiation had significantly delayed the removal of the children, as well as delaying teachers from going home and locking the building. Therefore, because of the competing time and safety challenges I was faced, I issued a PPO to bring a swift conclusion to the incident. I passed this information to the SW in the school building to take the two girls to their foster care addresses. </w:t>
      </w:r>
    </w:p>
    <w:p w14:paraId="7729BFC2" w14:textId="77777777" w:rsidR="00092BC2" w:rsidRPr="00092BC2" w:rsidRDefault="00092BC2" w:rsidP="00092BC2">
      <w:pPr>
        <w:spacing w:after="360" w:line="360" w:lineRule="auto"/>
        <w:ind w:firstLine="720"/>
        <w:jc w:val="both"/>
      </w:pPr>
      <w:r w:rsidRPr="00092BC2">
        <w:t xml:space="preserve">Clearly, the live incident at the school tested the strength of the planning and personnel of the operation. Overall, the decision to have uniformed officers positively impacted the live incident. Firstly, they allowed me to respond quickly at the school due to the marked police vehicle. Secondly, we were able to mitigate TRH effectively and safely on both occasions where police presence and UOF were required. Furthermore, the marked vehicle’s cage acted as a further containment strategy to reduce the TRH posed by the father. </w:t>
      </w:r>
    </w:p>
    <w:p w14:paraId="17AE5E74" w14:textId="77777777" w:rsidR="00092BC2" w:rsidRPr="00092BC2" w:rsidRDefault="00092BC2" w:rsidP="00092BC2">
      <w:pPr>
        <w:spacing w:after="360" w:line="360" w:lineRule="auto"/>
        <w:ind w:firstLine="720"/>
        <w:jc w:val="both"/>
      </w:pPr>
      <w:r w:rsidRPr="00092BC2">
        <w:t xml:space="preserve">However, the addition of further units failed to prevent the father from entering the school grounds. Although it resulted in a necessary further UOF where no physical harm or discharges were required, it was an avoidable situation that could have been prevented, as access to the school car park could have been blocked. Moreover, when high priority sector calls came into these units, it added increased pressure to my decision making and consideration to the dynamic risk assessment. Nonetheless, I recycled the NDM and felt that TRH had been reduced to an acceptable level, which allowed for two-thirds of our uniformed officers to leave, while one-third remained to respond to any future instances at the school.  </w:t>
      </w:r>
    </w:p>
    <w:p w14:paraId="176A4E0D" w14:textId="77777777" w:rsidR="00092BC2" w:rsidRPr="00092BC2" w:rsidRDefault="00092BC2" w:rsidP="00092BC2">
      <w:pPr>
        <w:spacing w:after="360" w:line="360" w:lineRule="auto"/>
        <w:ind w:firstLine="720"/>
        <w:jc w:val="both"/>
      </w:pPr>
      <w:r w:rsidRPr="00092BC2">
        <w:t xml:space="preserve">When analysing the role of social services, they provided familiarity and warmth to the family – from their assistance with the initial disclosure at school, the emotional support once both girls were at the school, and their relationship with the mother. It was a best-case scenario for delivering support to the children, but also to assist with comprehension and delivering experienced explanations to the </w:t>
      </w:r>
      <w:r w:rsidRPr="00092BC2">
        <w:lastRenderedPageBreak/>
        <w:t>mother with regards to the s.76. Despite the social worker’s best efforts to negotiate a voluntary removal, their long explanations required translation and the mother remained distressed for most of the conversation. As a result, the mother did not take in much of what was being said. At the hour mark, now with fewer uniformed officers present, I decided that the negotiation point had exceeded and that a direct decision was required so that the girls could be removed. It rested on me, therefore, to use my police powers and utilise a public protection power to remove the children from the family (College of Policing, 2021).</w:t>
      </w:r>
    </w:p>
    <w:p w14:paraId="64410E41" w14:textId="77777777" w:rsidR="00092BC2" w:rsidRPr="00092BC2" w:rsidRDefault="00092BC2" w:rsidP="00092BC2">
      <w:pPr>
        <w:spacing w:after="360" w:line="360" w:lineRule="auto"/>
        <w:jc w:val="both"/>
      </w:pPr>
    </w:p>
    <w:p w14:paraId="2ECCC308" w14:textId="77777777" w:rsidR="00092BC2" w:rsidRPr="00092BC2" w:rsidRDefault="00092BC2" w:rsidP="00092BC2">
      <w:pPr>
        <w:spacing w:after="360" w:line="360" w:lineRule="auto"/>
        <w:jc w:val="both"/>
        <w:rPr>
          <w:b/>
          <w:bCs/>
          <w:i/>
          <w:iCs/>
        </w:rPr>
      </w:pPr>
      <w:r w:rsidRPr="00092BC2">
        <w:rPr>
          <w:b/>
          <w:bCs/>
          <w:i/>
          <w:iCs/>
        </w:rPr>
        <w:t>Conclusion</w:t>
      </w:r>
    </w:p>
    <w:p w14:paraId="0062E792" w14:textId="77777777" w:rsidR="00092BC2" w:rsidRPr="00092BC2" w:rsidRDefault="00092BC2" w:rsidP="00092BC2">
      <w:pPr>
        <w:spacing w:after="360" w:line="360" w:lineRule="auto"/>
        <w:ind w:firstLine="720"/>
        <w:jc w:val="both"/>
      </w:pPr>
      <w:r w:rsidRPr="00092BC2">
        <w:t xml:space="preserve">In sum, this incident outlines the importance in an officer’s ability to adapt to an evolving situation and make effective decisions in response to environmental changes. While the execution of the plan was successful, the ways that our combined team of police and external partners approached same set of circumstances differed. Although social services made concerted efforts to allow the mother to make an informed decision over the (in)voluntary removal of her children, the time taken and attempts to do this created an increasingly unsafe dynamic. This became further prevalent when I had to make resource decisions regarding the use of other uniformed units, as our protective strength and presence had diminished by two-thirds.  </w:t>
      </w:r>
    </w:p>
    <w:p w14:paraId="6D5A8176" w14:textId="77777777" w:rsidR="00092BC2" w:rsidRPr="00092BC2" w:rsidRDefault="00092BC2" w:rsidP="00092BC2">
      <w:pPr>
        <w:spacing w:after="360" w:line="360" w:lineRule="auto"/>
        <w:ind w:firstLine="720"/>
        <w:jc w:val="both"/>
      </w:pPr>
      <w:r w:rsidRPr="00092BC2">
        <w:t xml:space="preserve">Consequently, it required effective leadership to bring the incident to a close. It was evident that to successfully execute the operation, I was required to bypass social services and using Public Protection Powers to effectively safeguard the girls at risk. By allowing for the victim and her sister to be taken into foster care, this provided an increased protective factor that was hopefully in supporting their physical safety and completely mitigate further instances of Domestic Related Honour Based Abuse. The decision to remove these children was an expedient one, there was little choice of another route. Previous safety plans failed to protect my victim and her mother was unable to properly safeguard her within the family either. This step, therefore, categorically prevent repeat victimisation towards my victims. </w:t>
      </w:r>
    </w:p>
    <w:p w14:paraId="44257944" w14:textId="77777777" w:rsidR="00092BC2" w:rsidRPr="00092BC2" w:rsidRDefault="00092BC2" w:rsidP="00092BC2">
      <w:pPr>
        <w:spacing w:after="360" w:line="360" w:lineRule="auto"/>
        <w:ind w:firstLine="720"/>
        <w:jc w:val="both"/>
      </w:pPr>
      <w:r w:rsidRPr="00092BC2">
        <w:t xml:space="preserve">Unfortunately, in relation to any previous or on-going domestic HBA incidents between the rest of the family were unable to be tackled that day. They would require future reports made by supportive victim’s themselves and an investigation into the Kurdish community. This would prove challenging due to the size of the community, embedded nature of the culture and it’s normalised and collective views towards HBA in this country (Hafez, 2008; Gill, 2009; </w:t>
      </w:r>
      <w:proofErr w:type="spellStart"/>
      <w:r w:rsidRPr="00092BC2">
        <w:t>Belçim</w:t>
      </w:r>
      <w:proofErr w:type="spellEnd"/>
      <w:r w:rsidRPr="00092BC2">
        <w:t xml:space="preserve"> 2022). Not to mention the potential for a highly negative socio-political response towards the police service in England and Wales. Given the unsuitability of such an investigation, the continued use of Neighbourhood Policing Teams and policing generally to be seen as a force for ‘good’, as a pillar to disclose to, remains a surety in tackling HBA. </w:t>
      </w:r>
      <w:r w:rsidRPr="00092BC2">
        <w:lastRenderedPageBreak/>
        <w:t xml:space="preserve">The more positively the police are viewed as safeguarding those from harm and investigating offences expeditiously, then the more likely it is for victims to come forward. </w:t>
      </w:r>
    </w:p>
    <w:p w14:paraId="6CA9EF0E" w14:textId="77777777" w:rsidR="00092BC2" w:rsidRPr="00092BC2" w:rsidRDefault="00092BC2" w:rsidP="00092BC2">
      <w:pPr>
        <w:spacing w:after="360" w:line="360" w:lineRule="auto"/>
        <w:ind w:firstLine="720"/>
        <w:jc w:val="right"/>
      </w:pPr>
      <w:r w:rsidRPr="00092BC2">
        <w:t>Words: 2200</w:t>
      </w:r>
    </w:p>
    <w:p w14:paraId="4E44E59E" w14:textId="77777777" w:rsidR="00092BC2" w:rsidRPr="00092BC2" w:rsidRDefault="00092BC2" w:rsidP="00092BC2">
      <w:pPr>
        <w:spacing w:after="360" w:line="360" w:lineRule="auto"/>
        <w:ind w:firstLine="720"/>
        <w:jc w:val="right"/>
      </w:pPr>
    </w:p>
    <w:p w14:paraId="4429D037" w14:textId="77777777" w:rsidR="00092BC2" w:rsidRPr="00092BC2" w:rsidRDefault="00092BC2" w:rsidP="00092BC2">
      <w:pPr>
        <w:rPr>
          <w:b/>
          <w:bCs/>
          <w:i/>
          <w:iCs/>
          <w:sz w:val="28"/>
          <w:szCs w:val="28"/>
        </w:rPr>
      </w:pPr>
      <w:r w:rsidRPr="00092BC2">
        <w:rPr>
          <w:b/>
          <w:bCs/>
          <w:i/>
          <w:iCs/>
          <w:sz w:val="28"/>
          <w:szCs w:val="28"/>
        </w:rPr>
        <w:t xml:space="preserve">Bibliography </w:t>
      </w:r>
    </w:p>
    <w:p w14:paraId="1325A473" w14:textId="77777777" w:rsidR="00092BC2" w:rsidRPr="00092BC2" w:rsidRDefault="00092BC2" w:rsidP="00092BC2">
      <w:pPr>
        <w:rPr>
          <w:b/>
          <w:bCs/>
          <w:u w:val="single"/>
        </w:rPr>
      </w:pPr>
      <w:r w:rsidRPr="00092BC2">
        <w:rPr>
          <w:b/>
          <w:bCs/>
          <w:u w:val="single"/>
        </w:rPr>
        <w:t>Journals</w:t>
      </w:r>
    </w:p>
    <w:p w14:paraId="26229AC8" w14:textId="77777777" w:rsidR="00092BC2" w:rsidRPr="00092BC2" w:rsidRDefault="00092BC2" w:rsidP="00092BC2">
      <w:pPr>
        <w:rPr>
          <w:b/>
          <w:bCs/>
          <w:u w:val="single"/>
        </w:rPr>
      </w:pPr>
    </w:p>
    <w:p w14:paraId="1898BDAE" w14:textId="77777777" w:rsidR="00092BC2" w:rsidRPr="00092BC2" w:rsidRDefault="00092BC2" w:rsidP="00092BC2">
      <w:pPr>
        <w:overflowPunct/>
        <w:autoSpaceDE/>
        <w:autoSpaceDN/>
        <w:adjustRightInd/>
        <w:spacing w:line="360" w:lineRule="atLeast"/>
        <w:textAlignment w:val="auto"/>
        <w:rPr>
          <w:rFonts w:ascii="Calibri" w:hAnsi="Calibri" w:cs="Calibri"/>
          <w:sz w:val="22"/>
          <w:szCs w:val="22"/>
        </w:rPr>
      </w:pPr>
      <w:proofErr w:type="spellStart"/>
      <w:r w:rsidRPr="00092BC2">
        <w:rPr>
          <w:rFonts w:ascii="Calibri" w:hAnsi="Calibri" w:cs="Calibri"/>
          <w:sz w:val="22"/>
          <w:szCs w:val="22"/>
        </w:rPr>
        <w:t>Abdulah</w:t>
      </w:r>
      <w:proofErr w:type="spellEnd"/>
      <w:r w:rsidRPr="00092BC2">
        <w:rPr>
          <w:rFonts w:ascii="Calibri" w:hAnsi="Calibri" w:cs="Calibri"/>
          <w:sz w:val="22"/>
          <w:szCs w:val="22"/>
        </w:rPr>
        <w:t xml:space="preserve">, D.M., </w:t>
      </w:r>
      <w:proofErr w:type="spellStart"/>
      <w:r w:rsidRPr="00092BC2">
        <w:rPr>
          <w:rFonts w:ascii="Calibri" w:hAnsi="Calibri" w:cs="Calibri"/>
          <w:sz w:val="22"/>
          <w:szCs w:val="22"/>
        </w:rPr>
        <w:t>Sedo</w:t>
      </w:r>
      <w:proofErr w:type="spellEnd"/>
      <w:r w:rsidRPr="00092BC2">
        <w:rPr>
          <w:rFonts w:ascii="Calibri" w:hAnsi="Calibri" w:cs="Calibri"/>
          <w:sz w:val="22"/>
          <w:szCs w:val="22"/>
        </w:rPr>
        <w:t>, B.A. and Dawson, A. (2019). Female Genital Mutilation in Rural Regions of Iraqi Kurdistan: A Cross-Sectional Study. </w:t>
      </w:r>
      <w:r w:rsidRPr="00092BC2">
        <w:rPr>
          <w:rFonts w:ascii="Calibri" w:hAnsi="Calibri" w:cs="Calibri"/>
          <w:i/>
          <w:iCs/>
          <w:sz w:val="22"/>
          <w:szCs w:val="22"/>
        </w:rPr>
        <w:t>Public Health Reports</w:t>
      </w:r>
      <w:r w:rsidRPr="00092BC2">
        <w:rPr>
          <w:rFonts w:ascii="Calibri" w:hAnsi="Calibri" w:cs="Calibri"/>
          <w:sz w:val="22"/>
          <w:szCs w:val="22"/>
        </w:rPr>
        <w:t>, 134(5), pp.514–521.</w:t>
      </w:r>
    </w:p>
    <w:p w14:paraId="36B17994" w14:textId="77777777" w:rsidR="00092BC2" w:rsidRPr="00092BC2" w:rsidRDefault="00092BC2" w:rsidP="00092BC2">
      <w:pPr>
        <w:overflowPunct/>
        <w:autoSpaceDE/>
        <w:autoSpaceDN/>
        <w:adjustRightInd/>
        <w:spacing w:line="360" w:lineRule="atLeast"/>
        <w:textAlignment w:val="auto"/>
        <w:rPr>
          <w:rFonts w:ascii="Calibri" w:hAnsi="Calibri" w:cs="Calibri"/>
          <w:sz w:val="22"/>
          <w:szCs w:val="22"/>
        </w:rPr>
      </w:pPr>
    </w:p>
    <w:p w14:paraId="5191F38A" w14:textId="77777777" w:rsidR="00092BC2" w:rsidRPr="00092BC2" w:rsidRDefault="00092BC2" w:rsidP="00092BC2">
      <w:pPr>
        <w:overflowPunct/>
        <w:autoSpaceDE/>
        <w:autoSpaceDN/>
        <w:adjustRightInd/>
        <w:spacing w:line="360" w:lineRule="atLeast"/>
        <w:textAlignment w:val="auto"/>
        <w:rPr>
          <w:rFonts w:ascii="Calibri" w:hAnsi="Calibri" w:cs="Calibri"/>
          <w:sz w:val="22"/>
          <w:szCs w:val="22"/>
        </w:rPr>
      </w:pPr>
      <w:r w:rsidRPr="00092BC2">
        <w:rPr>
          <w:rFonts w:ascii="Calibri" w:hAnsi="Calibri" w:cs="Calibri"/>
          <w:sz w:val="22"/>
          <w:szCs w:val="22"/>
        </w:rPr>
        <w:t>Andrews, T. (2022). Co-operation or unification: Is the future of police multi-agency working simply to become one agency? </w:t>
      </w:r>
      <w:r w:rsidRPr="00092BC2">
        <w:rPr>
          <w:rFonts w:ascii="Calibri" w:hAnsi="Calibri" w:cs="Calibri"/>
          <w:i/>
          <w:iCs/>
          <w:sz w:val="22"/>
          <w:szCs w:val="22"/>
        </w:rPr>
        <w:t>The Police Journal: Theory, Practice and Principles</w:t>
      </w:r>
      <w:r w:rsidRPr="00092BC2">
        <w:rPr>
          <w:rFonts w:ascii="Calibri" w:hAnsi="Calibri" w:cs="Calibri"/>
          <w:sz w:val="22"/>
          <w:szCs w:val="22"/>
        </w:rPr>
        <w:t>, pp.1-20‌</w:t>
      </w:r>
    </w:p>
    <w:p w14:paraId="6738C7A0" w14:textId="77777777" w:rsidR="00092BC2" w:rsidRPr="00092BC2" w:rsidRDefault="00092BC2" w:rsidP="00092BC2">
      <w:pPr>
        <w:overflowPunct/>
        <w:autoSpaceDE/>
        <w:autoSpaceDN/>
        <w:adjustRightInd/>
        <w:spacing w:line="360" w:lineRule="atLeast"/>
        <w:textAlignment w:val="auto"/>
        <w:rPr>
          <w:rFonts w:ascii="Calibri" w:hAnsi="Calibri" w:cs="Calibri"/>
          <w:sz w:val="22"/>
          <w:szCs w:val="22"/>
        </w:rPr>
      </w:pPr>
    </w:p>
    <w:p w14:paraId="084F44CE" w14:textId="77777777" w:rsidR="00092BC2" w:rsidRPr="00092BC2" w:rsidRDefault="00092BC2" w:rsidP="00092BC2">
      <w:pPr>
        <w:overflowPunct/>
        <w:autoSpaceDE/>
        <w:autoSpaceDN/>
        <w:adjustRightInd/>
        <w:spacing w:line="360" w:lineRule="atLeast"/>
        <w:textAlignment w:val="auto"/>
        <w:rPr>
          <w:rFonts w:ascii="Calibri" w:hAnsi="Calibri" w:cs="Calibri"/>
          <w:sz w:val="22"/>
          <w:szCs w:val="22"/>
        </w:rPr>
      </w:pPr>
    </w:p>
    <w:p w14:paraId="640F5A17" w14:textId="77777777" w:rsidR="00092BC2" w:rsidRPr="00092BC2" w:rsidRDefault="00092BC2" w:rsidP="00092BC2">
      <w:pPr>
        <w:overflowPunct/>
        <w:autoSpaceDE/>
        <w:autoSpaceDN/>
        <w:adjustRightInd/>
        <w:spacing w:line="360" w:lineRule="atLeast"/>
        <w:textAlignment w:val="auto"/>
        <w:rPr>
          <w:rFonts w:ascii="Calibri" w:hAnsi="Calibri" w:cs="Calibri"/>
          <w:sz w:val="22"/>
          <w:szCs w:val="22"/>
        </w:rPr>
      </w:pPr>
      <w:r w:rsidRPr="00092BC2">
        <w:rPr>
          <w:rFonts w:ascii="Calibri" w:hAnsi="Calibri" w:cs="Calibri"/>
          <w:sz w:val="22"/>
          <w:szCs w:val="22"/>
        </w:rPr>
        <w:t xml:space="preserve">‌Bates, L. (2020). </w:t>
      </w:r>
      <w:proofErr w:type="spellStart"/>
      <w:r w:rsidRPr="00092BC2">
        <w:rPr>
          <w:rFonts w:ascii="Calibri" w:hAnsi="Calibri" w:cs="Calibri"/>
          <w:sz w:val="22"/>
          <w:szCs w:val="22"/>
        </w:rPr>
        <w:t>Honor</w:t>
      </w:r>
      <w:proofErr w:type="spellEnd"/>
      <w:r w:rsidRPr="00092BC2">
        <w:rPr>
          <w:rFonts w:ascii="Calibri" w:hAnsi="Calibri" w:cs="Calibri"/>
          <w:sz w:val="22"/>
          <w:szCs w:val="22"/>
        </w:rPr>
        <w:t>-Based Abuse in England and Wales: Who Does What to Whom? </w:t>
      </w:r>
      <w:r w:rsidRPr="00092BC2">
        <w:rPr>
          <w:rFonts w:ascii="Calibri" w:hAnsi="Calibri" w:cs="Calibri"/>
          <w:i/>
          <w:iCs/>
          <w:sz w:val="22"/>
          <w:szCs w:val="22"/>
        </w:rPr>
        <w:t>Violence Against Women</w:t>
      </w:r>
      <w:r w:rsidRPr="00092BC2">
        <w:rPr>
          <w:rFonts w:ascii="Calibri" w:hAnsi="Calibri" w:cs="Calibri"/>
          <w:sz w:val="22"/>
          <w:szCs w:val="22"/>
        </w:rPr>
        <w:t>, 27(10), pp.1774-1795</w:t>
      </w:r>
    </w:p>
    <w:p w14:paraId="3C001A98" w14:textId="77777777" w:rsidR="00092BC2" w:rsidRPr="00092BC2" w:rsidRDefault="00092BC2" w:rsidP="00092BC2">
      <w:pPr>
        <w:overflowPunct/>
        <w:autoSpaceDE/>
        <w:autoSpaceDN/>
        <w:adjustRightInd/>
        <w:spacing w:line="360" w:lineRule="atLeast"/>
        <w:textAlignment w:val="auto"/>
        <w:rPr>
          <w:rFonts w:ascii="Calibri" w:hAnsi="Calibri" w:cs="Calibri"/>
          <w:sz w:val="22"/>
          <w:szCs w:val="22"/>
        </w:rPr>
      </w:pPr>
    </w:p>
    <w:p w14:paraId="6B0904D2" w14:textId="77777777" w:rsidR="00092BC2" w:rsidRPr="00092BC2" w:rsidRDefault="00092BC2" w:rsidP="00092BC2">
      <w:pPr>
        <w:overflowPunct/>
        <w:autoSpaceDE/>
        <w:autoSpaceDN/>
        <w:adjustRightInd/>
        <w:spacing w:line="360" w:lineRule="atLeast"/>
        <w:textAlignment w:val="auto"/>
        <w:rPr>
          <w:rFonts w:ascii="Calibri" w:hAnsi="Calibri" w:cs="Calibri"/>
          <w:sz w:val="22"/>
          <w:szCs w:val="22"/>
        </w:rPr>
      </w:pPr>
      <w:r w:rsidRPr="00092BC2">
        <w:rPr>
          <w:rFonts w:ascii="Calibri" w:hAnsi="Calibri" w:cs="Calibri"/>
          <w:sz w:val="22"/>
          <w:szCs w:val="22"/>
        </w:rPr>
        <w:t>‌‌</w:t>
      </w:r>
      <w:proofErr w:type="spellStart"/>
      <w:r w:rsidRPr="00092BC2">
        <w:rPr>
          <w:rFonts w:ascii="Calibri" w:hAnsi="Calibri" w:cs="Calibri"/>
          <w:sz w:val="22"/>
          <w:szCs w:val="22"/>
        </w:rPr>
        <w:t>Belçim</w:t>
      </w:r>
      <w:proofErr w:type="spellEnd"/>
      <w:r w:rsidRPr="00092BC2">
        <w:rPr>
          <w:rFonts w:ascii="Calibri" w:hAnsi="Calibri" w:cs="Calibri"/>
          <w:sz w:val="22"/>
          <w:szCs w:val="22"/>
        </w:rPr>
        <w:t xml:space="preserve"> </w:t>
      </w:r>
      <w:proofErr w:type="spellStart"/>
      <w:r w:rsidRPr="00092BC2">
        <w:rPr>
          <w:rFonts w:ascii="Calibri" w:hAnsi="Calibri" w:cs="Calibri"/>
          <w:sz w:val="22"/>
          <w:szCs w:val="22"/>
        </w:rPr>
        <w:t>Galip</w:t>
      </w:r>
      <w:proofErr w:type="spellEnd"/>
      <w:r w:rsidRPr="00092BC2">
        <w:rPr>
          <w:rFonts w:ascii="Calibri" w:hAnsi="Calibri" w:cs="Calibri"/>
          <w:sz w:val="22"/>
          <w:szCs w:val="22"/>
        </w:rPr>
        <w:t>, Ö. (2022). Recognition of power: The agency of Kurdish women in their everyday practices. </w:t>
      </w:r>
      <w:r w:rsidRPr="00092BC2">
        <w:rPr>
          <w:rFonts w:ascii="Calibri" w:hAnsi="Calibri" w:cs="Calibri"/>
          <w:i/>
          <w:iCs/>
          <w:sz w:val="22"/>
          <w:szCs w:val="22"/>
        </w:rPr>
        <w:t>European Journal of Women’s Studies</w:t>
      </w:r>
      <w:r w:rsidRPr="00092BC2">
        <w:rPr>
          <w:rFonts w:ascii="Calibri" w:hAnsi="Calibri" w:cs="Calibri"/>
          <w:sz w:val="22"/>
          <w:szCs w:val="22"/>
        </w:rPr>
        <w:t>, pp.402-417</w:t>
      </w:r>
    </w:p>
    <w:p w14:paraId="540AD0B1" w14:textId="77777777" w:rsidR="00092BC2" w:rsidRPr="00092BC2" w:rsidRDefault="00092BC2" w:rsidP="00092BC2">
      <w:pPr>
        <w:overflowPunct/>
        <w:autoSpaceDE/>
        <w:autoSpaceDN/>
        <w:adjustRightInd/>
        <w:spacing w:line="360" w:lineRule="atLeast"/>
        <w:textAlignment w:val="auto"/>
        <w:rPr>
          <w:rFonts w:ascii="Calibri" w:hAnsi="Calibri" w:cs="Calibri"/>
          <w:sz w:val="22"/>
          <w:szCs w:val="22"/>
        </w:rPr>
      </w:pPr>
    </w:p>
    <w:p w14:paraId="3DF4FF6D" w14:textId="77777777" w:rsidR="00092BC2" w:rsidRPr="00092BC2" w:rsidRDefault="00092BC2" w:rsidP="00092BC2">
      <w:pPr>
        <w:overflowPunct/>
        <w:autoSpaceDE/>
        <w:autoSpaceDN/>
        <w:adjustRightInd/>
        <w:spacing w:line="360" w:lineRule="atLeast"/>
        <w:textAlignment w:val="auto"/>
        <w:rPr>
          <w:rFonts w:ascii="Calibri" w:hAnsi="Calibri" w:cs="Calibri"/>
          <w:sz w:val="22"/>
          <w:szCs w:val="22"/>
        </w:rPr>
      </w:pPr>
      <w:proofErr w:type="spellStart"/>
      <w:r w:rsidRPr="00092BC2">
        <w:rPr>
          <w:rFonts w:ascii="Calibri" w:hAnsi="Calibri" w:cs="Calibri"/>
          <w:sz w:val="22"/>
          <w:szCs w:val="22"/>
        </w:rPr>
        <w:t>Bertilsson</w:t>
      </w:r>
      <w:proofErr w:type="spellEnd"/>
      <w:r w:rsidRPr="00092BC2">
        <w:rPr>
          <w:rFonts w:ascii="Calibri" w:hAnsi="Calibri" w:cs="Calibri"/>
          <w:sz w:val="22"/>
          <w:szCs w:val="22"/>
        </w:rPr>
        <w:t xml:space="preserve">, J., </w:t>
      </w:r>
      <w:proofErr w:type="spellStart"/>
      <w:r w:rsidRPr="00092BC2">
        <w:rPr>
          <w:rFonts w:ascii="Calibri" w:hAnsi="Calibri" w:cs="Calibri"/>
          <w:sz w:val="22"/>
          <w:szCs w:val="22"/>
        </w:rPr>
        <w:t>Petersson</w:t>
      </w:r>
      <w:proofErr w:type="spellEnd"/>
      <w:r w:rsidRPr="00092BC2">
        <w:rPr>
          <w:rFonts w:ascii="Calibri" w:hAnsi="Calibri" w:cs="Calibri"/>
          <w:sz w:val="22"/>
          <w:szCs w:val="22"/>
        </w:rPr>
        <w:t xml:space="preserve">, U., Fredriksson, P.J., Magnusson, M. and </w:t>
      </w:r>
      <w:proofErr w:type="spellStart"/>
      <w:r w:rsidRPr="00092BC2">
        <w:rPr>
          <w:rFonts w:ascii="Calibri" w:hAnsi="Calibri" w:cs="Calibri"/>
          <w:sz w:val="22"/>
          <w:szCs w:val="22"/>
        </w:rPr>
        <w:t>Fransson</w:t>
      </w:r>
      <w:proofErr w:type="spellEnd"/>
      <w:r w:rsidRPr="00092BC2">
        <w:rPr>
          <w:rFonts w:ascii="Calibri" w:hAnsi="Calibri" w:cs="Calibri"/>
          <w:sz w:val="22"/>
          <w:szCs w:val="22"/>
        </w:rPr>
        <w:t>, P.A. (2017). Use of pepper spray in policing: retrospective study of situational characteristics and implications for violent situations. </w:t>
      </w:r>
      <w:r w:rsidRPr="00092BC2">
        <w:rPr>
          <w:rFonts w:ascii="Calibri" w:hAnsi="Calibri" w:cs="Calibri"/>
          <w:i/>
          <w:iCs/>
          <w:sz w:val="22"/>
          <w:szCs w:val="22"/>
        </w:rPr>
        <w:t>Police Practice and Research</w:t>
      </w:r>
      <w:r w:rsidRPr="00092BC2">
        <w:rPr>
          <w:rFonts w:ascii="Calibri" w:hAnsi="Calibri" w:cs="Calibri"/>
          <w:sz w:val="22"/>
          <w:szCs w:val="22"/>
        </w:rPr>
        <w:t xml:space="preserve">, 18(4), pp.391–406. </w:t>
      </w:r>
    </w:p>
    <w:p w14:paraId="7AF7CC5D" w14:textId="77777777" w:rsidR="00092BC2" w:rsidRPr="00092BC2" w:rsidRDefault="00092BC2" w:rsidP="00092BC2">
      <w:pPr>
        <w:overflowPunct/>
        <w:autoSpaceDE/>
        <w:autoSpaceDN/>
        <w:adjustRightInd/>
        <w:spacing w:line="360" w:lineRule="atLeast"/>
        <w:textAlignment w:val="auto"/>
        <w:rPr>
          <w:rFonts w:ascii="Calibri" w:hAnsi="Calibri" w:cs="Calibri"/>
          <w:sz w:val="22"/>
          <w:szCs w:val="22"/>
        </w:rPr>
      </w:pPr>
    </w:p>
    <w:p w14:paraId="0F680ED7" w14:textId="77777777" w:rsidR="00092BC2" w:rsidRPr="00092BC2" w:rsidRDefault="00092BC2" w:rsidP="00092BC2">
      <w:pPr>
        <w:overflowPunct/>
        <w:autoSpaceDE/>
        <w:autoSpaceDN/>
        <w:adjustRightInd/>
        <w:spacing w:line="360" w:lineRule="atLeast"/>
        <w:textAlignment w:val="auto"/>
        <w:rPr>
          <w:rFonts w:ascii="Calibri" w:hAnsi="Calibri" w:cs="Calibri"/>
          <w:sz w:val="22"/>
          <w:szCs w:val="22"/>
        </w:rPr>
      </w:pPr>
      <w:r w:rsidRPr="00092BC2">
        <w:rPr>
          <w:rFonts w:ascii="Calibri" w:hAnsi="Calibri" w:cs="Calibri"/>
          <w:sz w:val="22"/>
          <w:szCs w:val="22"/>
        </w:rPr>
        <w:t>Buttle, J.W. (2003). ‘What’s Good for Them, is Good for Us’: Outside Influences on the Adoption of Incapacitant Sprays by the British Police. </w:t>
      </w:r>
      <w:r w:rsidRPr="00092BC2">
        <w:rPr>
          <w:rFonts w:ascii="Calibri" w:hAnsi="Calibri" w:cs="Calibri"/>
          <w:i/>
          <w:iCs/>
          <w:sz w:val="22"/>
          <w:szCs w:val="22"/>
        </w:rPr>
        <w:t>International Journal of Police Science &amp; Management</w:t>
      </w:r>
      <w:r w:rsidRPr="00092BC2">
        <w:rPr>
          <w:rFonts w:ascii="Calibri" w:hAnsi="Calibri" w:cs="Calibri"/>
          <w:sz w:val="22"/>
          <w:szCs w:val="22"/>
        </w:rPr>
        <w:t xml:space="preserve">, 5(2), pp.98–111. </w:t>
      </w:r>
    </w:p>
    <w:p w14:paraId="260DF5BF" w14:textId="77777777" w:rsidR="00092BC2" w:rsidRPr="00092BC2" w:rsidRDefault="00092BC2" w:rsidP="00092BC2">
      <w:pPr>
        <w:overflowPunct/>
        <w:autoSpaceDE/>
        <w:autoSpaceDN/>
        <w:adjustRightInd/>
        <w:spacing w:before="100" w:beforeAutospacing="1" w:after="100" w:afterAutospacing="1"/>
        <w:textAlignment w:val="auto"/>
        <w:rPr>
          <w:rFonts w:ascii="Calibri" w:hAnsi="Calibri" w:cs="Calibri"/>
          <w:sz w:val="22"/>
          <w:szCs w:val="22"/>
        </w:rPr>
      </w:pPr>
      <w:r w:rsidRPr="00092BC2">
        <w:rPr>
          <w:rFonts w:ascii="Calibri" w:hAnsi="Calibri" w:cs="Calibri"/>
          <w:sz w:val="22"/>
          <w:szCs w:val="22"/>
        </w:rPr>
        <w:t>‌</w:t>
      </w:r>
    </w:p>
    <w:p w14:paraId="0099573D" w14:textId="77777777" w:rsidR="00092BC2" w:rsidRPr="00092BC2" w:rsidRDefault="00092BC2" w:rsidP="00092BC2">
      <w:pPr>
        <w:overflowPunct/>
        <w:autoSpaceDE/>
        <w:autoSpaceDN/>
        <w:adjustRightInd/>
        <w:spacing w:line="360" w:lineRule="atLeast"/>
        <w:textAlignment w:val="auto"/>
        <w:rPr>
          <w:rFonts w:ascii="Calibri" w:hAnsi="Calibri" w:cs="Calibri"/>
          <w:sz w:val="22"/>
          <w:szCs w:val="22"/>
        </w:rPr>
      </w:pPr>
    </w:p>
    <w:p w14:paraId="15B47124" w14:textId="77777777" w:rsidR="00092BC2" w:rsidRPr="00092BC2" w:rsidRDefault="00092BC2" w:rsidP="00092BC2">
      <w:pPr>
        <w:overflowPunct/>
        <w:autoSpaceDE/>
        <w:autoSpaceDN/>
        <w:adjustRightInd/>
        <w:spacing w:before="100" w:beforeAutospacing="1" w:after="100" w:afterAutospacing="1"/>
        <w:textAlignment w:val="auto"/>
        <w:rPr>
          <w:rFonts w:ascii="Calibri" w:hAnsi="Calibri" w:cs="Calibri"/>
          <w:sz w:val="22"/>
          <w:szCs w:val="22"/>
        </w:rPr>
      </w:pPr>
      <w:r w:rsidRPr="00092BC2">
        <w:rPr>
          <w:rFonts w:ascii="Calibri" w:hAnsi="Calibri" w:cs="Calibri"/>
          <w:sz w:val="22"/>
          <w:szCs w:val="22"/>
        </w:rPr>
        <w:t>‌</w:t>
      </w:r>
    </w:p>
    <w:p w14:paraId="46652B79" w14:textId="77777777" w:rsidR="00092BC2" w:rsidRPr="00092BC2" w:rsidRDefault="00092BC2" w:rsidP="00092BC2">
      <w:pPr>
        <w:overflowPunct/>
        <w:autoSpaceDE/>
        <w:autoSpaceDN/>
        <w:adjustRightInd/>
        <w:spacing w:line="360" w:lineRule="atLeast"/>
        <w:textAlignment w:val="auto"/>
        <w:rPr>
          <w:rFonts w:ascii="Calibri" w:hAnsi="Calibri" w:cs="Calibri"/>
          <w:sz w:val="22"/>
          <w:szCs w:val="22"/>
        </w:rPr>
      </w:pPr>
    </w:p>
    <w:p w14:paraId="3241AB8B" w14:textId="77777777" w:rsidR="00092BC2" w:rsidRPr="00092BC2" w:rsidRDefault="00092BC2" w:rsidP="00092BC2">
      <w:pPr>
        <w:overflowPunct/>
        <w:autoSpaceDE/>
        <w:autoSpaceDN/>
        <w:adjustRightInd/>
        <w:spacing w:line="360" w:lineRule="atLeast"/>
        <w:textAlignment w:val="auto"/>
        <w:rPr>
          <w:rFonts w:ascii="Calibri" w:hAnsi="Calibri" w:cs="Calibri"/>
          <w:sz w:val="22"/>
          <w:szCs w:val="22"/>
        </w:rPr>
      </w:pPr>
    </w:p>
    <w:p w14:paraId="1C5EC8EB" w14:textId="77777777" w:rsidR="00092BC2" w:rsidRPr="00092BC2" w:rsidRDefault="00092BC2" w:rsidP="00092BC2">
      <w:pPr>
        <w:overflowPunct/>
        <w:autoSpaceDE/>
        <w:autoSpaceDN/>
        <w:adjustRightInd/>
        <w:spacing w:line="360" w:lineRule="atLeast"/>
        <w:textAlignment w:val="auto"/>
        <w:rPr>
          <w:rFonts w:ascii="Calibri" w:hAnsi="Calibri" w:cs="Calibri"/>
          <w:sz w:val="22"/>
          <w:szCs w:val="22"/>
        </w:rPr>
      </w:pPr>
      <w:proofErr w:type="spellStart"/>
      <w:r w:rsidRPr="00092BC2">
        <w:rPr>
          <w:rFonts w:ascii="Calibri" w:hAnsi="Calibri" w:cs="Calibri"/>
          <w:sz w:val="22"/>
          <w:szCs w:val="22"/>
        </w:rPr>
        <w:t>Chantler</w:t>
      </w:r>
      <w:proofErr w:type="spellEnd"/>
      <w:r w:rsidRPr="00092BC2">
        <w:rPr>
          <w:rFonts w:ascii="Calibri" w:hAnsi="Calibri" w:cs="Calibri"/>
          <w:sz w:val="22"/>
          <w:szCs w:val="22"/>
        </w:rPr>
        <w:t xml:space="preserve">, K., Bracewell, K., Baker, V., </w:t>
      </w:r>
      <w:proofErr w:type="spellStart"/>
      <w:r w:rsidRPr="00092BC2">
        <w:rPr>
          <w:rFonts w:ascii="Calibri" w:hAnsi="Calibri" w:cs="Calibri"/>
          <w:sz w:val="22"/>
          <w:szCs w:val="22"/>
        </w:rPr>
        <w:t>Heyes</w:t>
      </w:r>
      <w:proofErr w:type="spellEnd"/>
      <w:r w:rsidRPr="00092BC2">
        <w:rPr>
          <w:rFonts w:ascii="Calibri" w:hAnsi="Calibri" w:cs="Calibri"/>
          <w:sz w:val="22"/>
          <w:szCs w:val="22"/>
        </w:rPr>
        <w:t xml:space="preserve">, K., Traynor, P. and Ward, M. (2022). An analysis of </w:t>
      </w:r>
      <w:proofErr w:type="spellStart"/>
      <w:r w:rsidRPr="00092BC2">
        <w:rPr>
          <w:rFonts w:ascii="Calibri" w:hAnsi="Calibri" w:cs="Calibri"/>
          <w:sz w:val="22"/>
          <w:szCs w:val="22"/>
        </w:rPr>
        <w:t>minoritisation</w:t>
      </w:r>
      <w:proofErr w:type="spellEnd"/>
      <w:r w:rsidRPr="00092BC2">
        <w:rPr>
          <w:rFonts w:ascii="Calibri" w:hAnsi="Calibri" w:cs="Calibri"/>
          <w:sz w:val="22"/>
          <w:szCs w:val="22"/>
        </w:rPr>
        <w:t xml:space="preserve"> in domestic homicide reviews in England and Wales. </w:t>
      </w:r>
      <w:r w:rsidRPr="00092BC2">
        <w:rPr>
          <w:rFonts w:ascii="Calibri" w:hAnsi="Calibri" w:cs="Calibri"/>
          <w:i/>
          <w:iCs/>
          <w:sz w:val="22"/>
          <w:szCs w:val="22"/>
        </w:rPr>
        <w:t>Critical Social Policy</w:t>
      </w:r>
      <w:r w:rsidRPr="00092BC2">
        <w:rPr>
          <w:rFonts w:ascii="Calibri" w:hAnsi="Calibri" w:cs="Calibri"/>
          <w:sz w:val="22"/>
          <w:szCs w:val="22"/>
        </w:rPr>
        <w:t>, pp.1-24</w:t>
      </w:r>
    </w:p>
    <w:p w14:paraId="7B4E958A" w14:textId="77777777" w:rsidR="00092BC2" w:rsidRPr="00092BC2" w:rsidRDefault="00092BC2" w:rsidP="00092BC2">
      <w:pPr>
        <w:overflowPunct/>
        <w:autoSpaceDE/>
        <w:autoSpaceDN/>
        <w:adjustRightInd/>
        <w:spacing w:line="360" w:lineRule="atLeast"/>
        <w:textAlignment w:val="auto"/>
        <w:rPr>
          <w:rFonts w:ascii="Calibri" w:hAnsi="Calibri" w:cs="Calibri"/>
          <w:sz w:val="22"/>
          <w:szCs w:val="22"/>
        </w:rPr>
      </w:pPr>
    </w:p>
    <w:p w14:paraId="10CBDBDA" w14:textId="77777777" w:rsidR="00092BC2" w:rsidRPr="00092BC2" w:rsidRDefault="00092BC2" w:rsidP="00092BC2">
      <w:pPr>
        <w:overflowPunct/>
        <w:autoSpaceDE/>
        <w:autoSpaceDN/>
        <w:adjustRightInd/>
        <w:spacing w:line="360" w:lineRule="atLeast"/>
        <w:textAlignment w:val="auto"/>
        <w:rPr>
          <w:rFonts w:ascii="Calibri" w:hAnsi="Calibri" w:cs="Calibri"/>
          <w:sz w:val="22"/>
          <w:szCs w:val="22"/>
        </w:rPr>
      </w:pPr>
    </w:p>
    <w:p w14:paraId="77BDF277" w14:textId="77777777" w:rsidR="00092BC2" w:rsidRPr="00092BC2" w:rsidRDefault="00092BC2" w:rsidP="00092BC2">
      <w:pPr>
        <w:overflowPunct/>
        <w:autoSpaceDE/>
        <w:autoSpaceDN/>
        <w:adjustRightInd/>
        <w:spacing w:line="360" w:lineRule="atLeast"/>
        <w:textAlignment w:val="auto"/>
        <w:rPr>
          <w:rFonts w:ascii="Calibri" w:hAnsi="Calibri" w:cs="Calibri"/>
          <w:sz w:val="22"/>
          <w:szCs w:val="22"/>
        </w:rPr>
      </w:pPr>
      <w:r w:rsidRPr="00092BC2">
        <w:rPr>
          <w:rFonts w:ascii="Calibri" w:hAnsi="Calibri" w:cs="Calibri"/>
          <w:sz w:val="22"/>
          <w:szCs w:val="22"/>
        </w:rPr>
        <w:lastRenderedPageBreak/>
        <w:t>‌Ford, K., Newbury, A., Meredith, Z., Evans, J., Hughes, K., Roderick, J., Davies, A.R. and Bellis, M.A. (2019). Understanding the outcome of police safeguarding notifications to social services in South Wales. </w:t>
      </w:r>
      <w:r w:rsidRPr="00092BC2">
        <w:rPr>
          <w:rFonts w:ascii="Calibri" w:hAnsi="Calibri" w:cs="Calibri"/>
          <w:i/>
          <w:iCs/>
          <w:sz w:val="22"/>
          <w:szCs w:val="22"/>
        </w:rPr>
        <w:t>The Police Journal: Theory, Practice and Principles</w:t>
      </w:r>
      <w:r w:rsidRPr="00092BC2">
        <w:rPr>
          <w:rFonts w:ascii="Calibri" w:hAnsi="Calibri" w:cs="Calibri"/>
          <w:sz w:val="22"/>
          <w:szCs w:val="22"/>
        </w:rPr>
        <w:t>, [online] 93(2), pp.87-108</w:t>
      </w:r>
    </w:p>
    <w:p w14:paraId="4D0BA8E1" w14:textId="77777777" w:rsidR="00092BC2" w:rsidRPr="00092BC2" w:rsidRDefault="00092BC2" w:rsidP="00092BC2">
      <w:pPr>
        <w:overflowPunct/>
        <w:autoSpaceDE/>
        <w:autoSpaceDN/>
        <w:adjustRightInd/>
        <w:spacing w:line="360" w:lineRule="atLeast"/>
        <w:textAlignment w:val="auto"/>
        <w:rPr>
          <w:rFonts w:ascii="Calibri" w:hAnsi="Calibri" w:cs="Calibri"/>
          <w:sz w:val="22"/>
          <w:szCs w:val="22"/>
        </w:rPr>
      </w:pPr>
    </w:p>
    <w:p w14:paraId="535A9E12" w14:textId="77777777" w:rsidR="00092BC2" w:rsidRPr="00092BC2" w:rsidRDefault="00092BC2" w:rsidP="00092BC2">
      <w:pPr>
        <w:overflowPunct/>
        <w:autoSpaceDE/>
        <w:autoSpaceDN/>
        <w:adjustRightInd/>
        <w:spacing w:line="360" w:lineRule="atLeast"/>
        <w:textAlignment w:val="auto"/>
        <w:rPr>
          <w:rFonts w:ascii="Calibri" w:hAnsi="Calibri" w:cs="Calibri"/>
          <w:sz w:val="22"/>
          <w:szCs w:val="22"/>
        </w:rPr>
      </w:pPr>
      <w:r w:rsidRPr="00092BC2">
        <w:rPr>
          <w:rFonts w:ascii="Calibri" w:hAnsi="Calibri" w:cs="Calibri"/>
          <w:sz w:val="22"/>
          <w:szCs w:val="22"/>
        </w:rPr>
        <w:t xml:space="preserve">Gill, A. (2009). </w:t>
      </w:r>
      <w:proofErr w:type="spellStart"/>
      <w:r w:rsidRPr="00092BC2">
        <w:rPr>
          <w:rFonts w:ascii="Calibri" w:hAnsi="Calibri" w:cs="Calibri"/>
          <w:sz w:val="22"/>
          <w:szCs w:val="22"/>
        </w:rPr>
        <w:t>Honor</w:t>
      </w:r>
      <w:proofErr w:type="spellEnd"/>
      <w:r w:rsidRPr="00092BC2">
        <w:rPr>
          <w:rFonts w:ascii="Calibri" w:hAnsi="Calibri" w:cs="Calibri"/>
          <w:sz w:val="22"/>
          <w:szCs w:val="22"/>
        </w:rPr>
        <w:t xml:space="preserve"> Killings and the Quest for Justice in Black and Minority Ethnic Communities in the United Kingdom. </w:t>
      </w:r>
      <w:r w:rsidRPr="00092BC2">
        <w:rPr>
          <w:rFonts w:ascii="Calibri" w:hAnsi="Calibri" w:cs="Calibri"/>
          <w:i/>
          <w:iCs/>
          <w:sz w:val="22"/>
          <w:szCs w:val="22"/>
        </w:rPr>
        <w:t>Criminal Justice Policy Review</w:t>
      </w:r>
      <w:r w:rsidRPr="00092BC2">
        <w:rPr>
          <w:rFonts w:ascii="Calibri" w:hAnsi="Calibri" w:cs="Calibri"/>
          <w:sz w:val="22"/>
          <w:szCs w:val="22"/>
        </w:rPr>
        <w:t xml:space="preserve">, 20(4), pp.475–494. </w:t>
      </w:r>
    </w:p>
    <w:p w14:paraId="566F0CAD" w14:textId="77777777" w:rsidR="00092BC2" w:rsidRPr="00092BC2" w:rsidRDefault="00092BC2" w:rsidP="00092BC2">
      <w:pPr>
        <w:overflowPunct/>
        <w:autoSpaceDE/>
        <w:autoSpaceDN/>
        <w:adjustRightInd/>
        <w:spacing w:line="360" w:lineRule="atLeast"/>
        <w:textAlignment w:val="auto"/>
        <w:rPr>
          <w:rFonts w:ascii="Calibri" w:hAnsi="Calibri" w:cs="Calibri"/>
          <w:sz w:val="22"/>
          <w:szCs w:val="22"/>
        </w:rPr>
      </w:pPr>
    </w:p>
    <w:p w14:paraId="7D463783" w14:textId="77777777" w:rsidR="00092BC2" w:rsidRPr="00092BC2" w:rsidRDefault="00092BC2" w:rsidP="00092BC2">
      <w:pPr>
        <w:overflowPunct/>
        <w:autoSpaceDE/>
        <w:autoSpaceDN/>
        <w:adjustRightInd/>
        <w:spacing w:line="360" w:lineRule="atLeast"/>
        <w:textAlignment w:val="auto"/>
        <w:rPr>
          <w:rFonts w:ascii="Calibri" w:hAnsi="Calibri" w:cs="Calibri"/>
          <w:sz w:val="22"/>
          <w:szCs w:val="22"/>
        </w:rPr>
      </w:pPr>
      <w:proofErr w:type="spellStart"/>
      <w:r w:rsidRPr="00092BC2">
        <w:rPr>
          <w:rFonts w:ascii="Calibri" w:hAnsi="Calibri" w:cs="Calibri"/>
          <w:sz w:val="22"/>
          <w:szCs w:val="22"/>
        </w:rPr>
        <w:t>Shorrock</w:t>
      </w:r>
      <w:proofErr w:type="spellEnd"/>
      <w:r w:rsidRPr="00092BC2">
        <w:rPr>
          <w:rFonts w:ascii="Calibri" w:hAnsi="Calibri" w:cs="Calibri"/>
          <w:sz w:val="22"/>
          <w:szCs w:val="22"/>
        </w:rPr>
        <w:t>, S., McManus, M.A. and Kirby, S. (2020). Profile of repeat victimisation within multi-agency referrals. </w:t>
      </w:r>
      <w:r w:rsidRPr="00092BC2">
        <w:rPr>
          <w:rFonts w:ascii="Calibri" w:hAnsi="Calibri" w:cs="Calibri"/>
          <w:i/>
          <w:iCs/>
          <w:sz w:val="22"/>
          <w:szCs w:val="22"/>
        </w:rPr>
        <w:t>International Review of Victimology</w:t>
      </w:r>
      <w:r w:rsidRPr="00092BC2">
        <w:rPr>
          <w:rFonts w:ascii="Calibri" w:hAnsi="Calibri" w:cs="Calibri"/>
          <w:sz w:val="22"/>
          <w:szCs w:val="22"/>
        </w:rPr>
        <w:t>, 26(3), pp.332-343</w:t>
      </w:r>
    </w:p>
    <w:p w14:paraId="09CCA7A9" w14:textId="77777777" w:rsidR="00092BC2" w:rsidRPr="00092BC2" w:rsidRDefault="00092BC2" w:rsidP="00092BC2">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092BC2">
        <w:rPr>
          <w:rFonts w:ascii="Calibri" w:hAnsi="Calibri" w:cs="Calibri"/>
          <w:sz w:val="22"/>
          <w:szCs w:val="22"/>
        </w:rPr>
        <w:t>‌</w:t>
      </w:r>
    </w:p>
    <w:p w14:paraId="0B48B6AB" w14:textId="77777777" w:rsidR="00092BC2" w:rsidRPr="00092BC2" w:rsidRDefault="00092BC2" w:rsidP="00092BC2">
      <w:pPr>
        <w:rPr>
          <w:b/>
          <w:bCs/>
          <w:u w:val="single"/>
        </w:rPr>
      </w:pPr>
      <w:r w:rsidRPr="00092BC2">
        <w:rPr>
          <w:b/>
          <w:bCs/>
          <w:u w:val="single"/>
        </w:rPr>
        <w:t xml:space="preserve">Books </w:t>
      </w:r>
    </w:p>
    <w:p w14:paraId="7F948167" w14:textId="77777777" w:rsidR="00092BC2" w:rsidRPr="00092BC2" w:rsidRDefault="00092BC2" w:rsidP="00092BC2">
      <w:pPr>
        <w:overflowPunct/>
        <w:autoSpaceDE/>
        <w:autoSpaceDN/>
        <w:adjustRightInd/>
        <w:spacing w:line="360" w:lineRule="atLeast"/>
        <w:textAlignment w:val="auto"/>
        <w:rPr>
          <w:rFonts w:ascii="Calibri" w:hAnsi="Calibri" w:cs="Calibri"/>
          <w:sz w:val="22"/>
          <w:szCs w:val="22"/>
        </w:rPr>
      </w:pPr>
      <w:r w:rsidRPr="00092BC2">
        <w:rPr>
          <w:rFonts w:ascii="Calibri" w:hAnsi="Calibri" w:cs="Calibri"/>
          <w:sz w:val="22"/>
          <w:szCs w:val="22"/>
        </w:rPr>
        <w:t>Brandon, J. and Hafez, S. (2008). </w:t>
      </w:r>
      <w:r w:rsidRPr="00092BC2">
        <w:rPr>
          <w:rFonts w:ascii="Calibri" w:hAnsi="Calibri" w:cs="Calibri"/>
          <w:i/>
          <w:iCs/>
          <w:sz w:val="22"/>
          <w:szCs w:val="22"/>
        </w:rPr>
        <w:t>Crimes of the Community</w:t>
      </w:r>
      <w:r w:rsidRPr="00092BC2">
        <w:rPr>
          <w:rFonts w:ascii="Calibri" w:hAnsi="Calibri" w:cs="Calibri"/>
          <w:sz w:val="22"/>
          <w:szCs w:val="22"/>
        </w:rPr>
        <w:t>.</w:t>
      </w:r>
    </w:p>
    <w:p w14:paraId="7F3550F6" w14:textId="77777777" w:rsidR="00092BC2" w:rsidRPr="00092BC2" w:rsidRDefault="00092BC2" w:rsidP="00092BC2">
      <w:pPr>
        <w:overflowPunct/>
        <w:autoSpaceDE/>
        <w:autoSpaceDN/>
        <w:adjustRightInd/>
        <w:spacing w:before="100" w:beforeAutospacing="1" w:after="100" w:afterAutospacing="1"/>
        <w:textAlignment w:val="auto"/>
        <w:rPr>
          <w:rFonts w:ascii="Calibri" w:hAnsi="Calibri" w:cs="Calibri"/>
          <w:sz w:val="27"/>
          <w:szCs w:val="27"/>
        </w:rPr>
      </w:pPr>
    </w:p>
    <w:p w14:paraId="3B6FFA02" w14:textId="77777777" w:rsidR="00092BC2" w:rsidRPr="00092BC2" w:rsidRDefault="00092BC2" w:rsidP="00092BC2">
      <w:pPr>
        <w:rPr>
          <w:b/>
          <w:bCs/>
          <w:u w:val="single"/>
        </w:rPr>
      </w:pPr>
      <w:r w:rsidRPr="00092BC2">
        <w:rPr>
          <w:b/>
          <w:bCs/>
          <w:u w:val="single"/>
        </w:rPr>
        <w:t>Websites</w:t>
      </w:r>
    </w:p>
    <w:p w14:paraId="51D6F651" w14:textId="77777777" w:rsidR="00092BC2" w:rsidRPr="00092BC2" w:rsidRDefault="00092BC2" w:rsidP="00092BC2">
      <w:pPr>
        <w:rPr>
          <w:b/>
          <w:bCs/>
          <w:u w:val="single"/>
        </w:rPr>
      </w:pPr>
    </w:p>
    <w:p w14:paraId="3EB4683A" w14:textId="77777777" w:rsidR="00092BC2" w:rsidRPr="00092BC2" w:rsidRDefault="00092BC2" w:rsidP="00092BC2">
      <w:pPr>
        <w:rPr>
          <w:rFonts w:asciiTheme="minorHAnsi" w:hAnsiTheme="minorHAnsi" w:cstheme="minorHAnsi"/>
          <w:sz w:val="22"/>
          <w:szCs w:val="22"/>
        </w:rPr>
      </w:pPr>
      <w:r w:rsidRPr="00092BC2">
        <w:rPr>
          <w:rFonts w:cstheme="minorHAnsi"/>
        </w:rPr>
        <w:t xml:space="preserve"> MET Police, </w:t>
      </w:r>
      <w:r w:rsidRPr="00092BC2">
        <w:rPr>
          <w:rFonts w:asciiTheme="minorHAnsi" w:hAnsiTheme="minorHAnsi" w:cstheme="minorHAnsi"/>
          <w:sz w:val="22"/>
          <w:szCs w:val="22"/>
        </w:rPr>
        <w:t xml:space="preserve">Working with Interpreters &amp; Translators – Standard Operating Procedure (2007) </w:t>
      </w:r>
      <w:hyperlink r:id="rId15" w:history="1">
        <w:r w:rsidRPr="00092BC2">
          <w:rPr>
            <w:rFonts w:asciiTheme="minorHAnsi" w:hAnsiTheme="minorHAnsi" w:cstheme="minorHAnsi"/>
            <w:color w:val="0563C1" w:themeColor="hyperlink"/>
            <w:sz w:val="22"/>
            <w:szCs w:val="22"/>
            <w:u w:val="single"/>
          </w:rPr>
          <w:t>https://www.met.police.uk/SysSiteAssets/foi-media/metropolitan-police/policies/working-with-interpreters-and-translators---standard-operating-procedures</w:t>
        </w:r>
      </w:hyperlink>
      <w:r w:rsidRPr="00092BC2">
        <w:rPr>
          <w:rFonts w:asciiTheme="minorHAnsi" w:hAnsiTheme="minorHAnsi" w:cstheme="minorHAnsi"/>
          <w:sz w:val="22"/>
          <w:szCs w:val="22"/>
        </w:rPr>
        <w:t xml:space="preserve"> [Accessed on 18/04/2023]</w:t>
      </w:r>
    </w:p>
    <w:p w14:paraId="2A0F5B01" w14:textId="77777777" w:rsidR="00092BC2" w:rsidRPr="00092BC2" w:rsidRDefault="00092BC2" w:rsidP="00092BC2">
      <w:pPr>
        <w:overflowPunct/>
        <w:autoSpaceDE/>
        <w:autoSpaceDN/>
        <w:adjustRightInd/>
        <w:spacing w:line="360" w:lineRule="atLeast"/>
        <w:textAlignment w:val="auto"/>
        <w:rPr>
          <w:rFonts w:asciiTheme="minorHAnsi" w:hAnsiTheme="minorHAnsi" w:cstheme="minorHAnsi"/>
          <w:sz w:val="22"/>
          <w:szCs w:val="22"/>
        </w:rPr>
      </w:pPr>
      <w:r w:rsidRPr="00092BC2">
        <w:rPr>
          <w:rFonts w:asciiTheme="minorHAnsi" w:hAnsiTheme="minorHAnsi" w:cstheme="minorHAnsi"/>
          <w:sz w:val="22"/>
          <w:szCs w:val="22"/>
        </w:rPr>
        <w:t>College of Policing. (2021). </w:t>
      </w:r>
      <w:r w:rsidRPr="00092BC2">
        <w:rPr>
          <w:rFonts w:asciiTheme="minorHAnsi" w:hAnsiTheme="minorHAnsi" w:cstheme="minorHAnsi"/>
          <w:i/>
          <w:iCs/>
          <w:sz w:val="22"/>
          <w:szCs w:val="22"/>
        </w:rPr>
        <w:t>Female genital mutilation</w:t>
      </w:r>
      <w:r w:rsidRPr="00092BC2">
        <w:rPr>
          <w:rFonts w:asciiTheme="minorHAnsi" w:hAnsiTheme="minorHAnsi" w:cstheme="minorHAnsi"/>
          <w:sz w:val="22"/>
          <w:szCs w:val="22"/>
        </w:rPr>
        <w:t xml:space="preserve">. [online] Available at: </w:t>
      </w:r>
      <w:hyperlink r:id="rId16" w:anchor="using-interpreters" w:history="1">
        <w:r w:rsidRPr="00092BC2">
          <w:rPr>
            <w:rFonts w:asciiTheme="minorHAnsi" w:hAnsiTheme="minorHAnsi" w:cstheme="minorHAnsi"/>
            <w:color w:val="0563C1" w:themeColor="hyperlink"/>
            <w:sz w:val="22"/>
            <w:szCs w:val="22"/>
            <w:u w:val="single"/>
          </w:rPr>
          <w:t>https://www.college.police.uk/app/major-investigation-and-public-protection/female-genital-mutilation#using-interpreters</w:t>
        </w:r>
      </w:hyperlink>
      <w:r w:rsidRPr="00092BC2">
        <w:rPr>
          <w:rFonts w:asciiTheme="minorHAnsi" w:hAnsiTheme="minorHAnsi" w:cstheme="minorHAnsi"/>
          <w:sz w:val="22"/>
          <w:szCs w:val="22"/>
        </w:rPr>
        <w:t xml:space="preserve">  </w:t>
      </w:r>
      <w:bookmarkStart w:id="0" w:name="_Hlk132732883"/>
      <w:r w:rsidRPr="00092BC2">
        <w:rPr>
          <w:rFonts w:asciiTheme="minorHAnsi" w:hAnsiTheme="minorHAnsi" w:cstheme="minorHAnsi"/>
          <w:sz w:val="22"/>
          <w:szCs w:val="22"/>
        </w:rPr>
        <w:t xml:space="preserve">[Accessed 18/04/2023]. </w:t>
      </w:r>
    </w:p>
    <w:bookmarkEnd w:id="0"/>
    <w:p w14:paraId="2A22F85A" w14:textId="77777777" w:rsidR="00092BC2" w:rsidRPr="00092BC2" w:rsidRDefault="00092BC2" w:rsidP="00092BC2">
      <w:pPr>
        <w:overflowPunct/>
        <w:autoSpaceDE/>
        <w:autoSpaceDN/>
        <w:adjustRightInd/>
        <w:spacing w:line="360" w:lineRule="atLeast"/>
        <w:textAlignment w:val="auto"/>
        <w:rPr>
          <w:rFonts w:asciiTheme="minorHAnsi" w:hAnsiTheme="minorHAnsi" w:cstheme="minorHAnsi"/>
          <w:sz w:val="22"/>
          <w:szCs w:val="22"/>
        </w:rPr>
      </w:pPr>
    </w:p>
    <w:p w14:paraId="1A9E5702" w14:textId="77777777" w:rsidR="00092BC2" w:rsidRPr="00092BC2" w:rsidRDefault="00092BC2" w:rsidP="00092BC2">
      <w:pPr>
        <w:overflowPunct/>
        <w:autoSpaceDE/>
        <w:autoSpaceDN/>
        <w:adjustRightInd/>
        <w:spacing w:line="360" w:lineRule="atLeast"/>
        <w:textAlignment w:val="auto"/>
        <w:rPr>
          <w:rFonts w:asciiTheme="minorHAnsi" w:hAnsiTheme="minorHAnsi" w:cstheme="minorHAnsi"/>
          <w:sz w:val="22"/>
          <w:szCs w:val="22"/>
        </w:rPr>
      </w:pPr>
      <w:bookmarkStart w:id="1" w:name="_Hlk132732898"/>
      <w:r w:rsidRPr="00092BC2">
        <w:rPr>
          <w:rFonts w:ascii="Calibri" w:hAnsi="Calibri" w:cs="Calibri"/>
          <w:sz w:val="22"/>
          <w:szCs w:val="22"/>
        </w:rPr>
        <w:t>College of Policing. (2023). </w:t>
      </w:r>
      <w:r w:rsidRPr="00092BC2">
        <w:rPr>
          <w:rFonts w:ascii="Calibri" w:hAnsi="Calibri" w:cs="Calibri"/>
          <w:i/>
          <w:iCs/>
          <w:sz w:val="22"/>
          <w:szCs w:val="22"/>
        </w:rPr>
        <w:t xml:space="preserve">Forced marriage and </w:t>
      </w:r>
      <w:proofErr w:type="gramStart"/>
      <w:r w:rsidRPr="00092BC2">
        <w:rPr>
          <w:rFonts w:ascii="Calibri" w:hAnsi="Calibri" w:cs="Calibri"/>
          <w:i/>
          <w:iCs/>
          <w:sz w:val="22"/>
          <w:szCs w:val="22"/>
        </w:rPr>
        <w:t>honour based</w:t>
      </w:r>
      <w:proofErr w:type="gramEnd"/>
      <w:r w:rsidRPr="00092BC2">
        <w:rPr>
          <w:rFonts w:ascii="Calibri" w:hAnsi="Calibri" w:cs="Calibri"/>
          <w:i/>
          <w:iCs/>
          <w:sz w:val="22"/>
          <w:szCs w:val="22"/>
        </w:rPr>
        <w:t xml:space="preserve"> abuse</w:t>
      </w:r>
      <w:r w:rsidRPr="00092BC2">
        <w:rPr>
          <w:rFonts w:ascii="Calibri" w:hAnsi="Calibri" w:cs="Calibri"/>
          <w:sz w:val="22"/>
          <w:szCs w:val="22"/>
        </w:rPr>
        <w:t xml:space="preserve">. [online] Available at: </w:t>
      </w:r>
      <w:hyperlink r:id="rId17" w:history="1">
        <w:r w:rsidRPr="00092BC2">
          <w:rPr>
            <w:rFonts w:ascii="Calibri" w:hAnsi="Calibri" w:cs="Calibri"/>
            <w:color w:val="0563C1" w:themeColor="hyperlink"/>
            <w:sz w:val="22"/>
            <w:szCs w:val="22"/>
            <w:u w:val="single"/>
          </w:rPr>
          <w:t>https://www.college.police.uk/app/major-investigation-and-public-protection/forced-marriage-and-honour-based-abuse</w:t>
        </w:r>
      </w:hyperlink>
      <w:r w:rsidRPr="00092BC2">
        <w:rPr>
          <w:rFonts w:ascii="Calibri" w:hAnsi="Calibri" w:cs="Calibri"/>
          <w:sz w:val="22"/>
          <w:szCs w:val="22"/>
        </w:rPr>
        <w:t xml:space="preserve">. </w:t>
      </w:r>
      <w:r w:rsidRPr="00092BC2">
        <w:rPr>
          <w:rFonts w:asciiTheme="minorHAnsi" w:hAnsiTheme="minorHAnsi" w:cstheme="minorHAnsi"/>
          <w:sz w:val="22"/>
          <w:szCs w:val="22"/>
        </w:rPr>
        <w:t xml:space="preserve">[Accessed 18/04/2023]. </w:t>
      </w:r>
    </w:p>
    <w:bookmarkEnd w:id="1"/>
    <w:p w14:paraId="477CB80D" w14:textId="77777777" w:rsidR="00092BC2" w:rsidRPr="00092BC2" w:rsidRDefault="00092BC2" w:rsidP="00092BC2">
      <w:pPr>
        <w:overflowPunct/>
        <w:autoSpaceDE/>
        <w:autoSpaceDN/>
        <w:adjustRightInd/>
        <w:spacing w:line="360" w:lineRule="atLeast"/>
        <w:textAlignment w:val="auto"/>
        <w:rPr>
          <w:rFonts w:ascii="Calibri" w:hAnsi="Calibri" w:cs="Calibri"/>
          <w:sz w:val="22"/>
          <w:szCs w:val="22"/>
        </w:rPr>
      </w:pPr>
    </w:p>
    <w:p w14:paraId="16AD99C6" w14:textId="77777777" w:rsidR="00092BC2" w:rsidRPr="00092BC2" w:rsidRDefault="00092BC2" w:rsidP="00092BC2">
      <w:pPr>
        <w:overflowPunct/>
        <w:autoSpaceDE/>
        <w:autoSpaceDN/>
        <w:adjustRightInd/>
        <w:spacing w:before="100" w:beforeAutospacing="1" w:after="100" w:afterAutospacing="1"/>
        <w:textAlignment w:val="auto"/>
        <w:rPr>
          <w:rFonts w:ascii="Calibri" w:hAnsi="Calibri" w:cs="Calibri"/>
          <w:sz w:val="27"/>
          <w:szCs w:val="27"/>
        </w:rPr>
      </w:pPr>
      <w:r w:rsidRPr="00092BC2">
        <w:rPr>
          <w:rFonts w:ascii="Calibri" w:hAnsi="Calibri" w:cs="Calibri"/>
          <w:sz w:val="27"/>
          <w:szCs w:val="27"/>
        </w:rPr>
        <w:t>‌</w:t>
      </w:r>
    </w:p>
    <w:p w14:paraId="1CF10C9C" w14:textId="77777777" w:rsidR="00092BC2" w:rsidRPr="00092BC2" w:rsidRDefault="00092BC2" w:rsidP="00092BC2">
      <w:pPr>
        <w:overflowPunct/>
        <w:autoSpaceDE/>
        <w:autoSpaceDN/>
        <w:adjustRightInd/>
        <w:spacing w:line="360" w:lineRule="atLeast"/>
        <w:textAlignment w:val="auto"/>
        <w:rPr>
          <w:rFonts w:asciiTheme="minorHAnsi" w:hAnsiTheme="minorHAnsi" w:cstheme="minorHAnsi"/>
          <w:sz w:val="22"/>
          <w:szCs w:val="22"/>
        </w:rPr>
      </w:pPr>
    </w:p>
    <w:p w14:paraId="667D81AE" w14:textId="77777777" w:rsidR="00092BC2" w:rsidRPr="00092BC2" w:rsidRDefault="00092BC2" w:rsidP="00092BC2">
      <w:pPr>
        <w:overflowPunct/>
        <w:autoSpaceDE/>
        <w:autoSpaceDN/>
        <w:adjustRightInd/>
        <w:spacing w:line="360" w:lineRule="atLeast"/>
        <w:textAlignment w:val="auto"/>
        <w:rPr>
          <w:rFonts w:asciiTheme="minorHAnsi" w:hAnsiTheme="minorHAnsi" w:cstheme="minorHAnsi"/>
          <w:sz w:val="22"/>
          <w:szCs w:val="22"/>
        </w:rPr>
      </w:pPr>
      <w:r w:rsidRPr="00092BC2">
        <w:rPr>
          <w:rFonts w:asciiTheme="minorHAnsi" w:hAnsiTheme="minorHAnsi" w:cstheme="minorHAnsi"/>
          <w:sz w:val="22"/>
          <w:szCs w:val="22"/>
        </w:rPr>
        <w:t>GOV.UK. (2018). </w:t>
      </w:r>
      <w:r w:rsidRPr="00092BC2">
        <w:rPr>
          <w:rFonts w:asciiTheme="minorHAnsi" w:hAnsiTheme="minorHAnsi" w:cstheme="minorHAnsi"/>
          <w:i/>
          <w:iCs/>
          <w:sz w:val="22"/>
          <w:szCs w:val="22"/>
        </w:rPr>
        <w:t>Voluntary police interview: your rights</w:t>
      </w:r>
      <w:r w:rsidRPr="00092BC2">
        <w:rPr>
          <w:rFonts w:asciiTheme="minorHAnsi" w:hAnsiTheme="minorHAnsi" w:cstheme="minorHAnsi"/>
          <w:sz w:val="22"/>
          <w:szCs w:val="22"/>
        </w:rPr>
        <w:t xml:space="preserve">. [online] Available at: </w:t>
      </w:r>
      <w:hyperlink r:id="rId18" w:history="1">
        <w:r w:rsidRPr="00092BC2">
          <w:rPr>
            <w:rFonts w:asciiTheme="minorHAnsi" w:hAnsiTheme="minorHAnsi" w:cstheme="minorHAnsi"/>
            <w:color w:val="0563C1" w:themeColor="hyperlink"/>
            <w:sz w:val="22"/>
            <w:szCs w:val="22"/>
            <w:u w:val="single"/>
          </w:rPr>
          <w:t>https://www.gov.uk/government/publications/voluntary-police-interview-your-rights</w:t>
        </w:r>
      </w:hyperlink>
      <w:r w:rsidRPr="00092BC2">
        <w:rPr>
          <w:rFonts w:asciiTheme="minorHAnsi" w:hAnsiTheme="minorHAnsi" w:cstheme="minorHAnsi"/>
          <w:sz w:val="22"/>
          <w:szCs w:val="22"/>
        </w:rPr>
        <w:t>. [Accessed 18/04/2023]</w:t>
      </w:r>
    </w:p>
    <w:p w14:paraId="77E4D536" w14:textId="77777777" w:rsidR="00092BC2" w:rsidRPr="00092BC2" w:rsidRDefault="00092BC2" w:rsidP="00092BC2">
      <w:pPr>
        <w:overflowPunct/>
        <w:autoSpaceDE/>
        <w:autoSpaceDN/>
        <w:adjustRightInd/>
        <w:spacing w:line="360" w:lineRule="atLeast"/>
        <w:textAlignment w:val="auto"/>
        <w:rPr>
          <w:rFonts w:asciiTheme="minorHAnsi" w:hAnsiTheme="minorHAnsi" w:cstheme="minorHAnsi"/>
          <w:sz w:val="22"/>
          <w:szCs w:val="22"/>
        </w:rPr>
      </w:pPr>
    </w:p>
    <w:p w14:paraId="20D47321" w14:textId="77777777" w:rsidR="00092BC2" w:rsidRPr="00092BC2" w:rsidRDefault="00092BC2" w:rsidP="00092BC2">
      <w:pPr>
        <w:overflowPunct/>
        <w:autoSpaceDE/>
        <w:autoSpaceDN/>
        <w:adjustRightInd/>
        <w:spacing w:line="360" w:lineRule="atLeast"/>
        <w:textAlignment w:val="auto"/>
        <w:rPr>
          <w:rFonts w:ascii="Calibri" w:hAnsi="Calibri" w:cs="Calibri"/>
          <w:sz w:val="27"/>
          <w:szCs w:val="27"/>
        </w:rPr>
      </w:pPr>
      <w:r w:rsidRPr="00092BC2">
        <w:rPr>
          <w:rFonts w:asciiTheme="minorHAnsi" w:hAnsiTheme="minorHAnsi" w:cstheme="minorHAnsi"/>
          <w:sz w:val="22"/>
          <w:szCs w:val="22"/>
        </w:rPr>
        <w:t>‌</w:t>
      </w:r>
      <w:r w:rsidRPr="00092BC2">
        <w:rPr>
          <w:rFonts w:ascii="Calibri" w:hAnsi="Calibri" w:cs="Calibri"/>
          <w:sz w:val="22"/>
          <w:szCs w:val="22"/>
        </w:rPr>
        <w:t>‌Legislation.gov.uk. (2023). </w:t>
      </w:r>
      <w:r w:rsidRPr="00092BC2">
        <w:rPr>
          <w:rFonts w:ascii="Calibri" w:hAnsi="Calibri" w:cs="Calibri"/>
          <w:i/>
          <w:iCs/>
          <w:sz w:val="22"/>
          <w:szCs w:val="22"/>
        </w:rPr>
        <w:t>Children Act 1989</w:t>
      </w:r>
      <w:r w:rsidRPr="00092BC2">
        <w:rPr>
          <w:rFonts w:ascii="Calibri" w:hAnsi="Calibri" w:cs="Calibri"/>
          <w:sz w:val="22"/>
          <w:szCs w:val="22"/>
        </w:rPr>
        <w:t xml:space="preserve">. [online] Available at: </w:t>
      </w:r>
      <w:hyperlink r:id="rId19" w:anchor=":~:text=76%20Inspection%20%281%29%20Any%20person%20authorised%20to%20do" w:history="1">
        <w:r w:rsidRPr="00092BC2">
          <w:rPr>
            <w:rFonts w:ascii="Calibri" w:hAnsi="Calibri" w:cs="Calibri"/>
            <w:color w:val="0563C1" w:themeColor="hyperlink"/>
            <w:sz w:val="22"/>
            <w:szCs w:val="22"/>
            <w:u w:val="single"/>
          </w:rPr>
          <w:t>https://www.legislation.gov.uk/ukpga/1989/41/section/76/made#:~:text=76%20Inspection%20%281%29%20Any%20person%20authorised%20to%20do</w:t>
        </w:r>
      </w:hyperlink>
      <w:r w:rsidRPr="00092BC2">
        <w:rPr>
          <w:rFonts w:ascii="Calibri" w:hAnsi="Calibri" w:cs="Calibri"/>
          <w:sz w:val="22"/>
          <w:szCs w:val="22"/>
        </w:rPr>
        <w:t xml:space="preserve">  [Accessed 18/04/23].</w:t>
      </w:r>
    </w:p>
    <w:p w14:paraId="6E83A7BA" w14:textId="77777777" w:rsidR="00092BC2" w:rsidRPr="00092BC2" w:rsidRDefault="00092BC2" w:rsidP="5B843AF0">
      <w:pPr>
        <w:ind w:right="237"/>
        <w:jc w:val="both"/>
        <w:rPr>
          <w:rFonts w:eastAsia="Arial"/>
          <w:color w:val="000000" w:themeColor="text1"/>
          <w:sz w:val="24"/>
          <w:szCs w:val="24"/>
        </w:rPr>
      </w:pP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2" w:name="_Int_iqtpDieQ"/>
      <w:proofErr w:type="gramStart"/>
      <w:r w:rsidRPr="5CE196A1">
        <w:rPr>
          <w:rFonts w:eastAsia="Arial"/>
          <w:color w:val="000000" w:themeColor="text1"/>
          <w:sz w:val="24"/>
          <w:szCs w:val="24"/>
        </w:rPr>
        <w:t>In regard to</w:t>
      </w:r>
      <w:bookmarkEnd w:id="2"/>
      <w:proofErr w:type="gramEnd"/>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DA6D678" w14:textId="77777777" w:rsidR="00CD271E" w:rsidRPr="004925C8" w:rsidRDefault="00CD271E" w:rsidP="00CD271E">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lastRenderedPageBreak/>
        <w:t xml:space="preserve">I am currently investigating a complex case where a child has made a second set of disclosures into an historic oral rape allegation by their child minder. This essay will outline my role and decisions made to further the investigation and support those within it. </w:t>
      </w:r>
    </w:p>
    <w:p w14:paraId="347E9EE6" w14:textId="77777777" w:rsidR="00CD271E" w:rsidRPr="004925C8" w:rsidRDefault="00CD271E" w:rsidP="00CD271E">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p>
    <w:p w14:paraId="78A2A735" w14:textId="77777777" w:rsidR="00CD271E" w:rsidRPr="004925C8" w:rsidRDefault="00CD271E" w:rsidP="00CD271E">
      <w:pPr>
        <w:overflowPunct/>
        <w:autoSpaceDE/>
        <w:autoSpaceDN/>
        <w:adjustRightInd/>
        <w:spacing w:after="160" w:line="360" w:lineRule="auto"/>
        <w:jc w:val="both"/>
        <w:textAlignment w:val="auto"/>
        <w:rPr>
          <w:rFonts w:asciiTheme="minorHAnsi" w:eastAsiaTheme="minorHAnsi" w:hAnsiTheme="minorHAnsi" w:cstheme="minorBidi"/>
          <w:b/>
          <w:bCs/>
          <w:color w:val="auto"/>
          <w:sz w:val="22"/>
          <w:szCs w:val="22"/>
          <w:lang w:eastAsia="en-US"/>
        </w:rPr>
      </w:pPr>
      <w:r w:rsidRPr="004925C8">
        <w:rPr>
          <w:rFonts w:asciiTheme="minorHAnsi" w:eastAsiaTheme="minorHAnsi" w:hAnsiTheme="minorHAnsi" w:cstheme="minorBidi"/>
          <w:b/>
          <w:bCs/>
          <w:color w:val="auto"/>
          <w:sz w:val="22"/>
          <w:szCs w:val="22"/>
          <w:lang w:eastAsia="en-US"/>
        </w:rPr>
        <w:t>Arrest</w:t>
      </w:r>
    </w:p>
    <w:p w14:paraId="12F58B4D" w14:textId="77777777" w:rsidR="00CD271E" w:rsidRPr="004925C8" w:rsidRDefault="00CD271E" w:rsidP="00CD271E">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 xml:space="preserve">Upon learning of the disclosure, our strategy was to firstly arrest the suspect, seize any electronic devices, interview, and then bail/remand the suspect. The plan was simple, the arrest itself, however, was complicated. </w:t>
      </w:r>
    </w:p>
    <w:p w14:paraId="70EDC3F0"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The suspect lived in a small flat with their daughter and I was concerned that the daughter would be exposed to trauma whilst witnessing the arrest of their father. Moreover, given the severity of the offence, this was likely to increase chances of trauma and distress (Bellis, 2017; Leung, 2022). This is often referred to as Acute Childhood Experiences (ACES)</w:t>
      </w:r>
      <w:r w:rsidRPr="004925C8">
        <w:rPr>
          <w:rFonts w:asciiTheme="minorHAnsi" w:eastAsiaTheme="minorHAnsi" w:hAnsiTheme="minorHAnsi" w:cstheme="minorBidi"/>
          <w:b/>
          <w:bCs/>
          <w:color w:val="auto"/>
          <w:sz w:val="22"/>
          <w:szCs w:val="22"/>
          <w:lang w:eastAsia="en-US"/>
        </w:rPr>
        <w:t xml:space="preserve"> </w:t>
      </w:r>
      <w:r w:rsidRPr="004925C8">
        <w:rPr>
          <w:rFonts w:asciiTheme="minorHAnsi" w:eastAsiaTheme="minorHAnsi" w:hAnsiTheme="minorHAnsi" w:cstheme="minorBidi"/>
          <w:color w:val="auto"/>
          <w:sz w:val="22"/>
          <w:szCs w:val="22"/>
          <w:lang w:eastAsia="en-US"/>
        </w:rPr>
        <w:t xml:space="preserve">and can greatly impacts on the child’s future relationships and overall wellbeing (Davies, 2018). Therefore, to limit exposure to ACES, our arrest strategy involved taking the suspect into a different room to allow for privacy, while other colleagues distracted his daughter (College of Policing, 2019). </w:t>
      </w:r>
    </w:p>
    <w:p w14:paraId="6C82CC84"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 xml:space="preserve">The plan was partly successful. Although we were able to separate the two and limit his child witnessing the arrest and caution, however, due to the size and layout of the flat, the daughter witnessed her father in handcuffs exiting the address. Therefore, the suspect’s child was exposed to trauma despite our best efforts. Two female officers remained at the property, firstly ensuring the mental and emotional well-being of the child, and secondly, to wait for a social worker to arrive and provide further specialist support for the child (Bellis, 2017).  </w:t>
      </w:r>
    </w:p>
    <w:p w14:paraId="70ECC761"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lang w:eastAsia="en-US"/>
        </w:rPr>
      </w:pPr>
    </w:p>
    <w:p w14:paraId="46A9D5F0" w14:textId="77777777" w:rsidR="00CD271E" w:rsidRPr="004925C8" w:rsidRDefault="00CD271E" w:rsidP="00CD271E">
      <w:pPr>
        <w:overflowPunct/>
        <w:autoSpaceDE/>
        <w:autoSpaceDN/>
        <w:adjustRightInd/>
        <w:spacing w:after="160" w:line="360" w:lineRule="auto"/>
        <w:jc w:val="both"/>
        <w:textAlignment w:val="auto"/>
        <w:rPr>
          <w:rFonts w:asciiTheme="minorHAnsi" w:eastAsiaTheme="minorHAnsi" w:hAnsiTheme="minorHAnsi" w:cstheme="minorBidi"/>
          <w:b/>
          <w:bCs/>
          <w:color w:val="auto"/>
          <w:sz w:val="22"/>
          <w:szCs w:val="22"/>
          <w:lang w:eastAsia="en-US"/>
        </w:rPr>
      </w:pPr>
      <w:r w:rsidRPr="004925C8">
        <w:rPr>
          <w:rFonts w:asciiTheme="minorHAnsi" w:eastAsiaTheme="minorHAnsi" w:hAnsiTheme="minorHAnsi" w:cstheme="minorBidi"/>
          <w:b/>
          <w:bCs/>
          <w:color w:val="auto"/>
          <w:sz w:val="22"/>
          <w:szCs w:val="22"/>
          <w:lang w:eastAsia="en-US"/>
        </w:rPr>
        <w:t>Interview</w:t>
      </w:r>
    </w:p>
    <w:p w14:paraId="7C814235" w14:textId="77777777" w:rsidR="00CD271E" w:rsidRPr="004925C8" w:rsidRDefault="00CD271E" w:rsidP="00CD271E">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 xml:space="preserve">At the time of interview, there was nothing of evidential value to put to the suspect, only the allegations within the initial accounts from the victim and his family. Furthermore, given the abhorrent nature of the allegations, it impacted me emotionally and directly opposed my personal, moral compass. I felt several emotions: anger towards the suspect; frustration towards the victim’s parents for allowing the suspect to continue seeing their child after his historic allegations (Stein &amp; </w:t>
      </w:r>
      <w:proofErr w:type="spellStart"/>
      <w:r w:rsidRPr="004925C8">
        <w:rPr>
          <w:rFonts w:asciiTheme="minorHAnsi" w:eastAsiaTheme="minorHAnsi" w:hAnsiTheme="minorHAnsi" w:cstheme="minorBidi"/>
          <w:color w:val="auto"/>
          <w:sz w:val="22"/>
          <w:szCs w:val="22"/>
          <w:lang w:eastAsia="en-US"/>
        </w:rPr>
        <w:t>Nofziger</w:t>
      </w:r>
      <w:proofErr w:type="spellEnd"/>
      <w:r w:rsidRPr="004925C8">
        <w:rPr>
          <w:rFonts w:asciiTheme="minorHAnsi" w:eastAsiaTheme="minorHAnsi" w:hAnsiTheme="minorHAnsi" w:cstheme="minorBidi"/>
          <w:color w:val="auto"/>
          <w:sz w:val="22"/>
          <w:szCs w:val="22"/>
          <w:lang w:eastAsia="en-US"/>
        </w:rPr>
        <w:t xml:space="preserve">, 2008; Linden, 2018); and, I was nervously excited about leading the interview, as this was the most serious </w:t>
      </w:r>
      <w:proofErr w:type="gramStart"/>
      <w:r w:rsidRPr="004925C8">
        <w:rPr>
          <w:rFonts w:asciiTheme="minorHAnsi" w:eastAsiaTheme="minorHAnsi" w:hAnsiTheme="minorHAnsi" w:cstheme="minorBidi"/>
          <w:color w:val="auto"/>
          <w:sz w:val="22"/>
          <w:szCs w:val="22"/>
          <w:lang w:eastAsia="en-US"/>
        </w:rPr>
        <w:t>investigation</w:t>
      </w:r>
      <w:proofErr w:type="gramEnd"/>
      <w:r w:rsidRPr="004925C8">
        <w:rPr>
          <w:rFonts w:asciiTheme="minorHAnsi" w:eastAsiaTheme="minorHAnsi" w:hAnsiTheme="minorHAnsi" w:cstheme="minorBidi"/>
          <w:color w:val="auto"/>
          <w:sz w:val="22"/>
          <w:szCs w:val="22"/>
          <w:lang w:eastAsia="en-US"/>
        </w:rPr>
        <w:t xml:space="preserve"> I had lead. </w:t>
      </w:r>
    </w:p>
    <w:p w14:paraId="05D5EC49"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lastRenderedPageBreak/>
        <w:t xml:space="preserve">I felt similarly when arresting the suspect. To remain professional and composed, I became task orientated and focused on the delivery of the caution, searching the male, applying handcuffs, and conveying to custody. By dividing one larger task into four smaller parts, I compartmentalised my role and directed my emotions in a calm and concentrated way (Miller, 2022; </w:t>
      </w:r>
      <w:proofErr w:type="spellStart"/>
      <w:r w:rsidRPr="004925C8">
        <w:rPr>
          <w:rFonts w:asciiTheme="minorHAnsi" w:eastAsiaTheme="minorHAnsi" w:hAnsiTheme="minorHAnsi" w:cstheme="minorBidi"/>
          <w:color w:val="auto"/>
          <w:sz w:val="22"/>
          <w:szCs w:val="22"/>
          <w:lang w:eastAsia="en-US"/>
        </w:rPr>
        <w:t>Gutschmidt</w:t>
      </w:r>
      <w:proofErr w:type="spellEnd"/>
      <w:r w:rsidRPr="004925C8">
        <w:rPr>
          <w:rFonts w:asciiTheme="minorHAnsi" w:eastAsiaTheme="minorHAnsi" w:hAnsiTheme="minorHAnsi" w:cstheme="minorBidi"/>
          <w:color w:val="auto"/>
          <w:sz w:val="22"/>
          <w:szCs w:val="22"/>
          <w:lang w:eastAsia="en-US"/>
        </w:rPr>
        <w:t xml:space="preserve"> &amp; Vera, 2021). </w:t>
      </w:r>
    </w:p>
    <w:p w14:paraId="7AD657E6"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As a practitioner of cognitive reappraisal, I approached my apprehension or fear of making mistakes in these processes into eagerness and trust to perform my role well (</w:t>
      </w:r>
      <w:proofErr w:type="spellStart"/>
      <w:r w:rsidRPr="004925C8">
        <w:rPr>
          <w:rFonts w:asciiTheme="minorHAnsi" w:eastAsiaTheme="minorHAnsi" w:hAnsiTheme="minorHAnsi" w:cstheme="minorBidi"/>
          <w:color w:val="auto"/>
          <w:sz w:val="22"/>
          <w:szCs w:val="22"/>
          <w:lang w:eastAsia="en-US"/>
        </w:rPr>
        <w:t>DeCastella</w:t>
      </w:r>
      <w:proofErr w:type="spellEnd"/>
      <w:r w:rsidRPr="004925C8">
        <w:rPr>
          <w:rFonts w:asciiTheme="minorHAnsi" w:eastAsiaTheme="minorHAnsi" w:hAnsiTheme="minorHAnsi" w:cstheme="minorBidi"/>
          <w:color w:val="auto"/>
          <w:sz w:val="22"/>
          <w:szCs w:val="22"/>
          <w:lang w:eastAsia="en-US"/>
        </w:rPr>
        <w:t xml:space="preserve">, 2013). Cognitive reappraisal has been a mainstay technique during stressful or anxious situations (Raymond, 2019). In those moments, I have chosen to view those initial feelings as excitement and confidence to fulfil my potential (T </w:t>
      </w:r>
      <w:proofErr w:type="spellStart"/>
      <w:r w:rsidRPr="004925C8">
        <w:rPr>
          <w:rFonts w:asciiTheme="minorHAnsi" w:eastAsiaTheme="minorHAnsi" w:hAnsiTheme="minorHAnsi" w:cstheme="minorBidi"/>
          <w:color w:val="auto"/>
          <w:sz w:val="22"/>
          <w:szCs w:val="22"/>
          <w:lang w:eastAsia="en-US"/>
        </w:rPr>
        <w:t>Gutentag</w:t>
      </w:r>
      <w:proofErr w:type="spellEnd"/>
      <w:r w:rsidRPr="004925C8">
        <w:rPr>
          <w:rFonts w:asciiTheme="minorHAnsi" w:eastAsiaTheme="minorHAnsi" w:hAnsiTheme="minorHAnsi" w:cstheme="minorBidi"/>
          <w:color w:val="auto"/>
          <w:sz w:val="22"/>
          <w:szCs w:val="22"/>
          <w:lang w:eastAsia="en-US"/>
        </w:rPr>
        <w:t xml:space="preserve"> et al., 2016). Instead, therefore, I chose to focus on positively applying these feelings and directing them towards my aim: safeguarding all those involved and gathering the best evidential products in a timely manner to support my victim. </w:t>
      </w:r>
    </w:p>
    <w:p w14:paraId="0BF71947"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 xml:space="preserve">The execution of this interview was paramount. Ultimately, as an impartial evidence gatherer, this interview served as an opportunity for the suspect to provide an account. In that light, the suspect may not be responsible, and it was crucial that lines of enquiry could be obtained to corroborate any defences or alibis raised. Thus, while I knew I had to be in control of my emotions, I was also acutely aware that I needed to manage the suspect’s feelings and develop a rapport in interview to achieve the best evidential product (Howes, 2019). </w:t>
      </w:r>
    </w:p>
    <w:p w14:paraId="2191830D"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 xml:space="preserve">Given the serious allegations and awareness to how that may negatively impact the suspect’s mental well-being (Liden, 2018), I gave a prelude before questioning. Following the delivery of the PACE interview sheet, I acknowledged that the severity of the allegations may be distressing. This settled the suspect who had now had their feelings validated and he became less nervous in the process. </w:t>
      </w:r>
    </w:p>
    <w:p w14:paraId="665D3D6C"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 xml:space="preserve">Consequently, by self-regulating my own emotions and be empathetic to the suspect, it allowed the suspect to feel calmer and understood (Wenzel, 2020). This successfully built rapport between us; the suspect was questioned and was able to answer serious and personal questions in a more relaxed and comfortable way because I showed them respect and acted impartially throughout the interview (Linden, 2018). </w:t>
      </w:r>
    </w:p>
    <w:p w14:paraId="220A3ED0"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lang w:eastAsia="en-US"/>
        </w:rPr>
      </w:pPr>
    </w:p>
    <w:p w14:paraId="7E187E96"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lang w:eastAsia="en-US"/>
        </w:rPr>
      </w:pPr>
    </w:p>
    <w:p w14:paraId="0CBD3635" w14:textId="77777777" w:rsidR="00CD271E" w:rsidRPr="004925C8" w:rsidRDefault="00CD271E" w:rsidP="00CD271E">
      <w:pPr>
        <w:overflowPunct/>
        <w:autoSpaceDE/>
        <w:autoSpaceDN/>
        <w:adjustRightInd/>
        <w:spacing w:after="160" w:line="360" w:lineRule="auto"/>
        <w:jc w:val="both"/>
        <w:textAlignment w:val="auto"/>
        <w:rPr>
          <w:rFonts w:asciiTheme="minorHAnsi" w:eastAsiaTheme="minorHAnsi" w:hAnsiTheme="minorHAnsi" w:cstheme="minorBidi"/>
          <w:b/>
          <w:bCs/>
          <w:color w:val="auto"/>
          <w:sz w:val="22"/>
          <w:szCs w:val="22"/>
          <w:lang w:eastAsia="en-US"/>
        </w:rPr>
      </w:pPr>
      <w:r w:rsidRPr="004925C8">
        <w:rPr>
          <w:rFonts w:asciiTheme="minorHAnsi" w:eastAsiaTheme="minorHAnsi" w:hAnsiTheme="minorHAnsi" w:cstheme="minorBidi"/>
          <w:b/>
          <w:bCs/>
          <w:color w:val="auto"/>
          <w:sz w:val="22"/>
          <w:szCs w:val="22"/>
          <w:lang w:eastAsia="en-US"/>
        </w:rPr>
        <w:t>LFF</w:t>
      </w:r>
    </w:p>
    <w:p w14:paraId="51D55084" w14:textId="77777777" w:rsidR="00CD271E" w:rsidRPr="004925C8" w:rsidRDefault="00CD271E" w:rsidP="00CD271E">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lastRenderedPageBreak/>
        <w:t>Following the interview, I continued to support the suspect by handing them a leaflet from the Lucy Faithful Foundation (LFF) (The Lucy Faithful Foundation). The LFF assist all those involved in child sexual abuse and offer confidential services and advice. Providing this document and explaining it to the suspect in a respectful and dignifying way was imperative. Regardless of the outcome of the investigation, the suspect’s mental wellbeing was at risk, as their response to these allegations could severely impact them into more risk-taking behaviours such as committing further offences, seeking revenge on the victim, or taking up substance abuse. Moreover, the suspect may experience a spiral in their emotional wellbeing, become ostracised from their family and friends or workplace. In addition, if found guilty there is likely to be thoughts of unfavourable treatment in prison and their life after their conviction (McCartan et al., 2021; Mann et al., 2009)</w:t>
      </w:r>
    </w:p>
    <w:p w14:paraId="7F7EB9CE"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 xml:space="preserve">Subsequently, there is increased risk of harm to the suspect following police contact, which in some cases, can lead to suicide (Levenson, 2018). Therefore, because the suspect would leave our responsibility following interview, it was my duty of care to provide them with access and information to specialist support via LFF. </w:t>
      </w:r>
    </w:p>
    <w:p w14:paraId="3BAB1C95"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lang w:eastAsia="en-US"/>
        </w:rPr>
      </w:pPr>
    </w:p>
    <w:p w14:paraId="2E7446A3" w14:textId="77777777" w:rsidR="00CD271E" w:rsidRPr="004925C8" w:rsidRDefault="00CD271E" w:rsidP="00CD271E">
      <w:pPr>
        <w:overflowPunct/>
        <w:autoSpaceDE/>
        <w:autoSpaceDN/>
        <w:adjustRightInd/>
        <w:spacing w:after="160" w:line="360" w:lineRule="auto"/>
        <w:jc w:val="both"/>
        <w:textAlignment w:val="auto"/>
        <w:rPr>
          <w:rFonts w:asciiTheme="minorHAnsi" w:eastAsiaTheme="minorHAnsi" w:hAnsiTheme="minorHAnsi" w:cstheme="minorBidi"/>
          <w:b/>
          <w:bCs/>
          <w:color w:val="auto"/>
          <w:sz w:val="22"/>
          <w:szCs w:val="22"/>
          <w:lang w:eastAsia="en-US"/>
        </w:rPr>
      </w:pPr>
      <w:r w:rsidRPr="004925C8">
        <w:rPr>
          <w:rFonts w:asciiTheme="minorHAnsi" w:eastAsiaTheme="minorHAnsi" w:hAnsiTheme="minorHAnsi" w:cstheme="minorBidi"/>
          <w:b/>
          <w:bCs/>
          <w:color w:val="auto"/>
          <w:sz w:val="22"/>
          <w:szCs w:val="22"/>
          <w:lang w:eastAsia="en-US"/>
        </w:rPr>
        <w:t>Bail</w:t>
      </w:r>
    </w:p>
    <w:p w14:paraId="3DC6B222" w14:textId="77777777" w:rsidR="00CD271E" w:rsidRPr="004925C8" w:rsidRDefault="00CD271E" w:rsidP="00CD271E">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 xml:space="preserve">To bail the suspect, I consulted with the victim’s parents over their representations for the suspect’s bail conditions ask them several questions required as part of the new bail application that was enacted of September 2022. I was able to offer them some agency and involvement over the protective factors they wanted. Thus, I was able to involve the parents and provide them some ownership in the investigation.  We agreed on contact and update periods and organised for dates to obtain disclosure statements from themselves. Additionally, we discussed the plan moving forwards with regards to obtaining a video recorded statement from the victim and his brother and the requirement for an intermediary assessment due to the boys’ age. I continued to further explain the nature of an investigation and manage expectations early, as a protracted investigation was likely to follow (College of Policing, 2022). </w:t>
      </w:r>
    </w:p>
    <w:p w14:paraId="0AAC90CE" w14:textId="77777777" w:rsidR="00CD271E" w:rsidRPr="004925C8" w:rsidRDefault="00CD271E" w:rsidP="00CD271E">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p>
    <w:p w14:paraId="193BE922" w14:textId="77777777" w:rsidR="00CD271E" w:rsidRPr="004925C8" w:rsidRDefault="00CD271E" w:rsidP="00CD271E">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p>
    <w:p w14:paraId="2A6B7CF8" w14:textId="77777777" w:rsidR="00CD271E" w:rsidRPr="004925C8" w:rsidRDefault="00CD271E" w:rsidP="00CD271E">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p>
    <w:p w14:paraId="78A5F1BC" w14:textId="77777777" w:rsidR="00CD271E" w:rsidRPr="004925C8" w:rsidRDefault="00CD271E" w:rsidP="00CD271E">
      <w:pPr>
        <w:overflowPunct/>
        <w:autoSpaceDE/>
        <w:autoSpaceDN/>
        <w:adjustRightInd/>
        <w:spacing w:after="160" w:line="360" w:lineRule="auto"/>
        <w:jc w:val="both"/>
        <w:textAlignment w:val="auto"/>
        <w:rPr>
          <w:rFonts w:asciiTheme="minorHAnsi" w:eastAsiaTheme="minorHAnsi" w:hAnsiTheme="minorHAnsi" w:cstheme="minorBidi"/>
          <w:b/>
          <w:bCs/>
          <w:color w:val="auto"/>
          <w:sz w:val="22"/>
          <w:szCs w:val="22"/>
          <w:lang w:eastAsia="en-US"/>
        </w:rPr>
      </w:pPr>
      <w:r w:rsidRPr="004925C8">
        <w:rPr>
          <w:rFonts w:asciiTheme="minorHAnsi" w:eastAsiaTheme="minorHAnsi" w:hAnsiTheme="minorHAnsi" w:cstheme="minorBidi"/>
          <w:b/>
          <w:bCs/>
          <w:color w:val="auto"/>
          <w:sz w:val="22"/>
          <w:szCs w:val="22"/>
          <w:lang w:eastAsia="en-US"/>
        </w:rPr>
        <w:t>Lines of Enquiry</w:t>
      </w:r>
    </w:p>
    <w:p w14:paraId="1137A99E" w14:textId="77777777" w:rsidR="00CD271E" w:rsidRPr="004925C8" w:rsidRDefault="00CD271E" w:rsidP="00CD271E">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lastRenderedPageBreak/>
        <w:t xml:space="preserve">As the allegations were historic, the forensic window for a Force Medical Examination (FME) was lost. This meant that other forms evidence gathering was required.  </w:t>
      </w:r>
    </w:p>
    <w:p w14:paraId="1F72D0AB"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 xml:space="preserve">To produce a richer contextual and evidential picture, I requested the following sets of information and Third-Party Material (TMP): the digital examination of the suspects phone, school records for the victim and his brother, and Annex C information like Multi Agency Referral Forms and Child Protection Conference notes. The return period for this information could be up to 28 days and the review stage may also take a considerable amount of time. Therefore, it was imperative that these requests were sent on the day so that the investigation could progress. </w:t>
      </w:r>
    </w:p>
    <w:p w14:paraId="12BBE16D"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 xml:space="preserve">Although the time taken for the information to be returned and reviewed was likely to be substantial, the records may reveal earlier disclosures of a concerning nature where a pattern of behaviour may be deduced. This would be beneficial in aiding the investigation to pinpoint when the historic incident was alleged to have happened. Moreover, school records could also provide holistic view of the child, as teacher reports may give an insight to any additional learning needs and coping mechanisms to assist the child interview process. </w:t>
      </w:r>
    </w:p>
    <w:p w14:paraId="4CC3DA01"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u w:val="single"/>
          <w:lang w:eastAsia="en-US"/>
        </w:rPr>
      </w:pPr>
      <w:r w:rsidRPr="004925C8">
        <w:rPr>
          <w:rFonts w:asciiTheme="minorHAnsi" w:eastAsiaTheme="minorHAnsi" w:hAnsiTheme="minorHAnsi" w:cstheme="minorBidi"/>
          <w:color w:val="auto"/>
          <w:sz w:val="22"/>
          <w:szCs w:val="22"/>
          <w:lang w:eastAsia="en-US"/>
        </w:rPr>
        <w:t>The download of the suspect’s phone was also a high priority enquiry. It was alleged that there were discussions between the suspect and the victims’ parents leading up to the second, later, disclosure. This, as well as any further discussion of the offences that may be held on the suspect’s device would therefore greatly assist the investigation. The phone was also examined for any searches into child pornography and extreme images (Rimer, 2023). Any information in relation to these searches would not only incur further offences, but also indicate a pattern of behaviour and bad character of the suspect in relation to the current rape offence (</w:t>
      </w:r>
      <w:proofErr w:type="spellStart"/>
      <w:r w:rsidRPr="004925C8">
        <w:rPr>
          <w:rFonts w:asciiTheme="minorHAnsi" w:eastAsiaTheme="minorHAnsi" w:hAnsiTheme="minorHAnsi" w:cstheme="minorBidi"/>
          <w:color w:val="auto"/>
          <w:sz w:val="22"/>
          <w:szCs w:val="22"/>
          <w:lang w:eastAsia="en-US"/>
        </w:rPr>
        <w:t>Kissenger</w:t>
      </w:r>
      <w:proofErr w:type="spellEnd"/>
      <w:r w:rsidRPr="004925C8">
        <w:rPr>
          <w:rFonts w:asciiTheme="minorHAnsi" w:eastAsiaTheme="minorHAnsi" w:hAnsiTheme="minorHAnsi" w:cstheme="minorBidi"/>
          <w:color w:val="auto"/>
          <w:sz w:val="22"/>
          <w:szCs w:val="22"/>
          <w:lang w:eastAsia="en-US"/>
        </w:rPr>
        <w:t xml:space="preserve"> et al., 2021). However, because phone downloads also take time, ensuring that applications for the download were promptly expedited was a further fast-track decision made. </w:t>
      </w:r>
    </w:p>
    <w:p w14:paraId="108F362D"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lang w:eastAsia="en-US"/>
        </w:rPr>
      </w:pPr>
    </w:p>
    <w:p w14:paraId="611E1FB5"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lang w:eastAsia="en-US"/>
        </w:rPr>
      </w:pPr>
    </w:p>
    <w:p w14:paraId="5BB347E8" w14:textId="77777777" w:rsidR="00CD271E" w:rsidRPr="004925C8" w:rsidRDefault="00CD271E" w:rsidP="00CD271E">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b/>
          <w:bCs/>
          <w:color w:val="auto"/>
          <w:sz w:val="22"/>
          <w:szCs w:val="22"/>
          <w:lang w:eastAsia="en-US"/>
        </w:rPr>
        <w:t>Victim Account</w:t>
      </w:r>
    </w:p>
    <w:p w14:paraId="07DA715E"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 xml:space="preserve">A key difficulty to the investigation was organising times and spaces for multiples agencies, whilst managing the expectations of the victim’s parents during that time (College of Policing, 2022). This was most prevalent when planning to obtain accounts from the victim and their brother, an initial disclosure witness. The parents felt that their child should be fast-tracked immediately; I had to tactfully explain that the interview process required several specialist agencies and different spaces working concurrently amidst challenging resource levels and competing demands within each agency. </w:t>
      </w:r>
    </w:p>
    <w:p w14:paraId="623BCDB5"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lastRenderedPageBreak/>
        <w:t xml:space="preserve">Nonetheless, it was pivotal to the investigation that the accounts were obtained. Due to the age of the complainant, as well as being a victim of sexual violence, this gave them the option to provide their evidence over video as opposed to a written statement. </w:t>
      </w:r>
    </w:p>
    <w:p w14:paraId="2B4F7930"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 xml:space="preserve">Video recorded statements form part of Achieving Best Evidence (ABE) standards, because they are effective in presenting the account of a vulnerable victim. This is recorded at a Sexual Assault Referral Centre (SARC). SARCs are designed to offer comfort and support to the victim and their families and are often decorated with warm colours, comfortable seating, and relaxing spaces (Robinson, 2011). These spaces have non-invasive cameras and recording equipment that can be accessed in monitoring rooms next door. During an ABE interview, the victim recalls the incident(s) to a specialist trained child interviewer – SCAIDP officer – while another officer takes notes in the monitoring room and guides their colleague like a second jockey (College of Policing, 2022). The ABE recording becomes the victim’s statement and is played in court, significantly limiting the victim from having to revisit their trauma in a public domain and safeguards them from further emotional anguish. </w:t>
      </w:r>
    </w:p>
    <w:p w14:paraId="22E8F783"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 xml:space="preserve">The aim of the process </w:t>
      </w:r>
      <w:proofErr w:type="gramStart"/>
      <w:r w:rsidRPr="004925C8">
        <w:rPr>
          <w:rFonts w:asciiTheme="minorHAnsi" w:eastAsiaTheme="minorHAnsi" w:hAnsiTheme="minorHAnsi" w:cstheme="minorBidi"/>
          <w:color w:val="auto"/>
          <w:sz w:val="22"/>
          <w:szCs w:val="22"/>
          <w:lang w:eastAsia="en-US"/>
        </w:rPr>
        <w:t>are</w:t>
      </w:r>
      <w:proofErr w:type="gramEnd"/>
      <w:r w:rsidRPr="004925C8">
        <w:rPr>
          <w:rFonts w:asciiTheme="minorHAnsi" w:eastAsiaTheme="minorHAnsi" w:hAnsiTheme="minorHAnsi" w:cstheme="minorBidi"/>
          <w:color w:val="auto"/>
          <w:sz w:val="22"/>
          <w:szCs w:val="22"/>
          <w:lang w:eastAsia="en-US"/>
        </w:rPr>
        <w:t xml:space="preserve"> to limit the amount of trauma that was being re-accessed and to create an environment that was comfortable for the victim. Depending on the victim’s age or vulnerabilities, they are entitled to have a communication assessment from a specialist to assist with the ABE. They are called Registered Intermediaries and are employed by the National Crime Agency (NCA) (College of Policing, 2022). During the ABE, the RI is invaluable, as they give a bespoke report to the SCAIDIP officer to guide their questions in ways that will provide the best evidential product. This is obtained during a pre-ABE communication assessment of the child with the RI and the interviewing officer. The RI will use unrelated, game/story-like topics to test the child’s ability to recall information and provide detail. This previously generated rapport greatly benefits the ABE itself and the child, as the RI will also be present to assist the interviewing officer to overcome communication barriers during the ABE. (</w:t>
      </w:r>
      <w:proofErr w:type="spellStart"/>
      <w:r w:rsidRPr="004925C8">
        <w:rPr>
          <w:rFonts w:asciiTheme="minorHAnsi" w:eastAsiaTheme="minorHAnsi" w:hAnsiTheme="minorHAnsi" w:cstheme="minorBidi"/>
          <w:color w:val="auto"/>
          <w:sz w:val="22"/>
          <w:szCs w:val="22"/>
          <w:lang w:eastAsia="en-US"/>
        </w:rPr>
        <w:t>Risan</w:t>
      </w:r>
      <w:proofErr w:type="spellEnd"/>
      <w:r w:rsidRPr="004925C8">
        <w:rPr>
          <w:rFonts w:asciiTheme="minorHAnsi" w:eastAsiaTheme="minorHAnsi" w:hAnsiTheme="minorHAnsi" w:cstheme="minorBidi"/>
          <w:color w:val="auto"/>
          <w:sz w:val="22"/>
          <w:szCs w:val="22"/>
          <w:lang w:eastAsia="en-US"/>
        </w:rPr>
        <w:t xml:space="preserve">, 2018). </w:t>
      </w:r>
    </w:p>
    <w:p w14:paraId="5E6C2498"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Whilst at the SARC, the victim can meet their Independent Sexual Violence Advocate (ISVA). ISVAs work independently from police and are solely invested in supporting the victim through their trauma. Due to their specialist nature and detachment from the investigation, they are best equipped to provide help with vulnerable victims and can be a source of strength to their recovery (Brooks &amp; Burman, 2016). Despite the great potential of their work, when supporting child victims, it is up to the parents to facilitate this contact as their consent is required (Bradford, 2011).</w:t>
      </w:r>
    </w:p>
    <w:p w14:paraId="75C4CA69"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 xml:space="preserve">Therefore, to effectively support my victim and investigate expeditiously, it was imperative to promptly contact the SARC to organise for an ISVA referral; apply for an RI through the NCA; </w:t>
      </w:r>
      <w:proofErr w:type="gramStart"/>
      <w:r w:rsidRPr="004925C8">
        <w:rPr>
          <w:rFonts w:asciiTheme="minorHAnsi" w:eastAsiaTheme="minorHAnsi" w:hAnsiTheme="minorHAnsi" w:cstheme="minorBidi"/>
          <w:color w:val="auto"/>
          <w:sz w:val="22"/>
          <w:szCs w:val="22"/>
          <w:lang w:eastAsia="en-US"/>
        </w:rPr>
        <w:t>and,</w:t>
      </w:r>
      <w:proofErr w:type="gramEnd"/>
      <w:r w:rsidRPr="004925C8">
        <w:rPr>
          <w:rFonts w:asciiTheme="minorHAnsi" w:eastAsiaTheme="minorHAnsi" w:hAnsiTheme="minorHAnsi" w:cstheme="minorBidi"/>
          <w:color w:val="auto"/>
          <w:sz w:val="22"/>
          <w:szCs w:val="22"/>
          <w:lang w:eastAsia="en-US"/>
        </w:rPr>
        <w:t xml:space="preserve"> find a SCAIDP officer available for a date where all persons could be present. At the time, we were </w:t>
      </w:r>
      <w:r w:rsidRPr="004925C8">
        <w:rPr>
          <w:rFonts w:asciiTheme="minorHAnsi" w:eastAsiaTheme="minorHAnsi" w:hAnsiTheme="minorHAnsi" w:cstheme="minorBidi"/>
          <w:color w:val="auto"/>
          <w:sz w:val="22"/>
          <w:szCs w:val="22"/>
          <w:lang w:eastAsia="en-US"/>
        </w:rPr>
        <w:lastRenderedPageBreak/>
        <w:t xml:space="preserve">experiencing a three week wait to establish an RI’s availability, so this request also had to be expedited. </w:t>
      </w:r>
    </w:p>
    <w:p w14:paraId="19960D44"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lang w:eastAsia="en-US"/>
        </w:rPr>
      </w:pPr>
    </w:p>
    <w:p w14:paraId="2C87AB91" w14:textId="77777777" w:rsidR="00CD271E" w:rsidRPr="004925C8" w:rsidRDefault="00CD271E" w:rsidP="00CD271E">
      <w:pPr>
        <w:overflowPunct/>
        <w:autoSpaceDE/>
        <w:autoSpaceDN/>
        <w:adjustRightInd/>
        <w:spacing w:after="160" w:line="360" w:lineRule="auto"/>
        <w:jc w:val="both"/>
        <w:textAlignment w:val="auto"/>
        <w:rPr>
          <w:rFonts w:asciiTheme="minorHAnsi" w:eastAsiaTheme="minorHAnsi" w:hAnsiTheme="minorHAnsi" w:cstheme="minorBidi"/>
          <w:b/>
          <w:bCs/>
          <w:color w:val="auto"/>
          <w:sz w:val="22"/>
          <w:szCs w:val="22"/>
          <w:lang w:eastAsia="en-US"/>
        </w:rPr>
      </w:pPr>
      <w:r w:rsidRPr="004925C8">
        <w:rPr>
          <w:rFonts w:asciiTheme="minorHAnsi" w:eastAsiaTheme="minorHAnsi" w:hAnsiTheme="minorHAnsi" w:cstheme="minorBidi"/>
          <w:b/>
          <w:bCs/>
          <w:color w:val="auto"/>
          <w:sz w:val="22"/>
          <w:szCs w:val="22"/>
          <w:lang w:eastAsia="en-US"/>
        </w:rPr>
        <w:t>Conclusion</w:t>
      </w:r>
    </w:p>
    <w:p w14:paraId="6BCDA68D"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 xml:space="preserve">In conclusion, owing to the complex nature surrounding historic allegations into the oral rape of a child with physical evidential window being closed, all fast-track decisions were of greater importance. Decisions to arrest, interview, and conditionally bail the suspect were vital towards the safeguarding the victim and other children. The arrest also enabled us to seize the suspect’s phone for examination. </w:t>
      </w:r>
    </w:p>
    <w:p w14:paraId="4B7B56FF"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 xml:space="preserve">Other medium-term actions such as arranging for the victim’s account to be obtained, still required prompt organisation due difficulties in resources across multiple agencies that were required as part of the ABE process. </w:t>
      </w:r>
    </w:p>
    <w:p w14:paraId="55C56481" w14:textId="77777777" w:rsidR="00CD271E" w:rsidRPr="004925C8" w:rsidRDefault="00CD271E" w:rsidP="00CD271E">
      <w:pPr>
        <w:overflowPunct/>
        <w:autoSpaceDE/>
        <w:autoSpaceDN/>
        <w:adjustRightInd/>
        <w:spacing w:after="160" w:line="360" w:lineRule="auto"/>
        <w:ind w:firstLine="720"/>
        <w:jc w:val="both"/>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 xml:space="preserve">When considering my own personal values and attitudes when faced with such abhorrent allegations, I successfully channelled my emotions in a focused way through cognitive reappraisal to gain the best possible account from the </w:t>
      </w:r>
      <w:proofErr w:type="gramStart"/>
      <w:r w:rsidRPr="004925C8">
        <w:rPr>
          <w:rFonts w:asciiTheme="minorHAnsi" w:eastAsiaTheme="minorHAnsi" w:hAnsiTheme="minorHAnsi" w:cstheme="minorBidi"/>
          <w:color w:val="auto"/>
          <w:sz w:val="22"/>
          <w:szCs w:val="22"/>
          <w:lang w:eastAsia="en-US"/>
        </w:rPr>
        <w:t>suspect, and</w:t>
      </w:r>
      <w:proofErr w:type="gramEnd"/>
      <w:r w:rsidRPr="004925C8">
        <w:rPr>
          <w:rFonts w:asciiTheme="minorHAnsi" w:eastAsiaTheme="minorHAnsi" w:hAnsiTheme="minorHAnsi" w:cstheme="minorBidi"/>
          <w:color w:val="auto"/>
          <w:sz w:val="22"/>
          <w:szCs w:val="22"/>
          <w:lang w:eastAsia="en-US"/>
        </w:rPr>
        <w:t xml:space="preserve"> ensure all those involved received specialist support for their varying needs.   </w:t>
      </w:r>
    </w:p>
    <w:p w14:paraId="10AD89F9" w14:textId="77777777" w:rsidR="00CD271E" w:rsidRPr="004925C8" w:rsidRDefault="00CD271E" w:rsidP="00CD271E">
      <w:pPr>
        <w:overflowPunct/>
        <w:autoSpaceDE/>
        <w:autoSpaceDN/>
        <w:adjustRightInd/>
        <w:spacing w:after="160" w:line="360" w:lineRule="auto"/>
        <w:ind w:firstLine="720"/>
        <w:jc w:val="right"/>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Words: 2190</w:t>
      </w:r>
    </w:p>
    <w:p w14:paraId="6C92D884" w14:textId="77777777" w:rsidR="00CD271E" w:rsidRPr="004925C8" w:rsidRDefault="00CD271E" w:rsidP="00CD271E">
      <w:pPr>
        <w:overflowPunct/>
        <w:autoSpaceDE/>
        <w:autoSpaceDN/>
        <w:adjustRightInd/>
        <w:spacing w:after="160" w:line="360" w:lineRule="auto"/>
        <w:ind w:firstLine="720"/>
        <w:jc w:val="right"/>
        <w:textAlignment w:val="auto"/>
        <w:rPr>
          <w:rFonts w:asciiTheme="minorHAnsi" w:eastAsiaTheme="minorHAnsi" w:hAnsiTheme="minorHAnsi" w:cstheme="minorBidi"/>
          <w:color w:val="auto"/>
          <w:sz w:val="22"/>
          <w:szCs w:val="22"/>
          <w:lang w:eastAsia="en-US"/>
        </w:rPr>
      </w:pPr>
    </w:p>
    <w:p w14:paraId="58892F98" w14:textId="77777777" w:rsidR="00CD271E" w:rsidRPr="004925C8" w:rsidRDefault="00CD271E" w:rsidP="00CD271E">
      <w:pPr>
        <w:overflowPunct/>
        <w:autoSpaceDE/>
        <w:autoSpaceDN/>
        <w:adjustRightInd/>
        <w:spacing w:after="160" w:line="360" w:lineRule="auto"/>
        <w:ind w:firstLine="720"/>
        <w:textAlignment w:val="auto"/>
        <w:rPr>
          <w:rFonts w:asciiTheme="minorHAnsi" w:eastAsiaTheme="minorHAnsi" w:hAnsiTheme="minorHAnsi" w:cstheme="minorBidi"/>
          <w:color w:val="auto"/>
          <w:sz w:val="22"/>
          <w:szCs w:val="22"/>
          <w:lang w:eastAsia="en-US"/>
        </w:rPr>
      </w:pPr>
    </w:p>
    <w:p w14:paraId="21F3CCF0" w14:textId="77777777" w:rsidR="00CD271E" w:rsidRPr="004925C8" w:rsidRDefault="00CD271E" w:rsidP="00CD271E">
      <w:pPr>
        <w:overflowPunct/>
        <w:autoSpaceDE/>
        <w:autoSpaceDN/>
        <w:adjustRightInd/>
        <w:spacing w:after="160" w:line="360" w:lineRule="auto"/>
        <w:ind w:firstLine="720"/>
        <w:textAlignment w:val="auto"/>
        <w:rPr>
          <w:rFonts w:asciiTheme="minorHAnsi" w:eastAsiaTheme="minorHAnsi" w:hAnsiTheme="minorHAnsi" w:cstheme="minorBidi"/>
          <w:color w:val="auto"/>
          <w:sz w:val="22"/>
          <w:szCs w:val="22"/>
          <w:lang w:eastAsia="en-US"/>
        </w:rPr>
      </w:pPr>
    </w:p>
    <w:p w14:paraId="2109CA30" w14:textId="77777777" w:rsidR="00CD271E" w:rsidRPr="004925C8" w:rsidRDefault="00CD271E" w:rsidP="00CD271E">
      <w:pPr>
        <w:overflowPunct/>
        <w:autoSpaceDE/>
        <w:autoSpaceDN/>
        <w:adjustRightInd/>
        <w:spacing w:after="160" w:line="360" w:lineRule="auto"/>
        <w:ind w:firstLine="720"/>
        <w:textAlignment w:val="auto"/>
        <w:rPr>
          <w:rFonts w:asciiTheme="minorHAnsi" w:eastAsiaTheme="minorHAnsi" w:hAnsiTheme="minorHAnsi" w:cstheme="minorBidi"/>
          <w:color w:val="auto"/>
          <w:sz w:val="22"/>
          <w:szCs w:val="22"/>
          <w:lang w:eastAsia="en-US"/>
        </w:rPr>
      </w:pPr>
    </w:p>
    <w:p w14:paraId="0F9E535B" w14:textId="77777777" w:rsidR="00CD271E" w:rsidRPr="004925C8" w:rsidRDefault="00CD271E" w:rsidP="00CD271E">
      <w:pPr>
        <w:overflowPunct/>
        <w:autoSpaceDE/>
        <w:autoSpaceDN/>
        <w:adjustRightInd/>
        <w:spacing w:after="160" w:line="360" w:lineRule="auto"/>
        <w:ind w:firstLine="720"/>
        <w:textAlignment w:val="auto"/>
        <w:rPr>
          <w:rFonts w:asciiTheme="minorHAnsi" w:eastAsiaTheme="minorHAnsi" w:hAnsiTheme="minorHAnsi" w:cstheme="minorBidi"/>
          <w:color w:val="auto"/>
          <w:sz w:val="22"/>
          <w:szCs w:val="22"/>
          <w:lang w:eastAsia="en-US"/>
        </w:rPr>
      </w:pPr>
    </w:p>
    <w:p w14:paraId="47F07B36" w14:textId="77777777" w:rsidR="00CD271E" w:rsidRPr="004925C8" w:rsidRDefault="00CD271E" w:rsidP="00CD271E">
      <w:pPr>
        <w:overflowPunct/>
        <w:autoSpaceDE/>
        <w:autoSpaceDN/>
        <w:adjustRightInd/>
        <w:spacing w:after="160" w:line="360" w:lineRule="auto"/>
        <w:ind w:firstLine="720"/>
        <w:textAlignment w:val="auto"/>
        <w:rPr>
          <w:rFonts w:asciiTheme="minorHAnsi" w:eastAsiaTheme="minorHAnsi" w:hAnsiTheme="minorHAnsi" w:cstheme="minorBidi"/>
          <w:color w:val="auto"/>
          <w:sz w:val="22"/>
          <w:szCs w:val="22"/>
          <w:lang w:eastAsia="en-US"/>
        </w:rPr>
      </w:pPr>
    </w:p>
    <w:p w14:paraId="6FB3A673" w14:textId="77777777" w:rsidR="00CD271E" w:rsidRPr="004925C8" w:rsidRDefault="00CD271E" w:rsidP="00CD271E">
      <w:pPr>
        <w:overflowPunct/>
        <w:autoSpaceDE/>
        <w:autoSpaceDN/>
        <w:adjustRightInd/>
        <w:spacing w:after="160" w:line="259" w:lineRule="auto"/>
        <w:textAlignment w:val="auto"/>
        <w:rPr>
          <w:rFonts w:asciiTheme="majorHAnsi" w:eastAsiaTheme="minorHAnsi" w:hAnsiTheme="majorHAnsi" w:cstheme="majorHAnsi"/>
          <w:i/>
          <w:iCs/>
          <w:color w:val="auto"/>
          <w:sz w:val="22"/>
          <w:szCs w:val="22"/>
          <w:lang w:eastAsia="en-US"/>
        </w:rPr>
      </w:pPr>
      <w:r w:rsidRPr="004925C8">
        <w:rPr>
          <w:rFonts w:asciiTheme="majorHAnsi" w:eastAsiaTheme="minorHAnsi" w:hAnsiTheme="majorHAnsi" w:cstheme="majorHAnsi"/>
          <w:b/>
          <w:bCs/>
          <w:i/>
          <w:iCs/>
          <w:color w:val="auto"/>
          <w:sz w:val="22"/>
          <w:szCs w:val="22"/>
          <w:lang w:eastAsia="en-US"/>
        </w:rPr>
        <w:t>Bibliography</w:t>
      </w:r>
      <w:r w:rsidRPr="004925C8">
        <w:rPr>
          <w:rFonts w:asciiTheme="majorHAnsi" w:eastAsiaTheme="minorHAnsi" w:hAnsiTheme="majorHAnsi" w:cstheme="majorHAnsi"/>
          <w:i/>
          <w:iCs/>
          <w:color w:val="auto"/>
          <w:sz w:val="22"/>
          <w:szCs w:val="22"/>
          <w:lang w:eastAsia="en-US"/>
        </w:rPr>
        <w:t>:</w:t>
      </w:r>
    </w:p>
    <w:p w14:paraId="5A056FD4" w14:textId="77777777" w:rsidR="00CD271E" w:rsidRPr="004925C8" w:rsidRDefault="00CD271E" w:rsidP="00CD271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DA00124" w14:textId="77777777" w:rsidR="00CD271E" w:rsidRPr="004925C8" w:rsidRDefault="00CD271E" w:rsidP="00CD271E">
      <w:pPr>
        <w:overflowPunct/>
        <w:autoSpaceDE/>
        <w:autoSpaceDN/>
        <w:adjustRightInd/>
        <w:spacing w:after="160" w:line="259" w:lineRule="auto"/>
        <w:textAlignment w:val="auto"/>
        <w:rPr>
          <w:rFonts w:asciiTheme="minorHAnsi" w:eastAsiaTheme="minorHAnsi" w:hAnsiTheme="minorHAnsi" w:cstheme="minorBidi"/>
          <w:b/>
          <w:bCs/>
          <w:color w:val="auto"/>
          <w:sz w:val="22"/>
          <w:szCs w:val="22"/>
          <w:u w:val="single"/>
          <w:lang w:eastAsia="en-US"/>
        </w:rPr>
      </w:pPr>
      <w:r w:rsidRPr="004925C8">
        <w:rPr>
          <w:rFonts w:asciiTheme="minorHAnsi" w:eastAsiaTheme="minorHAnsi" w:hAnsiTheme="minorHAnsi" w:cstheme="minorBidi"/>
          <w:b/>
          <w:bCs/>
          <w:color w:val="auto"/>
          <w:sz w:val="22"/>
          <w:szCs w:val="22"/>
          <w:u w:val="single"/>
          <w:lang w:eastAsia="en-US"/>
        </w:rPr>
        <w:t xml:space="preserve">Journals </w:t>
      </w:r>
    </w:p>
    <w:p w14:paraId="1E5895DA" w14:textId="77777777" w:rsidR="00CD271E" w:rsidRPr="004925C8" w:rsidRDefault="00CD271E" w:rsidP="00CD271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 xml:space="preserve">‌Bellis, M., Hughes, K., Hardcastle, K., Ashton, K., Ford, K., </w:t>
      </w:r>
      <w:proofErr w:type="spellStart"/>
      <w:r w:rsidRPr="004925C8">
        <w:rPr>
          <w:rFonts w:asciiTheme="minorHAnsi" w:eastAsiaTheme="minorHAnsi" w:hAnsiTheme="minorHAnsi" w:cstheme="minorBidi"/>
          <w:color w:val="auto"/>
          <w:sz w:val="22"/>
          <w:szCs w:val="22"/>
          <w:lang w:eastAsia="en-US"/>
        </w:rPr>
        <w:t>Quigg</w:t>
      </w:r>
      <w:proofErr w:type="spellEnd"/>
      <w:r w:rsidRPr="004925C8">
        <w:rPr>
          <w:rFonts w:asciiTheme="minorHAnsi" w:eastAsiaTheme="minorHAnsi" w:hAnsiTheme="minorHAnsi" w:cstheme="minorBidi"/>
          <w:color w:val="auto"/>
          <w:sz w:val="22"/>
          <w:szCs w:val="22"/>
          <w:lang w:eastAsia="en-US"/>
        </w:rPr>
        <w:t xml:space="preserve">, Z. and Davies, A. (2017). The impact of adverse childhood experiences on health service use across the life course using a retrospective cohort study. Journal of Health Services Research &amp; Policy, 22(3), pp.168–177. </w:t>
      </w:r>
    </w:p>
    <w:p w14:paraId="47798285" w14:textId="77777777" w:rsidR="00CD271E" w:rsidRPr="004925C8" w:rsidRDefault="00CD271E" w:rsidP="00CD271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lastRenderedPageBreak/>
        <w:t xml:space="preserve">Bradford, B. (2011). Voice, </w:t>
      </w:r>
      <w:proofErr w:type="gramStart"/>
      <w:r w:rsidRPr="004925C8">
        <w:rPr>
          <w:rFonts w:asciiTheme="minorHAnsi" w:eastAsiaTheme="minorHAnsi" w:hAnsiTheme="minorHAnsi" w:cstheme="minorBidi"/>
          <w:color w:val="auto"/>
          <w:sz w:val="22"/>
          <w:szCs w:val="22"/>
          <w:lang w:eastAsia="en-US"/>
        </w:rPr>
        <w:t>neutrality</w:t>
      </w:r>
      <w:proofErr w:type="gramEnd"/>
      <w:r w:rsidRPr="004925C8">
        <w:rPr>
          <w:rFonts w:asciiTheme="minorHAnsi" w:eastAsiaTheme="minorHAnsi" w:hAnsiTheme="minorHAnsi" w:cstheme="minorBidi"/>
          <w:color w:val="auto"/>
          <w:sz w:val="22"/>
          <w:szCs w:val="22"/>
          <w:lang w:eastAsia="en-US"/>
        </w:rPr>
        <w:t xml:space="preserve"> and respect: Use of Victim Support services, procedural fairness and confidence in the criminal justice system. Criminology &amp; Criminal Justice, 11(4), pp.345–366. </w:t>
      </w:r>
    </w:p>
    <w:p w14:paraId="1B90F63F" w14:textId="77777777" w:rsidR="00CD271E" w:rsidRPr="004925C8" w:rsidRDefault="00CD271E" w:rsidP="00CD271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 xml:space="preserve">Brooks, O. and Burman, M. (2016). Reporting rape: Victim perspectives on advocacy support in the criminal justice process. Criminology &amp; Criminal Justice, 17(2), pp.209–225. </w:t>
      </w:r>
    </w:p>
    <w:p w14:paraId="23437EC5" w14:textId="77777777" w:rsidR="00CD271E" w:rsidRPr="004925C8" w:rsidRDefault="00CD271E" w:rsidP="00CD271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w:t>
      </w:r>
    </w:p>
    <w:p w14:paraId="6F6301A9" w14:textId="77777777" w:rsidR="00CD271E" w:rsidRPr="004925C8" w:rsidRDefault="00CD271E" w:rsidP="00CD271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 xml:space="preserve">De Castella, K., Goldin, P., </w:t>
      </w:r>
      <w:proofErr w:type="spellStart"/>
      <w:r w:rsidRPr="004925C8">
        <w:rPr>
          <w:rFonts w:asciiTheme="minorHAnsi" w:eastAsiaTheme="minorHAnsi" w:hAnsiTheme="minorHAnsi" w:cstheme="minorBidi"/>
          <w:color w:val="auto"/>
          <w:sz w:val="22"/>
          <w:szCs w:val="22"/>
          <w:lang w:eastAsia="en-US"/>
        </w:rPr>
        <w:t>Jazaieri</w:t>
      </w:r>
      <w:proofErr w:type="spellEnd"/>
      <w:r w:rsidRPr="004925C8">
        <w:rPr>
          <w:rFonts w:asciiTheme="minorHAnsi" w:eastAsiaTheme="minorHAnsi" w:hAnsiTheme="minorHAnsi" w:cstheme="minorBidi"/>
          <w:color w:val="auto"/>
          <w:sz w:val="22"/>
          <w:szCs w:val="22"/>
          <w:lang w:eastAsia="en-US"/>
        </w:rPr>
        <w:t>, H., Ziv, M., Dweck, C.S. and Gross, J.J. (2013). Beliefs About Emotion: Links to Emotion Regulation, Well-Being, and Psychological Distress. Basic and Applied Social Psychology, 35(6), pp.497–505.</w:t>
      </w:r>
    </w:p>
    <w:p w14:paraId="4443B624" w14:textId="77777777" w:rsidR="00CD271E" w:rsidRPr="004925C8" w:rsidRDefault="00CD271E" w:rsidP="00CD271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 xml:space="preserve">De Castella, K., </w:t>
      </w:r>
      <w:proofErr w:type="spellStart"/>
      <w:r w:rsidRPr="004925C8">
        <w:rPr>
          <w:rFonts w:asciiTheme="minorHAnsi" w:eastAsiaTheme="minorHAnsi" w:hAnsiTheme="minorHAnsi" w:cstheme="minorBidi"/>
          <w:color w:val="auto"/>
          <w:sz w:val="22"/>
          <w:szCs w:val="22"/>
          <w:lang w:eastAsia="en-US"/>
        </w:rPr>
        <w:t>Platow</w:t>
      </w:r>
      <w:proofErr w:type="spellEnd"/>
      <w:r w:rsidRPr="004925C8">
        <w:rPr>
          <w:rFonts w:asciiTheme="minorHAnsi" w:eastAsiaTheme="minorHAnsi" w:hAnsiTheme="minorHAnsi" w:cstheme="minorBidi"/>
          <w:color w:val="auto"/>
          <w:sz w:val="22"/>
          <w:szCs w:val="22"/>
          <w:lang w:eastAsia="en-US"/>
        </w:rPr>
        <w:t>, M.J., Tamir, M. and Gross, J.J. (2017). Beliefs about emotion: implications for avoidance-based emotion regulation and psychological health. Cognition and Emotion, 32(4), pp.773–795.</w:t>
      </w:r>
    </w:p>
    <w:p w14:paraId="74AF65C1" w14:textId="77777777" w:rsidR="00CD271E" w:rsidRPr="004925C8" w:rsidRDefault="00CD271E" w:rsidP="00CD271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roofErr w:type="spellStart"/>
      <w:r w:rsidRPr="004925C8">
        <w:rPr>
          <w:rFonts w:asciiTheme="minorHAnsi" w:eastAsiaTheme="minorHAnsi" w:hAnsiTheme="minorHAnsi" w:cstheme="minorBidi"/>
          <w:color w:val="auto"/>
          <w:sz w:val="22"/>
          <w:szCs w:val="22"/>
          <w:lang w:eastAsia="en-US"/>
        </w:rPr>
        <w:t>Gutentag</w:t>
      </w:r>
      <w:proofErr w:type="spellEnd"/>
      <w:r w:rsidRPr="004925C8">
        <w:rPr>
          <w:rFonts w:asciiTheme="minorHAnsi" w:eastAsiaTheme="minorHAnsi" w:hAnsiTheme="minorHAnsi" w:cstheme="minorBidi"/>
          <w:color w:val="auto"/>
          <w:sz w:val="22"/>
          <w:szCs w:val="22"/>
          <w:lang w:eastAsia="en-US"/>
        </w:rPr>
        <w:t xml:space="preserve">, T., Halperin, E., </w:t>
      </w:r>
      <w:proofErr w:type="spellStart"/>
      <w:r w:rsidRPr="004925C8">
        <w:rPr>
          <w:rFonts w:asciiTheme="minorHAnsi" w:eastAsiaTheme="minorHAnsi" w:hAnsiTheme="minorHAnsi" w:cstheme="minorBidi"/>
          <w:color w:val="auto"/>
          <w:sz w:val="22"/>
          <w:szCs w:val="22"/>
          <w:lang w:eastAsia="en-US"/>
        </w:rPr>
        <w:t>Porat</w:t>
      </w:r>
      <w:proofErr w:type="spellEnd"/>
      <w:r w:rsidRPr="004925C8">
        <w:rPr>
          <w:rFonts w:asciiTheme="minorHAnsi" w:eastAsiaTheme="minorHAnsi" w:hAnsiTheme="minorHAnsi" w:cstheme="minorBidi"/>
          <w:color w:val="auto"/>
          <w:sz w:val="22"/>
          <w:szCs w:val="22"/>
          <w:lang w:eastAsia="en-US"/>
        </w:rPr>
        <w:t xml:space="preserve">, R., </w:t>
      </w:r>
      <w:proofErr w:type="spellStart"/>
      <w:r w:rsidRPr="004925C8">
        <w:rPr>
          <w:rFonts w:asciiTheme="minorHAnsi" w:eastAsiaTheme="minorHAnsi" w:hAnsiTheme="minorHAnsi" w:cstheme="minorBidi"/>
          <w:color w:val="auto"/>
          <w:sz w:val="22"/>
          <w:szCs w:val="22"/>
          <w:lang w:eastAsia="en-US"/>
        </w:rPr>
        <w:t>Bigman</w:t>
      </w:r>
      <w:proofErr w:type="spellEnd"/>
      <w:r w:rsidRPr="004925C8">
        <w:rPr>
          <w:rFonts w:asciiTheme="minorHAnsi" w:eastAsiaTheme="minorHAnsi" w:hAnsiTheme="minorHAnsi" w:cstheme="minorBidi"/>
          <w:color w:val="auto"/>
          <w:sz w:val="22"/>
          <w:szCs w:val="22"/>
          <w:lang w:eastAsia="en-US"/>
        </w:rPr>
        <w:t>, Y.E. and Tamir, M. (2016). Successful emotion regulation requires both conviction and skill: beliefs about the controllability of emotions, reappraisal, and regulation success. Cognition and Emotion, 31(6), pp.1225–1233</w:t>
      </w:r>
    </w:p>
    <w:p w14:paraId="07DFA5C9" w14:textId="77777777" w:rsidR="00CD271E" w:rsidRPr="004925C8" w:rsidRDefault="00CD271E" w:rsidP="00CD271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roofErr w:type="spellStart"/>
      <w:r w:rsidRPr="004925C8">
        <w:rPr>
          <w:rFonts w:asciiTheme="minorHAnsi" w:eastAsiaTheme="minorHAnsi" w:hAnsiTheme="minorHAnsi" w:cstheme="minorBidi"/>
          <w:color w:val="auto"/>
          <w:sz w:val="22"/>
          <w:szCs w:val="22"/>
          <w:lang w:eastAsia="en-US"/>
        </w:rPr>
        <w:t>Gutschmidt</w:t>
      </w:r>
      <w:proofErr w:type="spellEnd"/>
      <w:r w:rsidRPr="004925C8">
        <w:rPr>
          <w:rFonts w:asciiTheme="minorHAnsi" w:eastAsiaTheme="minorHAnsi" w:hAnsiTheme="minorHAnsi" w:cstheme="minorBidi"/>
          <w:color w:val="auto"/>
          <w:sz w:val="22"/>
          <w:szCs w:val="22"/>
          <w:lang w:eastAsia="en-US"/>
        </w:rPr>
        <w:t>, D. and Vera, A. (2021). Organizational culture, stress, and coping strategies in the police: an empirical investigation. Police Practice and Research, pp.1–16</w:t>
      </w:r>
    </w:p>
    <w:p w14:paraId="29E7CF7C" w14:textId="77777777" w:rsidR="00CD271E" w:rsidRDefault="00CD271E" w:rsidP="00CD271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925C8">
        <w:rPr>
          <w:rFonts w:asciiTheme="minorHAnsi" w:eastAsiaTheme="minorHAnsi" w:hAnsiTheme="minorHAnsi" w:cstheme="minorBidi"/>
          <w:color w:val="auto"/>
          <w:sz w:val="22"/>
          <w:szCs w:val="22"/>
          <w:lang w:eastAsia="en-US"/>
        </w:rPr>
        <w:t xml:space="preserve">Holt, K., Kissinger, J., </w:t>
      </w:r>
      <w:proofErr w:type="spellStart"/>
      <w:r w:rsidRPr="004925C8">
        <w:rPr>
          <w:rFonts w:asciiTheme="minorHAnsi" w:eastAsiaTheme="minorHAnsi" w:hAnsiTheme="minorHAnsi" w:cstheme="minorBidi"/>
          <w:color w:val="auto"/>
          <w:sz w:val="22"/>
          <w:szCs w:val="22"/>
          <w:lang w:eastAsia="en-US"/>
        </w:rPr>
        <w:t>Spickler</w:t>
      </w:r>
      <w:proofErr w:type="spellEnd"/>
      <w:r w:rsidRPr="004925C8">
        <w:rPr>
          <w:rFonts w:asciiTheme="minorHAnsi" w:eastAsiaTheme="minorHAnsi" w:hAnsiTheme="minorHAnsi" w:cstheme="minorBidi"/>
          <w:color w:val="auto"/>
          <w:sz w:val="22"/>
          <w:szCs w:val="22"/>
          <w:lang w:eastAsia="en-US"/>
        </w:rPr>
        <w:t>, C. and Roush, V. (2021). Pornography Use and Sexual Offending: An Examination of Perceptions of Role and Risk. International Journal of Offender Therapy and Comparative Criminology, pp.1-25</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40D81E67" w:rsidR="0FF883D4" w:rsidRDefault="5CE196A1" w:rsidP="5CE196A1">
      <w:r w:rsidRPr="5CE196A1">
        <w:rPr>
          <w:rFonts w:eastAsia="Arial"/>
          <w:b/>
          <w:bCs/>
          <w:color w:val="000000" w:themeColor="text1"/>
          <w:sz w:val="24"/>
          <w:szCs w:val="24"/>
        </w:rPr>
        <w:t xml:space="preserve">Signed: </w:t>
      </w:r>
      <w:r w:rsidR="00205E8E">
        <w:rPr>
          <w:rFonts w:eastAsia="Arial"/>
          <w:b/>
          <w:bCs/>
          <w:color w:val="000000" w:themeColor="text1"/>
          <w:sz w:val="24"/>
          <w:szCs w:val="24"/>
        </w:rPr>
        <w:t>L. Rimes</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30002489" w:rsidR="0FF883D4" w:rsidRDefault="00205E8E" w:rsidP="5CE196A1">
      <w:pPr>
        <w:ind w:left="2880" w:right="225" w:firstLine="720"/>
        <w:rPr>
          <w:b/>
          <w:bCs/>
          <w:sz w:val="24"/>
          <w:szCs w:val="24"/>
          <w:lang w:eastAsia="zh-TW"/>
        </w:rPr>
        <w:sectPr w:rsidR="0FF883D4" w:rsidSect="0022001B">
          <w:footerReference w:type="default" r:id="rId20"/>
          <w:pgSz w:w="11906" w:h="16838" w:code="9"/>
          <w:pgMar w:top="1440" w:right="1440" w:bottom="1440" w:left="1440" w:header="720" w:footer="720" w:gutter="0"/>
          <w:cols w:space="720"/>
          <w:docGrid w:linePitch="272"/>
        </w:sectPr>
      </w:pPr>
      <w:r>
        <w:rPr>
          <w:b/>
          <w:bCs/>
          <w:sz w:val="24"/>
          <w:szCs w:val="24"/>
          <w:lang w:eastAsia="zh-TW"/>
        </w:rPr>
        <w:t>18/04/23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9D9E2054"/>
    <w:lvl w:ilvl="0" w:tplc="98B61D2A">
      <w:start w:val="1"/>
      <w:numFmt w:val="decimal"/>
      <w:lvlText w:val="%1."/>
      <w:lvlJc w:val="left"/>
      <w:pPr>
        <w:ind w:left="720" w:hanging="360"/>
      </w:pPr>
    </w:lvl>
    <w:lvl w:ilvl="1" w:tplc="25F0C09A">
      <w:start w:val="1"/>
      <w:numFmt w:val="lowerLetter"/>
      <w:lvlText w:val="%2."/>
      <w:lvlJc w:val="left"/>
      <w:pPr>
        <w:ind w:left="1440" w:hanging="360"/>
      </w:pPr>
    </w:lvl>
    <w:lvl w:ilvl="2" w:tplc="79787616">
      <w:start w:val="1"/>
      <w:numFmt w:val="lowerRoman"/>
      <w:lvlText w:val="%3."/>
      <w:lvlJc w:val="right"/>
      <w:pPr>
        <w:ind w:left="2160" w:hanging="180"/>
      </w:pPr>
    </w:lvl>
    <w:lvl w:ilvl="3" w:tplc="9DFAFB72">
      <w:start w:val="1"/>
      <w:numFmt w:val="decimal"/>
      <w:lvlText w:val="%4."/>
      <w:lvlJc w:val="left"/>
      <w:pPr>
        <w:ind w:left="2880" w:hanging="360"/>
      </w:pPr>
    </w:lvl>
    <w:lvl w:ilvl="4" w:tplc="DF626BFE">
      <w:start w:val="1"/>
      <w:numFmt w:val="lowerLetter"/>
      <w:lvlText w:val="%5."/>
      <w:lvlJc w:val="left"/>
      <w:pPr>
        <w:ind w:left="3600" w:hanging="360"/>
      </w:pPr>
    </w:lvl>
    <w:lvl w:ilvl="5" w:tplc="6EFAF7C6">
      <w:start w:val="1"/>
      <w:numFmt w:val="lowerRoman"/>
      <w:lvlText w:val="%6."/>
      <w:lvlJc w:val="right"/>
      <w:pPr>
        <w:ind w:left="4320" w:hanging="180"/>
      </w:pPr>
    </w:lvl>
    <w:lvl w:ilvl="6" w:tplc="F19454A8">
      <w:start w:val="1"/>
      <w:numFmt w:val="decimal"/>
      <w:lvlText w:val="%7."/>
      <w:lvlJc w:val="left"/>
      <w:pPr>
        <w:ind w:left="5040" w:hanging="360"/>
      </w:pPr>
    </w:lvl>
    <w:lvl w:ilvl="7" w:tplc="0598D15C">
      <w:start w:val="1"/>
      <w:numFmt w:val="lowerLetter"/>
      <w:lvlText w:val="%8."/>
      <w:lvlJc w:val="left"/>
      <w:pPr>
        <w:ind w:left="5760" w:hanging="360"/>
      </w:pPr>
    </w:lvl>
    <w:lvl w:ilvl="8" w:tplc="6A3CEF40">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F2B2335A"/>
    <w:lvl w:ilvl="0" w:tplc="717E8032">
      <w:start w:val="1"/>
      <w:numFmt w:val="decimal"/>
      <w:lvlText w:val="%1."/>
      <w:lvlJc w:val="left"/>
      <w:pPr>
        <w:ind w:left="720" w:hanging="360"/>
      </w:pPr>
    </w:lvl>
    <w:lvl w:ilvl="1" w:tplc="7C36C9BA">
      <w:start w:val="1"/>
      <w:numFmt w:val="decimal"/>
      <w:lvlText w:val="%2."/>
      <w:lvlJc w:val="left"/>
      <w:pPr>
        <w:ind w:left="1440" w:hanging="360"/>
      </w:pPr>
    </w:lvl>
    <w:lvl w:ilvl="2" w:tplc="7310CEA8">
      <w:start w:val="1"/>
      <w:numFmt w:val="lowerRoman"/>
      <w:lvlText w:val="%3."/>
      <w:lvlJc w:val="right"/>
      <w:pPr>
        <w:ind w:left="2160" w:hanging="180"/>
      </w:pPr>
    </w:lvl>
    <w:lvl w:ilvl="3" w:tplc="C1882522">
      <w:start w:val="1"/>
      <w:numFmt w:val="decimal"/>
      <w:lvlText w:val="%4."/>
      <w:lvlJc w:val="left"/>
      <w:pPr>
        <w:ind w:left="2880" w:hanging="360"/>
      </w:pPr>
    </w:lvl>
    <w:lvl w:ilvl="4" w:tplc="CD0840AA">
      <w:start w:val="1"/>
      <w:numFmt w:val="lowerLetter"/>
      <w:lvlText w:val="%5."/>
      <w:lvlJc w:val="left"/>
      <w:pPr>
        <w:ind w:left="3600" w:hanging="360"/>
      </w:pPr>
    </w:lvl>
    <w:lvl w:ilvl="5" w:tplc="25D6FB24">
      <w:start w:val="1"/>
      <w:numFmt w:val="lowerRoman"/>
      <w:lvlText w:val="%6."/>
      <w:lvlJc w:val="right"/>
      <w:pPr>
        <w:ind w:left="4320" w:hanging="180"/>
      </w:pPr>
    </w:lvl>
    <w:lvl w:ilvl="6" w:tplc="614AC6C2">
      <w:start w:val="1"/>
      <w:numFmt w:val="decimal"/>
      <w:lvlText w:val="%7."/>
      <w:lvlJc w:val="left"/>
      <w:pPr>
        <w:ind w:left="5040" w:hanging="360"/>
      </w:pPr>
    </w:lvl>
    <w:lvl w:ilvl="7" w:tplc="AD10E29A">
      <w:start w:val="1"/>
      <w:numFmt w:val="lowerLetter"/>
      <w:lvlText w:val="%8."/>
      <w:lvlJc w:val="left"/>
      <w:pPr>
        <w:ind w:left="5760" w:hanging="360"/>
      </w:pPr>
    </w:lvl>
    <w:lvl w:ilvl="8" w:tplc="C9B8227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3848427">
    <w:abstractNumId w:val="47"/>
  </w:num>
  <w:num w:numId="2" w16cid:durableId="426389798">
    <w:abstractNumId w:val="10"/>
  </w:num>
  <w:num w:numId="3" w16cid:durableId="834800188">
    <w:abstractNumId w:val="1"/>
    <w:lvlOverride w:ilvl="0">
      <w:lvl w:ilvl="0">
        <w:start w:val="1"/>
        <w:numFmt w:val="bullet"/>
        <w:lvlText w:val=""/>
        <w:lvlJc w:val="left"/>
        <w:pPr>
          <w:ind w:left="720" w:hanging="360"/>
        </w:pPr>
        <w:rPr>
          <w:rFonts w:ascii="Symbol" w:hAnsi="Symbol" w:hint="default"/>
        </w:rPr>
      </w:lvl>
    </w:lvlOverride>
  </w:num>
  <w:num w:numId="4" w16cid:durableId="1787767988">
    <w:abstractNumId w:val="22"/>
  </w:num>
  <w:num w:numId="5" w16cid:durableId="2112621784">
    <w:abstractNumId w:val="44"/>
  </w:num>
  <w:num w:numId="6" w16cid:durableId="348990760">
    <w:abstractNumId w:val="46"/>
  </w:num>
  <w:num w:numId="7" w16cid:durableId="468475594">
    <w:abstractNumId w:val="34"/>
  </w:num>
  <w:num w:numId="8" w16cid:durableId="2073313482">
    <w:abstractNumId w:val="32"/>
  </w:num>
  <w:num w:numId="9" w16cid:durableId="1566330137">
    <w:abstractNumId w:val="29"/>
  </w:num>
  <w:num w:numId="10" w16cid:durableId="712580021">
    <w:abstractNumId w:val="30"/>
  </w:num>
  <w:num w:numId="11" w16cid:durableId="1616326144">
    <w:abstractNumId w:val="9"/>
  </w:num>
  <w:num w:numId="12" w16cid:durableId="1097209768">
    <w:abstractNumId w:val="33"/>
  </w:num>
  <w:num w:numId="13" w16cid:durableId="618030963">
    <w:abstractNumId w:val="17"/>
  </w:num>
  <w:num w:numId="14" w16cid:durableId="1453090060">
    <w:abstractNumId w:val="16"/>
  </w:num>
  <w:num w:numId="15" w16cid:durableId="496503134">
    <w:abstractNumId w:val="26"/>
  </w:num>
  <w:num w:numId="16" w16cid:durableId="1735422728">
    <w:abstractNumId w:val="7"/>
  </w:num>
  <w:num w:numId="17" w16cid:durableId="2112553366">
    <w:abstractNumId w:val="25"/>
  </w:num>
  <w:num w:numId="18" w16cid:durableId="978144672">
    <w:abstractNumId w:val="15"/>
  </w:num>
  <w:num w:numId="19" w16cid:durableId="1353919415">
    <w:abstractNumId w:val="13"/>
  </w:num>
  <w:num w:numId="20" w16cid:durableId="7233362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6208185">
    <w:abstractNumId w:val="23"/>
  </w:num>
  <w:num w:numId="22" w16cid:durableId="1671785921">
    <w:abstractNumId w:val="18"/>
  </w:num>
  <w:num w:numId="23" w16cid:durableId="247496093">
    <w:abstractNumId w:val="14"/>
  </w:num>
  <w:num w:numId="24" w16cid:durableId="2122794398">
    <w:abstractNumId w:val="11"/>
  </w:num>
  <w:num w:numId="25" w16cid:durableId="677855309">
    <w:abstractNumId w:val="27"/>
  </w:num>
  <w:num w:numId="26" w16cid:durableId="2045591995">
    <w:abstractNumId w:val="19"/>
  </w:num>
  <w:num w:numId="27" w16cid:durableId="251201540">
    <w:abstractNumId w:val="40"/>
  </w:num>
  <w:num w:numId="28" w16cid:durableId="1644507962">
    <w:abstractNumId w:val="35"/>
  </w:num>
  <w:num w:numId="29" w16cid:durableId="1044987298">
    <w:abstractNumId w:val="39"/>
  </w:num>
  <w:num w:numId="30" w16cid:durableId="140730044">
    <w:abstractNumId w:val="20"/>
  </w:num>
  <w:num w:numId="31" w16cid:durableId="2054688222">
    <w:abstractNumId w:val="42"/>
  </w:num>
  <w:num w:numId="32" w16cid:durableId="299727118">
    <w:abstractNumId w:val="31"/>
  </w:num>
  <w:num w:numId="33" w16cid:durableId="972708116">
    <w:abstractNumId w:val="12"/>
  </w:num>
  <w:num w:numId="34" w16cid:durableId="1404136972">
    <w:abstractNumId w:val="43"/>
  </w:num>
  <w:num w:numId="35" w16cid:durableId="439834562">
    <w:abstractNumId w:val="38"/>
  </w:num>
  <w:num w:numId="36" w16cid:durableId="1568884199">
    <w:abstractNumId w:val="4"/>
  </w:num>
  <w:num w:numId="37" w16cid:durableId="90055196">
    <w:abstractNumId w:val="45"/>
  </w:num>
  <w:num w:numId="38" w16cid:durableId="1699500900">
    <w:abstractNumId w:val="41"/>
  </w:num>
  <w:num w:numId="39" w16cid:durableId="211120358">
    <w:abstractNumId w:val="36"/>
  </w:num>
  <w:num w:numId="40" w16cid:durableId="2020426106">
    <w:abstractNumId w:val="37"/>
  </w:num>
  <w:num w:numId="41" w16cid:durableId="302390230">
    <w:abstractNumId w:val="3"/>
  </w:num>
  <w:num w:numId="42" w16cid:durableId="1111706293">
    <w:abstractNumId w:val="5"/>
  </w:num>
  <w:num w:numId="43" w16cid:durableId="2098015784">
    <w:abstractNumId w:val="24"/>
  </w:num>
  <w:num w:numId="44" w16cid:durableId="1088621313">
    <w:abstractNumId w:val="6"/>
  </w:num>
  <w:num w:numId="45" w16cid:durableId="1689520644">
    <w:abstractNumId w:val="2"/>
  </w:num>
  <w:num w:numId="46" w16cid:durableId="1380667391">
    <w:abstractNumId w:val="0"/>
  </w:num>
  <w:num w:numId="47" w16cid:durableId="132917465">
    <w:abstractNumId w:val="21"/>
  </w:num>
  <w:num w:numId="48" w16cid:durableId="689767731">
    <w:abstractNumId w:val="28"/>
  </w:num>
  <w:num w:numId="49" w16cid:durableId="410261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2"/>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05E8E"/>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06B3"/>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271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gov.uk/government/publications/voluntary-police-interview-your-right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major-investigation-and-public-protection/forced-marriage-and-honour-based-abuse" TargetMode="External"/><Relationship Id="rId2" Type="http://schemas.openxmlformats.org/officeDocument/2006/relationships/customXml" Target="../customXml/item2.xml"/><Relationship Id="rId16" Type="http://schemas.openxmlformats.org/officeDocument/2006/relationships/hyperlink" Target="https://www.college.police.uk/app/major-investigation-and-public-protection/female-genital-mutilatio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met.police.uk/SysSiteAssets/foi-media/metropolitan-police/policies/working-with-interpreters-and-translators---standard-operating-procedures" TargetMode="Externa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www.legislation.gov.uk/ukpga/1989/41/section/76/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6707</Words>
  <Characters>38771</Characters>
  <Application>Microsoft Office Word</Application>
  <DocSecurity>0</DocSecurity>
  <Lines>323</Lines>
  <Paragraphs>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Rimes,Luke swp8077</cp:lastModifiedBy>
  <cp:revision>2</cp:revision>
  <cp:lastPrinted>2014-08-26T08:55:00Z</cp:lastPrinted>
  <dcterms:created xsi:type="dcterms:W3CDTF">2023-04-18T17:37:00Z</dcterms:created>
  <dcterms:modified xsi:type="dcterms:W3CDTF">2023-04-18T17:37:00Z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2023-04-18T17:36:01Z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a35f6b05-98a2-40c9-852c-06b32a23cfd5</vt:lpwstr>
  </property>
  <property fmtid="{D5CDD505-2E9C-101B-9397-08002B2CF9AE}" pid="9" name="MSIP_Label_66cf8fe5-b7b7-4df7-b38d-1c61ac2f6639_ContentBits">
    <vt:lpwstr>0</vt:lpwstr>
  </property>
</Properties>
</file>