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9D991" w14:textId="2CCBE215" w:rsidR="007107FA" w:rsidRDefault="00EC59D5">
      <w:pPr>
        <w:rPr>
          <w:rFonts w:ascii="Arial" w:hAnsi="Arial" w:cs="Arial"/>
          <w:b/>
          <w:bCs/>
          <w:sz w:val="32"/>
          <w:szCs w:val="32"/>
        </w:rPr>
      </w:pPr>
      <w:r>
        <w:rPr>
          <w:rFonts w:ascii="Arial" w:hAnsi="Arial" w:cs="Arial"/>
          <w:b/>
          <w:bCs/>
          <w:sz w:val="32"/>
          <w:szCs w:val="32"/>
        </w:rPr>
        <w:t>MASTER OF BUSINESS ADMINISTRATION</w:t>
      </w:r>
    </w:p>
    <w:p w14:paraId="165FE64C" w14:textId="7D965732" w:rsidR="00EC59D5" w:rsidRDefault="00EC59D5" w:rsidP="00EC59D5">
      <w:pPr>
        <w:spacing w:line="360" w:lineRule="auto"/>
        <w:jc w:val="both"/>
        <w:rPr>
          <w:rFonts w:ascii="Arial" w:hAnsi="Arial" w:cs="Arial"/>
          <w:b/>
          <w:bCs/>
          <w:sz w:val="32"/>
          <w:szCs w:val="32"/>
        </w:rPr>
      </w:pPr>
      <w:r>
        <w:rPr>
          <w:rFonts w:ascii="Arial" w:hAnsi="Arial" w:cs="Arial"/>
          <w:b/>
          <w:bCs/>
          <w:sz w:val="32"/>
          <w:szCs w:val="32"/>
        </w:rPr>
        <w:t>MARKETING ENVIRONMENT ANALYSIS LCMB702</w:t>
      </w:r>
    </w:p>
    <w:p w14:paraId="5DD55E99" w14:textId="51EFE071" w:rsidR="00EC59D5" w:rsidRDefault="00EC59D5">
      <w:pPr>
        <w:rPr>
          <w:rFonts w:ascii="Arial" w:hAnsi="Arial" w:cs="Arial"/>
          <w:b/>
          <w:bCs/>
          <w:sz w:val="32"/>
          <w:szCs w:val="32"/>
        </w:rPr>
      </w:pPr>
      <w:r>
        <w:rPr>
          <w:rFonts w:ascii="Arial" w:hAnsi="Arial" w:cs="Arial"/>
          <w:b/>
          <w:bCs/>
          <w:sz w:val="32"/>
          <w:szCs w:val="32"/>
        </w:rPr>
        <w:t>TUTOR: TAONGA KAONGA SOBERE-SNITHERS</w:t>
      </w:r>
    </w:p>
    <w:p w14:paraId="7136242A" w14:textId="0525571B" w:rsidR="00EC59D5" w:rsidRDefault="00EC59D5">
      <w:pPr>
        <w:rPr>
          <w:rFonts w:ascii="Arial" w:hAnsi="Arial" w:cs="Arial"/>
          <w:b/>
          <w:bCs/>
          <w:sz w:val="32"/>
          <w:szCs w:val="32"/>
        </w:rPr>
      </w:pPr>
      <w:r>
        <w:rPr>
          <w:rFonts w:ascii="Arial" w:hAnsi="Arial" w:cs="Arial"/>
          <w:b/>
          <w:bCs/>
          <w:sz w:val="32"/>
          <w:szCs w:val="32"/>
        </w:rPr>
        <w:t>STUDENT: PETER FRANCIS</w:t>
      </w:r>
    </w:p>
    <w:p w14:paraId="7363998C" w14:textId="53837F5A" w:rsidR="00EC59D5" w:rsidRDefault="00EC59D5">
      <w:pPr>
        <w:rPr>
          <w:rFonts w:ascii="Arial" w:hAnsi="Arial" w:cs="Arial"/>
          <w:b/>
          <w:bCs/>
          <w:sz w:val="32"/>
          <w:szCs w:val="32"/>
        </w:rPr>
      </w:pPr>
      <w:r>
        <w:rPr>
          <w:rFonts w:ascii="Arial" w:hAnsi="Arial" w:cs="Arial"/>
          <w:b/>
          <w:bCs/>
          <w:sz w:val="32"/>
          <w:szCs w:val="32"/>
        </w:rPr>
        <w:t>NUMBER: 2236501</w:t>
      </w:r>
    </w:p>
    <w:p w14:paraId="4649F97E" w14:textId="1EF520BB" w:rsidR="00EC59D5" w:rsidRDefault="00EC59D5">
      <w:pPr>
        <w:rPr>
          <w:rFonts w:ascii="Arial" w:hAnsi="Arial" w:cs="Arial"/>
          <w:b/>
          <w:bCs/>
          <w:sz w:val="32"/>
          <w:szCs w:val="32"/>
        </w:rPr>
      </w:pPr>
      <w:r>
        <w:rPr>
          <w:rFonts w:ascii="Arial" w:hAnsi="Arial" w:cs="Arial"/>
          <w:b/>
          <w:bCs/>
          <w:sz w:val="32"/>
          <w:szCs w:val="32"/>
        </w:rPr>
        <w:br w:type="page"/>
      </w:r>
    </w:p>
    <w:p w14:paraId="3CF56420" w14:textId="16C4A18C" w:rsidR="00EC59D5" w:rsidRDefault="00EC59D5">
      <w:pPr>
        <w:rPr>
          <w:rFonts w:ascii="Arial" w:hAnsi="Arial" w:cs="Arial"/>
          <w:b/>
          <w:bCs/>
          <w:sz w:val="32"/>
          <w:szCs w:val="32"/>
        </w:rPr>
      </w:pPr>
      <w:r>
        <w:rPr>
          <w:rFonts w:ascii="Arial" w:hAnsi="Arial" w:cs="Arial"/>
          <w:b/>
          <w:bCs/>
          <w:sz w:val="32"/>
          <w:szCs w:val="32"/>
        </w:rPr>
        <w:lastRenderedPageBreak/>
        <w:t>MARKETING ANALYSIS ON BHP’S ADVANCEMENT TOWARDS LOWER-CARBON PRODUCTS</w:t>
      </w:r>
    </w:p>
    <w:p w14:paraId="44ECA5F7" w14:textId="53A7EA0A" w:rsidR="00EC59D5" w:rsidRDefault="00EC59D5">
      <w:pPr>
        <w:rPr>
          <w:rFonts w:ascii="Arial" w:hAnsi="Arial" w:cs="Arial"/>
          <w:b/>
          <w:bCs/>
          <w:sz w:val="24"/>
          <w:szCs w:val="24"/>
        </w:rPr>
      </w:pPr>
      <w:r>
        <w:rPr>
          <w:rFonts w:ascii="Arial" w:hAnsi="Arial" w:cs="Arial"/>
          <w:b/>
          <w:bCs/>
          <w:sz w:val="24"/>
          <w:szCs w:val="24"/>
        </w:rPr>
        <w:t>INTRODUCTION</w:t>
      </w:r>
    </w:p>
    <w:p w14:paraId="4CA86830" w14:textId="30425A33" w:rsidR="00EC59D5" w:rsidRDefault="00EC59D5" w:rsidP="00E26765">
      <w:pPr>
        <w:jc w:val="both"/>
        <w:rPr>
          <w:rFonts w:ascii="Arial" w:hAnsi="Arial" w:cs="Arial"/>
          <w:sz w:val="24"/>
          <w:szCs w:val="24"/>
        </w:rPr>
      </w:pPr>
      <w:r>
        <w:rPr>
          <w:rFonts w:ascii="Arial" w:hAnsi="Arial" w:cs="Arial"/>
          <w:sz w:val="24"/>
          <w:szCs w:val="24"/>
        </w:rPr>
        <w:t xml:space="preserve">The mining industry is under increasing pressure to reduce greenhouse gas (GHG) </w:t>
      </w:r>
      <w:r w:rsidR="00407509">
        <w:rPr>
          <w:rFonts w:ascii="Arial" w:hAnsi="Arial" w:cs="Arial"/>
          <w:sz w:val="24"/>
          <w:szCs w:val="24"/>
        </w:rPr>
        <w:t>emissions and use more sustainable business practices. According to Kotler et al. (2024, PP.115 – 117), the marketing environment uses external forces that can influence an organisation’s ability to create and deliver value to customers mining companies, environmental sustainability has become a tactical marketing issue because investors, governments, customers and society increasingly expect responsible production. The mining sector uses about 25% of the greenhouse gas emissions generated by the world’s largest companies, making decarbonisation an urgent priority (Kotler et al., 2024).</w:t>
      </w:r>
    </w:p>
    <w:p w14:paraId="7E8FA893" w14:textId="2C1D8261" w:rsidR="00407509" w:rsidRDefault="00407509" w:rsidP="00E26765">
      <w:pPr>
        <w:jc w:val="both"/>
        <w:rPr>
          <w:rFonts w:ascii="Arial" w:hAnsi="Arial" w:cs="Arial"/>
          <w:sz w:val="24"/>
          <w:szCs w:val="24"/>
        </w:rPr>
      </w:pPr>
      <w:r>
        <w:rPr>
          <w:rFonts w:ascii="Arial" w:hAnsi="Arial" w:cs="Arial"/>
          <w:sz w:val="24"/>
          <w:szCs w:val="24"/>
        </w:rPr>
        <w:t>As one of the world’s largest diversified mining companies, producing iron ore, copper, nickel and potash. These resources are essential for renewable energy technologies, electric driven vehicles low carbon infrastructure. However, BHP’s long-term competitiveness depends not only on supplying critical material minerals but also on reducing emissions surges operations of value chain (BHP, 2024).</w:t>
      </w:r>
      <w:r w:rsidR="00E26765">
        <w:rPr>
          <w:rFonts w:ascii="Arial" w:hAnsi="Arial" w:cs="Arial"/>
          <w:sz w:val="24"/>
          <w:szCs w:val="24"/>
        </w:rPr>
        <w:t xml:space="preserve"> This report details the influence of two external marketing groups on BHP’s pivot to lower carbon offerings. This analysis focuses primarily on the natural environment, while also analysing the political and legal environment because of its major influence on the company sustainability strategy.</w:t>
      </w:r>
    </w:p>
    <w:p w14:paraId="57B312F8" w14:textId="3C069EDF" w:rsidR="00E26765" w:rsidRDefault="00E26765">
      <w:pPr>
        <w:rPr>
          <w:rFonts w:ascii="Arial" w:hAnsi="Arial" w:cs="Arial"/>
          <w:b/>
          <w:bCs/>
          <w:sz w:val="24"/>
          <w:szCs w:val="24"/>
        </w:rPr>
      </w:pPr>
      <w:r>
        <w:rPr>
          <w:rFonts w:ascii="Arial" w:hAnsi="Arial" w:cs="Arial"/>
          <w:b/>
          <w:bCs/>
          <w:sz w:val="24"/>
          <w:szCs w:val="24"/>
        </w:rPr>
        <w:t>THE NATURAL ENVIRONMENT</w:t>
      </w:r>
    </w:p>
    <w:p w14:paraId="0697A467" w14:textId="3F5595B6" w:rsidR="00E26765" w:rsidRDefault="00B818D3" w:rsidP="00B818D3">
      <w:pPr>
        <w:jc w:val="both"/>
        <w:rPr>
          <w:rFonts w:ascii="Arial" w:hAnsi="Arial" w:cs="Arial"/>
          <w:sz w:val="24"/>
          <w:szCs w:val="24"/>
        </w:rPr>
      </w:pPr>
      <w:r>
        <w:rPr>
          <w:rFonts w:ascii="Arial" w:hAnsi="Arial" w:cs="Arial"/>
          <w:sz w:val="24"/>
          <w:szCs w:val="24"/>
        </w:rPr>
        <w:t>Eco</w:t>
      </w:r>
      <w:r w:rsidR="001D0902">
        <w:rPr>
          <w:rFonts w:ascii="Arial" w:hAnsi="Arial" w:cs="Arial"/>
          <w:sz w:val="24"/>
          <w:szCs w:val="24"/>
        </w:rPr>
        <w:t>logical issues are the biggest outside influence o</w:t>
      </w:r>
      <w:r>
        <w:rPr>
          <w:rFonts w:ascii="Arial" w:hAnsi="Arial" w:cs="Arial"/>
          <w:sz w:val="24"/>
          <w:szCs w:val="24"/>
        </w:rPr>
        <w:t>n</w:t>
      </w:r>
      <w:r w:rsidR="001D0902">
        <w:rPr>
          <w:rFonts w:ascii="Arial" w:hAnsi="Arial" w:cs="Arial"/>
          <w:sz w:val="24"/>
          <w:szCs w:val="24"/>
        </w:rPr>
        <w:t xml:space="preserve"> BHP’s corporate direction. According to </w:t>
      </w:r>
      <w:r w:rsidR="00E26765">
        <w:rPr>
          <w:rFonts w:ascii="Arial" w:hAnsi="Arial" w:cs="Arial"/>
          <w:sz w:val="24"/>
          <w:szCs w:val="24"/>
        </w:rPr>
        <w:t>Kotler et al. (2024) argued that climate change, l</w:t>
      </w:r>
      <w:r w:rsidR="001D0902">
        <w:rPr>
          <w:rFonts w:ascii="Arial" w:hAnsi="Arial" w:cs="Arial"/>
          <w:sz w:val="24"/>
          <w:szCs w:val="24"/>
        </w:rPr>
        <w:t>imited</w:t>
      </w:r>
      <w:r w:rsidR="00E26765">
        <w:rPr>
          <w:rFonts w:ascii="Arial" w:hAnsi="Arial" w:cs="Arial"/>
          <w:sz w:val="24"/>
          <w:szCs w:val="24"/>
        </w:rPr>
        <w:t xml:space="preserve"> resources </w:t>
      </w:r>
      <w:r w:rsidR="001D0902">
        <w:rPr>
          <w:rFonts w:ascii="Arial" w:hAnsi="Arial" w:cs="Arial"/>
          <w:sz w:val="24"/>
          <w:szCs w:val="24"/>
        </w:rPr>
        <w:t xml:space="preserve">and </w:t>
      </w:r>
      <w:r w:rsidR="00E26765">
        <w:rPr>
          <w:rFonts w:ascii="Arial" w:hAnsi="Arial" w:cs="Arial"/>
          <w:sz w:val="24"/>
          <w:szCs w:val="24"/>
        </w:rPr>
        <w:t>environmental</w:t>
      </w:r>
      <w:r w:rsidR="001D0902">
        <w:rPr>
          <w:rFonts w:ascii="Arial" w:hAnsi="Arial" w:cs="Arial"/>
          <w:sz w:val="24"/>
          <w:szCs w:val="24"/>
        </w:rPr>
        <w:t xml:space="preserve"> damage are forcing companies to adapt. Businesses </w:t>
      </w:r>
      <w:proofErr w:type="gramStart"/>
      <w:r w:rsidR="001D0902">
        <w:rPr>
          <w:rFonts w:ascii="Arial" w:hAnsi="Arial" w:cs="Arial"/>
          <w:sz w:val="24"/>
          <w:szCs w:val="24"/>
        </w:rPr>
        <w:t>have to</w:t>
      </w:r>
      <w:proofErr w:type="gramEnd"/>
      <w:r w:rsidR="001D0902">
        <w:rPr>
          <w:rFonts w:ascii="Arial" w:hAnsi="Arial" w:cs="Arial"/>
          <w:sz w:val="24"/>
          <w:szCs w:val="24"/>
        </w:rPr>
        <w:t xml:space="preserve"> answer to growing stakeholder expectations for sustainability while taking active steps to protect the planet.</w:t>
      </w:r>
    </w:p>
    <w:p w14:paraId="4D66F8D6" w14:textId="604229D8" w:rsidR="00B818D3" w:rsidRDefault="00B818D3" w:rsidP="00B818D3">
      <w:pPr>
        <w:jc w:val="both"/>
        <w:rPr>
          <w:rFonts w:ascii="Arial" w:hAnsi="Arial" w:cs="Arial"/>
          <w:sz w:val="24"/>
          <w:szCs w:val="24"/>
        </w:rPr>
      </w:pPr>
      <w:r>
        <w:rPr>
          <w:rFonts w:ascii="Arial" w:hAnsi="Arial" w:cs="Arial"/>
          <w:sz w:val="24"/>
          <w:szCs w:val="24"/>
        </w:rPr>
        <w:t>For BHP, climate change concerns both operational risks and commercial opportunities. Operations are vulnerable to rising temperatures, droughts, flooding and extreme weather events, which can interrupt production, damage buildings and can increase operating costs (IPCC, 2023). Australia, where many of BHP’s operations are located has experienced more frequent climate -related disruptions, highlighting the growing importance of environmental hardiness.</w:t>
      </w:r>
    </w:p>
    <w:p w14:paraId="79453D87" w14:textId="1B121E55" w:rsidR="00F349D6" w:rsidRDefault="002570EE" w:rsidP="00B818D3">
      <w:pPr>
        <w:jc w:val="both"/>
        <w:rPr>
          <w:rFonts w:ascii="Arial" w:hAnsi="Arial" w:cs="Arial"/>
          <w:sz w:val="24"/>
          <w:szCs w:val="24"/>
        </w:rPr>
      </w:pPr>
      <w:r>
        <w:rPr>
          <w:rFonts w:ascii="Arial" w:hAnsi="Arial" w:cs="Arial"/>
          <w:sz w:val="24"/>
          <w:szCs w:val="24"/>
        </w:rPr>
        <w:t>Environmental risks have encouraged BHP to invest greatly</w:t>
      </w:r>
      <w:r w:rsidR="00737FCF">
        <w:rPr>
          <w:rFonts w:ascii="Arial" w:hAnsi="Arial" w:cs="Arial"/>
          <w:sz w:val="24"/>
          <w:szCs w:val="24"/>
        </w:rPr>
        <w:t xml:space="preserve"> in decarbonisation initiatives. The company has committed to achieving net zero operational greenhouse gas emissions by 2050 </w:t>
      </w:r>
      <w:r w:rsidR="00D953F9">
        <w:rPr>
          <w:rFonts w:ascii="Arial" w:hAnsi="Arial" w:cs="Arial"/>
          <w:sz w:val="24"/>
          <w:szCs w:val="24"/>
        </w:rPr>
        <w:t>while</w:t>
      </w:r>
      <w:r w:rsidR="00737FCF">
        <w:rPr>
          <w:rFonts w:ascii="Arial" w:hAnsi="Arial" w:cs="Arial"/>
          <w:sz w:val="24"/>
          <w:szCs w:val="24"/>
        </w:rPr>
        <w:t xml:space="preserve"> </w:t>
      </w:r>
      <w:r w:rsidR="00D953F9">
        <w:rPr>
          <w:rFonts w:ascii="Arial" w:hAnsi="Arial" w:cs="Arial"/>
          <w:sz w:val="24"/>
          <w:szCs w:val="24"/>
        </w:rPr>
        <w:t xml:space="preserve">reducing </w:t>
      </w:r>
      <w:r w:rsidR="00776640">
        <w:rPr>
          <w:rFonts w:ascii="Arial" w:hAnsi="Arial" w:cs="Arial"/>
          <w:sz w:val="24"/>
          <w:szCs w:val="24"/>
        </w:rPr>
        <w:t>S</w:t>
      </w:r>
      <w:r w:rsidR="00737FCF">
        <w:rPr>
          <w:rFonts w:ascii="Arial" w:hAnsi="Arial" w:cs="Arial"/>
          <w:sz w:val="24"/>
          <w:szCs w:val="24"/>
        </w:rPr>
        <w:t xml:space="preserve">cope </w:t>
      </w:r>
      <w:r w:rsidR="00776640">
        <w:rPr>
          <w:rFonts w:ascii="Arial" w:hAnsi="Arial" w:cs="Arial"/>
          <w:sz w:val="24"/>
          <w:szCs w:val="24"/>
        </w:rPr>
        <w:t>1 and</w:t>
      </w:r>
      <w:r w:rsidR="00737FCF">
        <w:rPr>
          <w:rFonts w:ascii="Arial" w:hAnsi="Arial" w:cs="Arial"/>
          <w:sz w:val="24"/>
          <w:szCs w:val="24"/>
        </w:rPr>
        <w:t xml:space="preserve"> </w:t>
      </w:r>
      <w:r w:rsidR="00776640">
        <w:rPr>
          <w:rFonts w:ascii="Arial" w:hAnsi="Arial" w:cs="Arial"/>
          <w:sz w:val="24"/>
          <w:szCs w:val="24"/>
        </w:rPr>
        <w:t>S</w:t>
      </w:r>
      <w:r w:rsidR="00737FCF">
        <w:rPr>
          <w:rFonts w:ascii="Arial" w:hAnsi="Arial" w:cs="Arial"/>
          <w:sz w:val="24"/>
          <w:szCs w:val="24"/>
        </w:rPr>
        <w:t xml:space="preserve">cope </w:t>
      </w:r>
      <w:r w:rsidR="00776640">
        <w:rPr>
          <w:rFonts w:ascii="Arial" w:hAnsi="Arial" w:cs="Arial"/>
          <w:sz w:val="24"/>
          <w:szCs w:val="24"/>
        </w:rPr>
        <w:t>2</w:t>
      </w:r>
      <w:r w:rsidR="00737FCF">
        <w:rPr>
          <w:rFonts w:ascii="Arial" w:hAnsi="Arial" w:cs="Arial"/>
          <w:sz w:val="24"/>
          <w:szCs w:val="24"/>
        </w:rPr>
        <w:t xml:space="preserve"> emissions through renewable electricity, electrified mining equipment and energy efficiency improvements (BHP, 2024).</w:t>
      </w:r>
      <w:r w:rsidR="00430BB9">
        <w:rPr>
          <w:rFonts w:ascii="Arial" w:hAnsi="Arial" w:cs="Arial"/>
          <w:sz w:val="24"/>
          <w:szCs w:val="24"/>
        </w:rPr>
        <w:t xml:space="preserve"> Such initiatives demonstrate that environmental sustainability is no longer just a corporate social responsibility activity but a vital component of strateg</w:t>
      </w:r>
      <w:r w:rsidR="000930C2">
        <w:rPr>
          <w:rFonts w:ascii="Arial" w:hAnsi="Arial" w:cs="Arial"/>
          <w:sz w:val="24"/>
          <w:szCs w:val="24"/>
        </w:rPr>
        <w:t>ic</w:t>
      </w:r>
      <w:r w:rsidR="00430BB9">
        <w:rPr>
          <w:rFonts w:ascii="Arial" w:hAnsi="Arial" w:cs="Arial"/>
          <w:sz w:val="24"/>
          <w:szCs w:val="24"/>
        </w:rPr>
        <w:t xml:space="preserve"> marketing</w:t>
      </w:r>
      <w:r w:rsidR="000930C2">
        <w:rPr>
          <w:rFonts w:ascii="Arial" w:hAnsi="Arial" w:cs="Arial"/>
          <w:sz w:val="24"/>
          <w:szCs w:val="24"/>
        </w:rPr>
        <w:t>, raising brand reput</w:t>
      </w:r>
      <w:r w:rsidR="000160A6">
        <w:rPr>
          <w:rFonts w:ascii="Arial" w:hAnsi="Arial" w:cs="Arial"/>
          <w:sz w:val="24"/>
          <w:szCs w:val="24"/>
        </w:rPr>
        <w:t xml:space="preserve">ation and </w:t>
      </w:r>
      <w:r w:rsidR="00AD7B9D">
        <w:rPr>
          <w:rFonts w:ascii="Arial" w:hAnsi="Arial" w:cs="Arial"/>
          <w:sz w:val="24"/>
          <w:szCs w:val="24"/>
        </w:rPr>
        <w:t>stakeholders’</w:t>
      </w:r>
      <w:r w:rsidR="000160A6">
        <w:rPr>
          <w:rFonts w:ascii="Arial" w:hAnsi="Arial" w:cs="Arial"/>
          <w:sz w:val="24"/>
          <w:szCs w:val="24"/>
        </w:rPr>
        <w:t xml:space="preserve"> confidence</w:t>
      </w:r>
      <w:r w:rsidR="00BA528B">
        <w:rPr>
          <w:rFonts w:ascii="Arial" w:hAnsi="Arial" w:cs="Arial"/>
          <w:sz w:val="24"/>
          <w:szCs w:val="24"/>
        </w:rPr>
        <w:t>.</w:t>
      </w:r>
    </w:p>
    <w:p w14:paraId="5C990E74" w14:textId="343614E7" w:rsidR="00BA528B" w:rsidRDefault="00BA528B" w:rsidP="00B818D3">
      <w:pPr>
        <w:jc w:val="both"/>
        <w:rPr>
          <w:rFonts w:ascii="Arial" w:hAnsi="Arial" w:cs="Arial"/>
          <w:sz w:val="24"/>
          <w:szCs w:val="24"/>
        </w:rPr>
      </w:pPr>
      <w:r>
        <w:rPr>
          <w:rFonts w:ascii="Arial" w:hAnsi="Arial" w:cs="Arial"/>
          <w:sz w:val="24"/>
          <w:szCs w:val="24"/>
        </w:rPr>
        <w:lastRenderedPageBreak/>
        <w:t>The natural environment also creates market opportunities through raising global demand</w:t>
      </w:r>
      <w:r w:rsidR="00534052">
        <w:rPr>
          <w:rFonts w:ascii="Arial" w:hAnsi="Arial" w:cs="Arial"/>
          <w:sz w:val="24"/>
          <w:szCs w:val="24"/>
        </w:rPr>
        <w:t xml:space="preserve"> for minerals supporting the</w:t>
      </w:r>
      <w:r w:rsidR="00274FF8">
        <w:rPr>
          <w:rFonts w:ascii="Arial" w:hAnsi="Arial" w:cs="Arial"/>
          <w:sz w:val="24"/>
          <w:szCs w:val="24"/>
        </w:rPr>
        <w:t xml:space="preserve"> energy transition. Copper and nickel are important components of electrical vehicles, battery storage systems and renewable electricity networks (</w:t>
      </w:r>
      <w:r w:rsidR="00EE525A">
        <w:rPr>
          <w:rFonts w:ascii="Arial" w:hAnsi="Arial" w:cs="Arial"/>
          <w:sz w:val="24"/>
          <w:szCs w:val="24"/>
        </w:rPr>
        <w:t>I</w:t>
      </w:r>
      <w:r w:rsidR="00274FF8">
        <w:rPr>
          <w:rFonts w:ascii="Arial" w:hAnsi="Arial" w:cs="Arial"/>
          <w:sz w:val="24"/>
          <w:szCs w:val="24"/>
        </w:rPr>
        <w:t xml:space="preserve">nternational </w:t>
      </w:r>
      <w:r w:rsidR="00CB6815">
        <w:rPr>
          <w:rFonts w:ascii="Arial" w:hAnsi="Arial" w:cs="Arial"/>
          <w:sz w:val="24"/>
          <w:szCs w:val="24"/>
        </w:rPr>
        <w:t>E</w:t>
      </w:r>
      <w:r w:rsidR="00274FF8">
        <w:rPr>
          <w:rFonts w:ascii="Arial" w:hAnsi="Arial" w:cs="Arial"/>
          <w:sz w:val="24"/>
          <w:szCs w:val="24"/>
        </w:rPr>
        <w:t xml:space="preserve">nergy </w:t>
      </w:r>
      <w:r w:rsidR="00CB6815">
        <w:rPr>
          <w:rFonts w:ascii="Arial" w:hAnsi="Arial" w:cs="Arial"/>
          <w:sz w:val="24"/>
          <w:szCs w:val="24"/>
        </w:rPr>
        <w:t>A</w:t>
      </w:r>
      <w:r w:rsidR="00274FF8">
        <w:rPr>
          <w:rFonts w:ascii="Arial" w:hAnsi="Arial" w:cs="Arial"/>
          <w:sz w:val="24"/>
          <w:szCs w:val="24"/>
        </w:rPr>
        <w:t>gency, 2024)</w:t>
      </w:r>
      <w:r w:rsidR="00CB6815">
        <w:rPr>
          <w:rFonts w:ascii="Arial" w:hAnsi="Arial" w:cs="Arial"/>
          <w:sz w:val="24"/>
          <w:szCs w:val="24"/>
        </w:rPr>
        <w:t xml:space="preserve">. </w:t>
      </w:r>
      <w:r w:rsidR="009C3A3A">
        <w:rPr>
          <w:rFonts w:ascii="Arial" w:hAnsi="Arial" w:cs="Arial"/>
          <w:sz w:val="24"/>
          <w:szCs w:val="24"/>
        </w:rPr>
        <w:t xml:space="preserve">As governments </w:t>
      </w:r>
      <w:r w:rsidR="0048692F">
        <w:rPr>
          <w:rFonts w:ascii="Arial" w:hAnsi="Arial" w:cs="Arial"/>
          <w:sz w:val="24"/>
          <w:szCs w:val="24"/>
        </w:rPr>
        <w:t>i</w:t>
      </w:r>
      <w:r w:rsidR="00CB7760">
        <w:rPr>
          <w:rFonts w:ascii="Arial" w:hAnsi="Arial" w:cs="Arial"/>
          <w:sz w:val="24"/>
          <w:szCs w:val="24"/>
        </w:rPr>
        <w:t>ncrease investments in clean energy infrastructure, demand for these minerals is expected to raise substantially over the coming decades.</w:t>
      </w:r>
      <w:r w:rsidR="00773368">
        <w:rPr>
          <w:rFonts w:ascii="Arial" w:hAnsi="Arial" w:cs="Arial"/>
          <w:sz w:val="24"/>
          <w:szCs w:val="24"/>
        </w:rPr>
        <w:t xml:space="preserve"> T</w:t>
      </w:r>
      <w:r w:rsidR="0048692F">
        <w:rPr>
          <w:rFonts w:ascii="Arial" w:hAnsi="Arial" w:cs="Arial"/>
          <w:sz w:val="24"/>
          <w:szCs w:val="24"/>
        </w:rPr>
        <w:t xml:space="preserve">his trend </w:t>
      </w:r>
      <w:r w:rsidR="00E56CC6">
        <w:rPr>
          <w:rFonts w:ascii="Arial" w:hAnsi="Arial" w:cs="Arial"/>
          <w:sz w:val="24"/>
          <w:szCs w:val="24"/>
        </w:rPr>
        <w:t>enables BHP to</w:t>
      </w:r>
      <w:r w:rsidR="00773368">
        <w:rPr>
          <w:rFonts w:ascii="Arial" w:hAnsi="Arial" w:cs="Arial"/>
          <w:sz w:val="24"/>
          <w:szCs w:val="24"/>
        </w:rPr>
        <w:t xml:space="preserve"> position itself as a supplier of future facing commitment commodities, aligning its product portfolio with the sustainability objectives of industrial customers.</w:t>
      </w:r>
    </w:p>
    <w:p w14:paraId="7DA719BB" w14:textId="4326DC09" w:rsidR="002631F0" w:rsidRDefault="009F31D7" w:rsidP="00B818D3">
      <w:pPr>
        <w:jc w:val="both"/>
        <w:rPr>
          <w:rFonts w:ascii="Arial" w:hAnsi="Arial" w:cs="Arial"/>
          <w:sz w:val="24"/>
          <w:szCs w:val="24"/>
        </w:rPr>
      </w:pPr>
      <w:r>
        <w:rPr>
          <w:rFonts w:ascii="Arial" w:hAnsi="Arial" w:cs="Arial"/>
          <w:sz w:val="24"/>
          <w:szCs w:val="24"/>
        </w:rPr>
        <w:t>However, BHP’s environmental strategy also faces significant challenges.</w:t>
      </w:r>
      <w:r w:rsidR="00DE62FC">
        <w:rPr>
          <w:rFonts w:ascii="Arial" w:hAnsi="Arial" w:cs="Arial"/>
          <w:sz w:val="24"/>
          <w:szCs w:val="24"/>
        </w:rPr>
        <w:t xml:space="preserve"> Although the company has reduced operational emissions, </w:t>
      </w:r>
      <w:proofErr w:type="gramStart"/>
      <w:r w:rsidR="00DE62FC">
        <w:rPr>
          <w:rFonts w:ascii="Arial" w:hAnsi="Arial" w:cs="Arial"/>
          <w:sz w:val="24"/>
          <w:szCs w:val="24"/>
        </w:rPr>
        <w:t>the majority of</w:t>
      </w:r>
      <w:proofErr w:type="gramEnd"/>
      <w:r w:rsidR="00DE62FC">
        <w:rPr>
          <w:rFonts w:ascii="Arial" w:hAnsi="Arial" w:cs="Arial"/>
          <w:sz w:val="24"/>
          <w:szCs w:val="24"/>
        </w:rPr>
        <w:t xml:space="preserve"> its carbon footprint originates from Scope </w:t>
      </w:r>
      <w:r w:rsidR="00622C91">
        <w:rPr>
          <w:rFonts w:ascii="Arial" w:hAnsi="Arial" w:cs="Arial"/>
          <w:sz w:val="24"/>
          <w:szCs w:val="24"/>
        </w:rPr>
        <w:t>3</w:t>
      </w:r>
      <w:r w:rsidR="00DE62FC">
        <w:rPr>
          <w:rFonts w:ascii="Arial" w:hAnsi="Arial" w:cs="Arial"/>
          <w:sz w:val="24"/>
          <w:szCs w:val="24"/>
        </w:rPr>
        <w:t xml:space="preserve"> emissions, particula</w:t>
      </w:r>
      <w:r w:rsidR="001255AF">
        <w:rPr>
          <w:rFonts w:ascii="Arial" w:hAnsi="Arial" w:cs="Arial"/>
          <w:sz w:val="24"/>
          <w:szCs w:val="24"/>
        </w:rPr>
        <w:t>rly</w:t>
      </w:r>
      <w:r w:rsidR="00DE62FC">
        <w:rPr>
          <w:rFonts w:ascii="Arial" w:hAnsi="Arial" w:cs="Arial"/>
          <w:sz w:val="24"/>
          <w:szCs w:val="24"/>
        </w:rPr>
        <w:t xml:space="preserve"> emissions produced when customers use coal and iron ore </w:t>
      </w:r>
      <w:r w:rsidR="001255AF">
        <w:rPr>
          <w:rFonts w:ascii="Arial" w:hAnsi="Arial" w:cs="Arial"/>
          <w:sz w:val="24"/>
          <w:szCs w:val="24"/>
        </w:rPr>
        <w:t>in</w:t>
      </w:r>
      <w:r w:rsidR="00DE62FC">
        <w:rPr>
          <w:rFonts w:ascii="Arial" w:hAnsi="Arial" w:cs="Arial"/>
          <w:sz w:val="24"/>
          <w:szCs w:val="24"/>
        </w:rPr>
        <w:t xml:space="preserve"> steel making (BHP, 2024).</w:t>
      </w:r>
      <w:r w:rsidR="00EC16C0">
        <w:rPr>
          <w:rFonts w:ascii="Arial" w:hAnsi="Arial" w:cs="Arial"/>
          <w:sz w:val="24"/>
          <w:szCs w:val="24"/>
        </w:rPr>
        <w:t xml:space="preserve"> </w:t>
      </w:r>
      <w:r w:rsidR="003A555F">
        <w:rPr>
          <w:rFonts w:ascii="Arial" w:hAnsi="Arial" w:cs="Arial"/>
          <w:sz w:val="24"/>
          <w:szCs w:val="24"/>
        </w:rPr>
        <w:t>These emissions lie outside BHP</w:t>
      </w:r>
      <w:r w:rsidR="00152AFE">
        <w:rPr>
          <w:rFonts w:ascii="Arial" w:hAnsi="Arial" w:cs="Arial"/>
          <w:sz w:val="24"/>
          <w:szCs w:val="24"/>
        </w:rPr>
        <w:t>’s d</w:t>
      </w:r>
      <w:r w:rsidR="00EC16C0">
        <w:rPr>
          <w:rFonts w:ascii="Arial" w:hAnsi="Arial" w:cs="Arial"/>
          <w:sz w:val="24"/>
          <w:szCs w:val="24"/>
        </w:rPr>
        <w:t>irect operational control, making meaningful carbon reduction considerably more difficult. Critics argue that mining companies often promote sustainability initiatives while continuing to expand fossil fuel production or carbon intensive mining activities,</w:t>
      </w:r>
      <w:r w:rsidR="00C24B1C">
        <w:rPr>
          <w:rFonts w:ascii="Arial" w:hAnsi="Arial" w:cs="Arial"/>
          <w:sz w:val="24"/>
          <w:szCs w:val="24"/>
        </w:rPr>
        <w:t xml:space="preserve"> creating tensions between environmental commitments and commercial objectives (Slack, 2023).</w:t>
      </w:r>
    </w:p>
    <w:p w14:paraId="50B2D39A" w14:textId="22D3BD70" w:rsidR="00125386" w:rsidRDefault="00125386" w:rsidP="00B818D3">
      <w:pPr>
        <w:jc w:val="both"/>
        <w:rPr>
          <w:rFonts w:ascii="Arial" w:hAnsi="Arial" w:cs="Arial"/>
          <w:sz w:val="24"/>
          <w:szCs w:val="24"/>
        </w:rPr>
      </w:pPr>
      <w:r w:rsidRPr="00125386">
        <w:rPr>
          <w:rFonts w:ascii="Arial" w:hAnsi="Arial" w:cs="Arial"/>
          <w:sz w:val="24"/>
          <w:szCs w:val="24"/>
        </w:rPr>
        <w:t>Furthermore, environmental stakeholders increasingly expect mining companies to demonstrate measurable progress rather than broad sustainability commitments. Investors now evaluate companies using Environmental, Social and Governance (ESG) indicators, while institutional investors increasingly integrate climate-related risks into investment decisions (Eccles and Klimenko, 2019). Consequently, environmental performance has become a competitive marketing asset influencing capital investment, customer partnerships and corporate reputation.</w:t>
      </w:r>
    </w:p>
    <w:p w14:paraId="16F9C983" w14:textId="77777777" w:rsidR="00B419E1" w:rsidRDefault="00B419E1" w:rsidP="00B419E1">
      <w:pPr>
        <w:jc w:val="both"/>
        <w:rPr>
          <w:rFonts w:ascii="Arial" w:hAnsi="Arial" w:cs="Arial"/>
          <w:sz w:val="24"/>
          <w:szCs w:val="24"/>
        </w:rPr>
      </w:pPr>
      <w:r w:rsidRPr="00B419E1">
        <w:rPr>
          <w:rFonts w:ascii="Arial" w:hAnsi="Arial" w:cs="Arial"/>
          <w:sz w:val="24"/>
          <w:szCs w:val="24"/>
        </w:rPr>
        <w:t>Overall, the natural environment acts simultaneously as a source of operational risk, regulatory pressure and strategic opportunity. Rather than merely complying with environmental expectations, BHP has increasingly integrated sustainability into its corporate strategy by investing in lower-carbon technologies and supplying minerals that facilitate global decarbonisation. Nevertheless, the effectiveness of this strategy will depend on the company's ability to address value-chain emissions while maintaining profitability.</w:t>
      </w:r>
    </w:p>
    <w:p w14:paraId="428934AB" w14:textId="60E703EA" w:rsidR="00055A1F" w:rsidRPr="00055A1F" w:rsidRDefault="00055A1F" w:rsidP="00B419E1">
      <w:pPr>
        <w:jc w:val="both"/>
        <w:rPr>
          <w:rFonts w:ascii="Arial" w:hAnsi="Arial" w:cs="Arial"/>
          <w:b/>
          <w:bCs/>
          <w:sz w:val="24"/>
          <w:szCs w:val="24"/>
        </w:rPr>
      </w:pPr>
      <w:r>
        <w:rPr>
          <w:rFonts w:ascii="Arial" w:hAnsi="Arial" w:cs="Arial"/>
          <w:b/>
          <w:bCs/>
          <w:sz w:val="24"/>
          <w:szCs w:val="24"/>
        </w:rPr>
        <w:t>POLITICAL AND LEGAL ENVIRONMENT</w:t>
      </w:r>
    </w:p>
    <w:p w14:paraId="77F77EDE" w14:textId="77777777" w:rsidR="00055A1F" w:rsidRDefault="00055A1F" w:rsidP="00B419E1">
      <w:pPr>
        <w:jc w:val="both"/>
        <w:rPr>
          <w:rFonts w:ascii="Arial" w:hAnsi="Arial" w:cs="Arial"/>
          <w:sz w:val="24"/>
          <w:szCs w:val="24"/>
        </w:rPr>
      </w:pPr>
    </w:p>
    <w:p w14:paraId="31317ED6" w14:textId="06655195" w:rsidR="00B419E1" w:rsidRPr="00B419E1" w:rsidRDefault="00B419E1" w:rsidP="00B419E1">
      <w:pPr>
        <w:jc w:val="both"/>
        <w:rPr>
          <w:rFonts w:ascii="Arial" w:hAnsi="Arial" w:cs="Arial"/>
          <w:sz w:val="24"/>
          <w:szCs w:val="24"/>
        </w:rPr>
      </w:pPr>
      <w:r w:rsidRPr="00B419E1">
        <w:rPr>
          <w:rFonts w:ascii="Arial" w:hAnsi="Arial" w:cs="Arial"/>
          <w:sz w:val="24"/>
          <w:szCs w:val="24"/>
        </w:rPr>
        <w:t>Alongside environmental pressures, the political and legal environment significantly influences BHP's transition towards lower-carbon products. Governments worldwide have introduced increasingly stringent environmental legislation, carbon reduction targets and sustainability reporting requirements, fundamentally changing how mining organisations operate.</w:t>
      </w:r>
    </w:p>
    <w:p w14:paraId="52DB95C8" w14:textId="77777777" w:rsidR="00B419E1" w:rsidRPr="00B419E1" w:rsidRDefault="00B419E1" w:rsidP="00B419E1">
      <w:pPr>
        <w:jc w:val="both"/>
        <w:rPr>
          <w:rFonts w:ascii="Arial" w:hAnsi="Arial" w:cs="Arial"/>
          <w:sz w:val="24"/>
          <w:szCs w:val="24"/>
        </w:rPr>
      </w:pPr>
      <w:r w:rsidRPr="00B419E1">
        <w:rPr>
          <w:rFonts w:ascii="Arial" w:hAnsi="Arial" w:cs="Arial"/>
          <w:sz w:val="24"/>
          <w:szCs w:val="24"/>
        </w:rPr>
        <w:t xml:space="preserve">Australia's commitment to achieving net-zero emissions by 2050, together with expanding climate disclosure requirements, has encouraged mining companies to strengthen emissions management and environmental reporting (Australian Government, 2024). Similarly, international initiatives such as the Paris Agreement </w:t>
      </w:r>
      <w:r w:rsidRPr="00B419E1">
        <w:rPr>
          <w:rFonts w:ascii="Arial" w:hAnsi="Arial" w:cs="Arial"/>
          <w:sz w:val="24"/>
          <w:szCs w:val="24"/>
        </w:rPr>
        <w:lastRenderedPageBreak/>
        <w:t>continue to influence national climate policies, encouraging organisations to invest in cleaner production technologies and renewable energy solutions.</w:t>
      </w:r>
    </w:p>
    <w:p w14:paraId="5275C970" w14:textId="4D0E02C8" w:rsidR="00B419E1" w:rsidRDefault="00B419E1" w:rsidP="00B419E1">
      <w:pPr>
        <w:jc w:val="both"/>
        <w:rPr>
          <w:rFonts w:ascii="Arial" w:hAnsi="Arial" w:cs="Arial"/>
          <w:sz w:val="24"/>
          <w:szCs w:val="24"/>
        </w:rPr>
      </w:pPr>
      <w:r w:rsidRPr="00B419E1">
        <w:rPr>
          <w:rFonts w:ascii="Arial" w:hAnsi="Arial" w:cs="Arial"/>
          <w:sz w:val="24"/>
          <w:szCs w:val="24"/>
        </w:rPr>
        <w:t>Government regulation directly affects BHP's investment decisions. Carbon pricing mechanisms, environmental licensing requirements and emissions standards increase the financial costs associated with carbon-intensive production while creating incentives for cleaner technologies. As Porter and van der Linde (1995) argue, appropriately designed environmental regulation can stimulate innovation rather than simply increasing compliance costs. BHP's investments in electric mining vehicles, renewable electricity procurement and low-carbon steelmaking partnerships illustrate how regulatory pressure can encourage technological innovation.</w:t>
      </w:r>
    </w:p>
    <w:p w14:paraId="04CC70AE" w14:textId="29865F8D" w:rsidR="00172143" w:rsidRDefault="00F81310" w:rsidP="00B419E1">
      <w:pPr>
        <w:jc w:val="both"/>
        <w:rPr>
          <w:rFonts w:ascii="Arial" w:hAnsi="Arial" w:cs="Arial"/>
          <w:sz w:val="24"/>
          <w:szCs w:val="24"/>
        </w:rPr>
      </w:pPr>
      <w:r>
        <w:rPr>
          <w:rFonts w:ascii="Arial" w:hAnsi="Arial" w:cs="Arial"/>
          <w:sz w:val="24"/>
          <w:szCs w:val="24"/>
        </w:rPr>
        <w:t xml:space="preserve">The </w:t>
      </w:r>
      <w:r w:rsidR="00214679">
        <w:rPr>
          <w:rFonts w:ascii="Arial" w:hAnsi="Arial" w:cs="Arial"/>
          <w:sz w:val="24"/>
          <w:szCs w:val="24"/>
        </w:rPr>
        <w:t xml:space="preserve">political </w:t>
      </w:r>
      <w:r>
        <w:rPr>
          <w:rFonts w:ascii="Arial" w:hAnsi="Arial" w:cs="Arial"/>
          <w:sz w:val="24"/>
          <w:szCs w:val="24"/>
        </w:rPr>
        <w:t xml:space="preserve">environment also </w:t>
      </w:r>
      <w:r w:rsidR="00B75240">
        <w:rPr>
          <w:rFonts w:ascii="Arial" w:hAnsi="Arial" w:cs="Arial"/>
          <w:sz w:val="24"/>
          <w:szCs w:val="24"/>
        </w:rPr>
        <w:t xml:space="preserve">helps to maintain or expand </w:t>
      </w:r>
      <w:r w:rsidR="00143F33">
        <w:rPr>
          <w:rFonts w:ascii="Arial" w:hAnsi="Arial" w:cs="Arial"/>
          <w:sz w:val="24"/>
          <w:szCs w:val="24"/>
        </w:rPr>
        <w:t>BHP’s</w:t>
      </w:r>
      <w:r w:rsidR="00B75240">
        <w:rPr>
          <w:rFonts w:ascii="Arial" w:hAnsi="Arial" w:cs="Arial"/>
          <w:sz w:val="24"/>
          <w:szCs w:val="24"/>
        </w:rPr>
        <w:t xml:space="preserve"> market share</w:t>
      </w:r>
      <w:r w:rsidR="00B275F4">
        <w:rPr>
          <w:rFonts w:ascii="Arial" w:hAnsi="Arial" w:cs="Arial"/>
          <w:sz w:val="24"/>
          <w:szCs w:val="24"/>
        </w:rPr>
        <w:t xml:space="preserve"> in foreign markets</w:t>
      </w:r>
      <w:r w:rsidR="00143F33">
        <w:rPr>
          <w:rFonts w:ascii="Arial" w:hAnsi="Arial" w:cs="Arial"/>
          <w:sz w:val="24"/>
          <w:szCs w:val="24"/>
        </w:rPr>
        <w:t xml:space="preserve"> while fending </w:t>
      </w:r>
      <w:r w:rsidR="006C3E2A">
        <w:rPr>
          <w:rFonts w:ascii="Arial" w:hAnsi="Arial" w:cs="Arial"/>
          <w:sz w:val="24"/>
          <w:szCs w:val="24"/>
        </w:rPr>
        <w:t>off overseas rivals in the domestic market</w:t>
      </w:r>
      <w:r w:rsidR="007728D3">
        <w:rPr>
          <w:rFonts w:ascii="Arial" w:hAnsi="Arial" w:cs="Arial"/>
          <w:sz w:val="24"/>
          <w:szCs w:val="24"/>
        </w:rPr>
        <w:t xml:space="preserve">. </w:t>
      </w:r>
      <w:r w:rsidR="00C75C20">
        <w:rPr>
          <w:rFonts w:ascii="Arial" w:hAnsi="Arial" w:cs="Arial"/>
          <w:sz w:val="24"/>
          <w:szCs w:val="24"/>
        </w:rPr>
        <w:t>Governments</w:t>
      </w:r>
      <w:r w:rsidR="008F7365">
        <w:rPr>
          <w:rFonts w:ascii="Arial" w:hAnsi="Arial" w:cs="Arial"/>
          <w:sz w:val="24"/>
          <w:szCs w:val="24"/>
        </w:rPr>
        <w:t xml:space="preserve"> i</w:t>
      </w:r>
      <w:r w:rsidR="007728D3">
        <w:rPr>
          <w:rFonts w:ascii="Arial" w:hAnsi="Arial" w:cs="Arial"/>
          <w:sz w:val="24"/>
          <w:szCs w:val="24"/>
        </w:rPr>
        <w:t>ncreasingly support critical mineral supply chain</w:t>
      </w:r>
      <w:r w:rsidR="008F7365">
        <w:rPr>
          <w:rFonts w:ascii="Arial" w:hAnsi="Arial" w:cs="Arial"/>
          <w:sz w:val="24"/>
          <w:szCs w:val="24"/>
        </w:rPr>
        <w:t>s</w:t>
      </w:r>
      <w:r w:rsidR="007728D3">
        <w:rPr>
          <w:rFonts w:ascii="Arial" w:hAnsi="Arial" w:cs="Arial"/>
          <w:sz w:val="24"/>
          <w:szCs w:val="24"/>
        </w:rPr>
        <w:t xml:space="preserve"> </w:t>
      </w:r>
      <w:r w:rsidR="008F7365">
        <w:rPr>
          <w:rFonts w:ascii="Arial" w:hAnsi="Arial" w:cs="Arial"/>
          <w:sz w:val="24"/>
          <w:szCs w:val="24"/>
        </w:rPr>
        <w:t>through</w:t>
      </w:r>
      <w:r w:rsidR="007728D3">
        <w:rPr>
          <w:rFonts w:ascii="Arial" w:hAnsi="Arial" w:cs="Arial"/>
          <w:sz w:val="24"/>
          <w:szCs w:val="24"/>
        </w:rPr>
        <w:t xml:space="preserve"> industrial policies</w:t>
      </w:r>
      <w:r w:rsidR="00D67F94">
        <w:rPr>
          <w:rFonts w:ascii="Arial" w:hAnsi="Arial" w:cs="Arial"/>
          <w:sz w:val="24"/>
          <w:szCs w:val="24"/>
        </w:rPr>
        <w:t xml:space="preserve"> designed to strengthen energy security and reduce dependence on high carbon imports (</w:t>
      </w:r>
      <w:r w:rsidR="0087066B">
        <w:rPr>
          <w:rFonts w:ascii="Arial" w:hAnsi="Arial" w:cs="Arial"/>
          <w:sz w:val="24"/>
          <w:szCs w:val="24"/>
        </w:rPr>
        <w:t>I</w:t>
      </w:r>
      <w:r w:rsidR="00D67F94">
        <w:rPr>
          <w:rFonts w:ascii="Arial" w:hAnsi="Arial" w:cs="Arial"/>
          <w:sz w:val="24"/>
          <w:szCs w:val="24"/>
        </w:rPr>
        <w:t xml:space="preserve">nternational </w:t>
      </w:r>
      <w:r w:rsidR="0087066B">
        <w:rPr>
          <w:rFonts w:ascii="Arial" w:hAnsi="Arial" w:cs="Arial"/>
          <w:sz w:val="24"/>
          <w:szCs w:val="24"/>
        </w:rPr>
        <w:t>E</w:t>
      </w:r>
      <w:r w:rsidR="00D67F94">
        <w:rPr>
          <w:rFonts w:ascii="Arial" w:hAnsi="Arial" w:cs="Arial"/>
          <w:sz w:val="24"/>
          <w:szCs w:val="24"/>
        </w:rPr>
        <w:t xml:space="preserve">nergy </w:t>
      </w:r>
      <w:r w:rsidR="0087066B">
        <w:rPr>
          <w:rFonts w:ascii="Arial" w:hAnsi="Arial" w:cs="Arial"/>
          <w:sz w:val="24"/>
          <w:szCs w:val="24"/>
        </w:rPr>
        <w:t>A</w:t>
      </w:r>
      <w:r w:rsidR="00D67F94">
        <w:rPr>
          <w:rFonts w:ascii="Arial" w:hAnsi="Arial" w:cs="Arial"/>
          <w:sz w:val="24"/>
          <w:szCs w:val="24"/>
        </w:rPr>
        <w:t>gency, 2024). Because BHP also produce copper and nickel, it is well positioned to benefit from public investment supporting renewable energy technologies and electrical vehicle manufacturing.</w:t>
      </w:r>
    </w:p>
    <w:p w14:paraId="66497A24" w14:textId="3E0F6164" w:rsidR="00EE111E" w:rsidRDefault="00C41ACC" w:rsidP="00B419E1">
      <w:pPr>
        <w:jc w:val="both"/>
        <w:rPr>
          <w:rFonts w:ascii="Arial" w:hAnsi="Arial" w:cs="Arial"/>
          <w:sz w:val="24"/>
          <w:szCs w:val="24"/>
        </w:rPr>
      </w:pPr>
      <w:r>
        <w:rPr>
          <w:rFonts w:ascii="Arial" w:hAnsi="Arial" w:cs="Arial"/>
          <w:sz w:val="24"/>
          <w:szCs w:val="24"/>
        </w:rPr>
        <w:t xml:space="preserve">However, regulatory </w:t>
      </w:r>
      <w:r w:rsidR="007918A2">
        <w:rPr>
          <w:rFonts w:ascii="Arial" w:hAnsi="Arial" w:cs="Arial"/>
          <w:sz w:val="24"/>
          <w:szCs w:val="24"/>
        </w:rPr>
        <w:t>un</w:t>
      </w:r>
      <w:r>
        <w:rPr>
          <w:rFonts w:ascii="Arial" w:hAnsi="Arial" w:cs="Arial"/>
          <w:sz w:val="24"/>
          <w:szCs w:val="24"/>
        </w:rPr>
        <w:t>certainty prevents ongoing challenges. Environmental policies differ considerably between countries where BHP operates, increasing compliance complexity and investment risk. Frequent policy changes may delay long-term capital investments</w:t>
      </w:r>
      <w:r w:rsidR="006355B5">
        <w:rPr>
          <w:rFonts w:ascii="Arial" w:hAnsi="Arial" w:cs="Arial"/>
          <w:sz w:val="24"/>
          <w:szCs w:val="24"/>
        </w:rPr>
        <w:t xml:space="preserve"> because mining projects require substantial financial commitments extending over several decades. </w:t>
      </w:r>
      <w:r w:rsidR="00F70F3D">
        <w:rPr>
          <w:rFonts w:ascii="Arial" w:hAnsi="Arial" w:cs="Arial"/>
          <w:sz w:val="24"/>
          <w:szCs w:val="24"/>
        </w:rPr>
        <w:t>Consequently,</w:t>
      </w:r>
      <w:r w:rsidR="006355B5">
        <w:rPr>
          <w:rFonts w:ascii="Arial" w:hAnsi="Arial" w:cs="Arial"/>
          <w:sz w:val="24"/>
          <w:szCs w:val="24"/>
        </w:rPr>
        <w:t xml:space="preserve"> BHP must balance regulatory compliance with commercial flexibility while maintaining shareholder value.</w:t>
      </w:r>
    </w:p>
    <w:p w14:paraId="536B1F4E" w14:textId="7782FF95" w:rsidR="006355B5" w:rsidRDefault="00360A5F" w:rsidP="00B419E1">
      <w:pPr>
        <w:jc w:val="both"/>
        <w:rPr>
          <w:rFonts w:ascii="Arial" w:hAnsi="Arial" w:cs="Arial"/>
          <w:sz w:val="24"/>
          <w:szCs w:val="24"/>
        </w:rPr>
      </w:pPr>
      <w:r>
        <w:rPr>
          <w:rFonts w:ascii="Arial" w:hAnsi="Arial" w:cs="Arial"/>
          <w:sz w:val="24"/>
          <w:szCs w:val="24"/>
        </w:rPr>
        <w:t>From a m</w:t>
      </w:r>
      <w:r w:rsidR="00A271CD">
        <w:rPr>
          <w:rFonts w:ascii="Arial" w:hAnsi="Arial" w:cs="Arial"/>
          <w:sz w:val="24"/>
          <w:szCs w:val="24"/>
        </w:rPr>
        <w:t>arketing perspective, strong regulatory compliance enhances stakeholder trust and corporate legitimacy. Customers increasingly prefer suppliers capable of demonstrating transparent environmental reporting a</w:t>
      </w:r>
      <w:r w:rsidR="00274127">
        <w:rPr>
          <w:rFonts w:ascii="Arial" w:hAnsi="Arial" w:cs="Arial"/>
          <w:sz w:val="24"/>
          <w:szCs w:val="24"/>
        </w:rPr>
        <w:t>nd</w:t>
      </w:r>
      <w:r w:rsidR="00A271CD">
        <w:rPr>
          <w:rFonts w:ascii="Arial" w:hAnsi="Arial" w:cs="Arial"/>
          <w:sz w:val="24"/>
          <w:szCs w:val="24"/>
        </w:rPr>
        <w:t xml:space="preserve"> responsible production practices. Therefore, effective responses to political and legal </w:t>
      </w:r>
      <w:r w:rsidR="005125DA">
        <w:rPr>
          <w:rFonts w:ascii="Arial" w:hAnsi="Arial" w:cs="Arial"/>
          <w:sz w:val="24"/>
          <w:szCs w:val="24"/>
        </w:rPr>
        <w:t>pressures</w:t>
      </w:r>
      <w:r w:rsidR="00A271CD">
        <w:rPr>
          <w:rFonts w:ascii="Arial" w:hAnsi="Arial" w:cs="Arial"/>
          <w:sz w:val="24"/>
          <w:szCs w:val="24"/>
        </w:rPr>
        <w:t xml:space="preserve"> strengthen BHP’s reputation while supporting access to environmentally conscious customers and investors.</w:t>
      </w:r>
    </w:p>
    <w:p w14:paraId="4D91BF6C" w14:textId="00828113" w:rsidR="00C73765" w:rsidRDefault="00AA566C" w:rsidP="00B419E1">
      <w:pPr>
        <w:jc w:val="both"/>
        <w:rPr>
          <w:rFonts w:ascii="Arial" w:hAnsi="Arial" w:cs="Arial"/>
          <w:b/>
          <w:bCs/>
          <w:sz w:val="32"/>
          <w:szCs w:val="32"/>
        </w:rPr>
      </w:pPr>
      <w:r>
        <w:rPr>
          <w:rFonts w:ascii="Arial" w:hAnsi="Arial" w:cs="Arial"/>
          <w:b/>
          <w:bCs/>
          <w:sz w:val="32"/>
          <w:szCs w:val="32"/>
        </w:rPr>
        <w:t>STRATEGIC GROWTH AND COMPETITIVE POSITIONING</w:t>
      </w:r>
    </w:p>
    <w:p w14:paraId="38081DF4" w14:textId="28C67C0A" w:rsidR="00340D88" w:rsidRDefault="00100628" w:rsidP="00B419E1">
      <w:pPr>
        <w:jc w:val="both"/>
        <w:rPr>
          <w:rFonts w:ascii="Arial" w:hAnsi="Arial" w:cs="Arial"/>
          <w:sz w:val="24"/>
          <w:szCs w:val="24"/>
        </w:rPr>
      </w:pPr>
      <w:r>
        <w:rPr>
          <w:rFonts w:ascii="Arial" w:hAnsi="Arial" w:cs="Arial"/>
          <w:sz w:val="24"/>
          <w:szCs w:val="24"/>
        </w:rPr>
        <w:t>T</w:t>
      </w:r>
      <w:r w:rsidR="002C4F42">
        <w:rPr>
          <w:rFonts w:ascii="Arial" w:hAnsi="Arial" w:cs="Arial"/>
          <w:sz w:val="24"/>
          <w:szCs w:val="24"/>
        </w:rPr>
        <w:t>he previous</w:t>
      </w:r>
      <w:r w:rsidR="00B65499">
        <w:rPr>
          <w:rFonts w:ascii="Arial" w:hAnsi="Arial" w:cs="Arial"/>
          <w:sz w:val="24"/>
          <w:szCs w:val="24"/>
        </w:rPr>
        <w:t xml:space="preserve"> marketing environment analysis demonstrated that the natural environment and political and legal environment are key external marketing actors influencing BHP’s transition towards lower carbon products. Growing climate concerns, strict environmental regulation</w:t>
      </w:r>
      <w:r w:rsidR="009E5DCB">
        <w:rPr>
          <w:rFonts w:ascii="Arial" w:hAnsi="Arial" w:cs="Arial"/>
          <w:sz w:val="24"/>
          <w:szCs w:val="24"/>
        </w:rPr>
        <w:t xml:space="preserve"> and increasing demand for sustainable minerals required BHP to adopt a growth strategy that not only can improve financial performance but also strengthens its competitive position within the global mining industry. According </w:t>
      </w:r>
      <w:r w:rsidR="00F75D67">
        <w:rPr>
          <w:rFonts w:ascii="Arial" w:hAnsi="Arial" w:cs="Arial"/>
          <w:sz w:val="24"/>
          <w:szCs w:val="24"/>
        </w:rPr>
        <w:t xml:space="preserve">to Ansoff </w:t>
      </w:r>
      <w:r w:rsidR="009E5DCB">
        <w:rPr>
          <w:rFonts w:ascii="Arial" w:hAnsi="Arial" w:cs="Arial"/>
          <w:sz w:val="24"/>
          <w:szCs w:val="24"/>
        </w:rPr>
        <w:t>(1957),</w:t>
      </w:r>
      <w:r w:rsidR="00607831">
        <w:rPr>
          <w:rFonts w:ascii="Arial" w:hAnsi="Arial" w:cs="Arial"/>
          <w:sz w:val="24"/>
          <w:szCs w:val="24"/>
        </w:rPr>
        <w:t xml:space="preserve"> organisations can achieve growth through four strategic options</w:t>
      </w:r>
      <w:r w:rsidR="00E229F3">
        <w:rPr>
          <w:rFonts w:ascii="Arial" w:hAnsi="Arial" w:cs="Arial"/>
          <w:sz w:val="24"/>
          <w:szCs w:val="24"/>
        </w:rPr>
        <w:t>:</w:t>
      </w:r>
      <w:r w:rsidR="00607831">
        <w:rPr>
          <w:rFonts w:ascii="Arial" w:hAnsi="Arial" w:cs="Arial"/>
          <w:sz w:val="24"/>
          <w:szCs w:val="24"/>
        </w:rPr>
        <w:t xml:space="preserve"> market penetration</w:t>
      </w:r>
      <w:r w:rsidR="00E229F3">
        <w:rPr>
          <w:rFonts w:ascii="Arial" w:hAnsi="Arial" w:cs="Arial"/>
          <w:sz w:val="24"/>
          <w:szCs w:val="24"/>
        </w:rPr>
        <w:t>,</w:t>
      </w:r>
      <w:r w:rsidR="00607831">
        <w:rPr>
          <w:rFonts w:ascii="Arial" w:hAnsi="Arial" w:cs="Arial"/>
          <w:sz w:val="24"/>
          <w:szCs w:val="24"/>
        </w:rPr>
        <w:t xml:space="preserve"> market development</w:t>
      </w:r>
      <w:r w:rsidR="00B43D97">
        <w:rPr>
          <w:rFonts w:ascii="Arial" w:hAnsi="Arial" w:cs="Arial"/>
          <w:sz w:val="24"/>
          <w:szCs w:val="24"/>
        </w:rPr>
        <w:t>,</w:t>
      </w:r>
      <w:r w:rsidR="00607831">
        <w:rPr>
          <w:rFonts w:ascii="Arial" w:hAnsi="Arial" w:cs="Arial"/>
          <w:sz w:val="24"/>
          <w:szCs w:val="24"/>
        </w:rPr>
        <w:t xml:space="preserve"> product development and diversification. Considering BHP’s existing capabilities, resource base and sustainability objectives, product development represents the most appropriate strategic growth approach. This strategy enables BHP to introduce lower carbon products and technologies to </w:t>
      </w:r>
      <w:r w:rsidR="00B1524F">
        <w:rPr>
          <w:rFonts w:ascii="Arial" w:hAnsi="Arial" w:cs="Arial"/>
          <w:sz w:val="24"/>
          <w:szCs w:val="24"/>
        </w:rPr>
        <w:t>its e</w:t>
      </w:r>
      <w:r w:rsidR="00987ACF">
        <w:rPr>
          <w:rFonts w:ascii="Arial" w:hAnsi="Arial" w:cs="Arial"/>
          <w:sz w:val="24"/>
          <w:szCs w:val="24"/>
        </w:rPr>
        <w:t>xisting</w:t>
      </w:r>
      <w:r>
        <w:rPr>
          <w:rFonts w:ascii="Arial" w:hAnsi="Arial" w:cs="Arial"/>
          <w:sz w:val="24"/>
          <w:szCs w:val="24"/>
        </w:rPr>
        <w:t xml:space="preserve"> industrial customers while reinforcing its competitive advantage through innovation, sustainability and operational efficiency.</w:t>
      </w:r>
    </w:p>
    <w:p w14:paraId="755889E6" w14:textId="04FD5243" w:rsidR="004752D6" w:rsidRDefault="004752D6" w:rsidP="00B419E1">
      <w:pPr>
        <w:jc w:val="both"/>
        <w:rPr>
          <w:rFonts w:ascii="Arial" w:hAnsi="Arial" w:cs="Arial"/>
          <w:b/>
          <w:bCs/>
          <w:sz w:val="24"/>
          <w:szCs w:val="24"/>
        </w:rPr>
      </w:pPr>
      <w:r>
        <w:rPr>
          <w:rFonts w:ascii="Arial" w:hAnsi="Arial" w:cs="Arial"/>
          <w:b/>
          <w:bCs/>
          <w:sz w:val="24"/>
          <w:szCs w:val="24"/>
        </w:rPr>
        <w:lastRenderedPageBreak/>
        <w:t>APPLICATION OF THE ANSOFF</w:t>
      </w:r>
      <w:r w:rsidR="00AE0CA4">
        <w:rPr>
          <w:rFonts w:ascii="Arial" w:hAnsi="Arial" w:cs="Arial"/>
          <w:b/>
          <w:bCs/>
          <w:sz w:val="24"/>
          <w:szCs w:val="24"/>
        </w:rPr>
        <w:t xml:space="preserve"> MATRIX</w:t>
      </w:r>
    </w:p>
    <w:p w14:paraId="5E8FBAFF" w14:textId="77777777" w:rsidR="00AA41AC" w:rsidRPr="00AA41AC" w:rsidRDefault="00AA41AC" w:rsidP="00AA41AC">
      <w:pPr>
        <w:jc w:val="both"/>
        <w:rPr>
          <w:rFonts w:ascii="Arial" w:hAnsi="Arial" w:cs="Arial"/>
          <w:sz w:val="24"/>
          <w:szCs w:val="24"/>
        </w:rPr>
      </w:pPr>
      <w:r w:rsidRPr="00AA41AC">
        <w:rPr>
          <w:rFonts w:ascii="Arial" w:hAnsi="Arial" w:cs="Arial"/>
          <w:sz w:val="24"/>
          <w:szCs w:val="24"/>
        </w:rPr>
        <w:t>The Ansoff Matrix identifies four possible growth strategies depending on whether organisations target existing or new products and markets (Ansoff, 1957).</w:t>
      </w:r>
    </w:p>
    <w:p w14:paraId="5DA33747" w14:textId="77777777" w:rsidR="001B0735" w:rsidRDefault="001B0735" w:rsidP="00AA41AC">
      <w:pPr>
        <w:jc w:val="both"/>
        <w:rPr>
          <w:rFonts w:ascii="Arial" w:hAnsi="Arial" w:cs="Arial"/>
          <w:sz w:val="24"/>
          <w:szCs w:val="24"/>
        </w:rPr>
      </w:pPr>
    </w:p>
    <w:p w14:paraId="4B05AD1D" w14:textId="1112874A" w:rsidR="00AA41AC" w:rsidRPr="00AA41AC" w:rsidRDefault="00CD0CFB" w:rsidP="00AA41AC">
      <w:pPr>
        <w:jc w:val="both"/>
        <w:rPr>
          <w:rFonts w:ascii="Arial" w:hAnsi="Arial" w:cs="Arial"/>
          <w:sz w:val="24"/>
          <w:szCs w:val="24"/>
        </w:rPr>
      </w:pPr>
      <w:r>
        <w:rPr>
          <w:rFonts w:ascii="Arial" w:hAnsi="Arial" w:cs="Arial"/>
          <w:b/>
          <w:bCs/>
          <w:sz w:val="24"/>
          <w:szCs w:val="24"/>
        </w:rPr>
        <w:t>Market Penetration</w:t>
      </w:r>
      <w:r w:rsidR="00AA41AC" w:rsidRPr="00AA41AC">
        <w:rPr>
          <w:rFonts w:ascii="Arial" w:hAnsi="Arial" w:cs="Arial"/>
          <w:sz w:val="24"/>
          <w:szCs w:val="24"/>
        </w:rPr>
        <w:t xml:space="preserve"> focuses on increasing sales of existing products within existing markets. For BHP, this strategy would involve increasing production volumes of traditional commodities such as iron ore and copper. Although this may improve short-term revenues, it does little to address growing environmental expectations or differentiate the company from competitors. Furthermore, increased extraction without significant environmental improvements could damage BHP's sustainability reputation and expose the company to greater regulatory risks.</w:t>
      </w:r>
    </w:p>
    <w:p w14:paraId="33CF21A1" w14:textId="783CAE7F" w:rsidR="00AA41AC" w:rsidRPr="00AA41AC" w:rsidRDefault="00D6799C" w:rsidP="00AA41AC">
      <w:pPr>
        <w:jc w:val="both"/>
        <w:rPr>
          <w:rFonts w:ascii="Arial" w:hAnsi="Arial" w:cs="Arial"/>
          <w:sz w:val="24"/>
          <w:szCs w:val="24"/>
        </w:rPr>
      </w:pPr>
      <w:r>
        <w:rPr>
          <w:rFonts w:ascii="Arial" w:hAnsi="Arial" w:cs="Arial"/>
          <w:b/>
          <w:bCs/>
          <w:sz w:val="24"/>
          <w:szCs w:val="24"/>
        </w:rPr>
        <w:t xml:space="preserve">Market </w:t>
      </w:r>
      <w:r w:rsidR="00961066">
        <w:rPr>
          <w:rFonts w:ascii="Arial" w:hAnsi="Arial" w:cs="Arial"/>
          <w:b/>
          <w:bCs/>
          <w:sz w:val="24"/>
          <w:szCs w:val="24"/>
        </w:rPr>
        <w:t xml:space="preserve">Development </w:t>
      </w:r>
      <w:r w:rsidR="00AA41AC" w:rsidRPr="00AA41AC">
        <w:rPr>
          <w:rFonts w:ascii="Arial" w:hAnsi="Arial" w:cs="Arial"/>
          <w:sz w:val="24"/>
          <w:szCs w:val="24"/>
        </w:rPr>
        <w:t>involves selling existing products to new geographical or industrial markets. BHP could expand exports of copper and nickel into emerging economies experiencing rapid electrification. While this would diversify revenue streams, it would not fundamentally transform BHP's lower-carbon business model because the products themselves would remain largely unchanged.</w:t>
      </w:r>
    </w:p>
    <w:p w14:paraId="2C49ED23" w14:textId="3FE147F0" w:rsidR="00AA41AC" w:rsidRPr="00AA41AC" w:rsidRDefault="00E90690" w:rsidP="00AA41AC">
      <w:pPr>
        <w:jc w:val="both"/>
        <w:rPr>
          <w:rFonts w:ascii="Arial" w:hAnsi="Arial" w:cs="Arial"/>
          <w:sz w:val="24"/>
          <w:szCs w:val="24"/>
        </w:rPr>
      </w:pPr>
      <w:r>
        <w:rPr>
          <w:rFonts w:ascii="Arial" w:hAnsi="Arial" w:cs="Arial"/>
          <w:b/>
          <w:bCs/>
          <w:sz w:val="24"/>
          <w:szCs w:val="24"/>
        </w:rPr>
        <w:t xml:space="preserve">Diversification </w:t>
      </w:r>
      <w:r w:rsidR="00AA41AC" w:rsidRPr="00AA41AC">
        <w:rPr>
          <w:rFonts w:ascii="Arial" w:hAnsi="Arial" w:cs="Arial"/>
          <w:sz w:val="24"/>
          <w:szCs w:val="24"/>
        </w:rPr>
        <w:t>represents the highest-risk strategy because it requires developing new products for entirely new markets. Examples could include entering renewable energy generation or battery manufacturing. Although diversification may create future opportunities, it requires substantial investment outside BHP's core mining expertise and could reduce strategic focus.</w:t>
      </w:r>
    </w:p>
    <w:p w14:paraId="6FAD1CF3" w14:textId="416B9CB6" w:rsidR="00AE0CA4" w:rsidRDefault="00AA41AC" w:rsidP="00AA41AC">
      <w:pPr>
        <w:jc w:val="both"/>
        <w:rPr>
          <w:rFonts w:ascii="Arial" w:hAnsi="Arial" w:cs="Arial"/>
          <w:sz w:val="24"/>
          <w:szCs w:val="24"/>
        </w:rPr>
      </w:pPr>
      <w:r w:rsidRPr="00AA41AC">
        <w:rPr>
          <w:rFonts w:ascii="Arial" w:hAnsi="Arial" w:cs="Arial"/>
          <w:sz w:val="24"/>
          <w:szCs w:val="24"/>
        </w:rPr>
        <w:t xml:space="preserve">By contrast, </w:t>
      </w:r>
      <w:r w:rsidR="00E90690">
        <w:rPr>
          <w:rFonts w:ascii="Arial" w:hAnsi="Arial" w:cs="Arial"/>
          <w:b/>
          <w:bCs/>
          <w:sz w:val="24"/>
          <w:szCs w:val="24"/>
        </w:rPr>
        <w:t>Product Development</w:t>
      </w:r>
      <w:r w:rsidRPr="00AA41AC">
        <w:rPr>
          <w:rFonts w:ascii="Arial" w:hAnsi="Arial" w:cs="Arial"/>
          <w:sz w:val="24"/>
          <w:szCs w:val="24"/>
        </w:rPr>
        <w:t xml:space="preserve"> enables BHP to leverage its existing mining capabilities while introducing lower-carbon products, cleaner production methods and value-added services to existing customers. This approach builds upon established customer relationships, operational expertise and supply chains, making it the most strategically appropriate option for supporting sustainable growth.</w:t>
      </w:r>
    </w:p>
    <w:p w14:paraId="52BE5590" w14:textId="77777777" w:rsidR="0008639D" w:rsidRPr="0073287D" w:rsidRDefault="0008639D" w:rsidP="0008639D">
      <w:pPr>
        <w:jc w:val="both"/>
        <w:rPr>
          <w:rFonts w:ascii="Arial" w:hAnsi="Arial" w:cs="Arial"/>
          <w:b/>
          <w:bCs/>
          <w:sz w:val="24"/>
          <w:szCs w:val="24"/>
        </w:rPr>
      </w:pPr>
      <w:r w:rsidRPr="0073287D">
        <w:rPr>
          <w:rFonts w:ascii="Arial" w:hAnsi="Arial" w:cs="Arial"/>
          <w:b/>
          <w:bCs/>
          <w:sz w:val="24"/>
          <w:szCs w:val="24"/>
        </w:rPr>
        <w:t>Product Development as the Preferred Growth Strategy</w:t>
      </w:r>
    </w:p>
    <w:p w14:paraId="6AE56182" w14:textId="77777777" w:rsidR="0008639D" w:rsidRPr="0008639D" w:rsidRDefault="0008639D" w:rsidP="0008639D">
      <w:pPr>
        <w:jc w:val="both"/>
        <w:rPr>
          <w:rFonts w:ascii="Arial" w:hAnsi="Arial" w:cs="Arial"/>
          <w:sz w:val="24"/>
          <w:szCs w:val="24"/>
        </w:rPr>
      </w:pPr>
      <w:r w:rsidRPr="0008639D">
        <w:rPr>
          <w:rFonts w:ascii="Arial" w:hAnsi="Arial" w:cs="Arial"/>
          <w:sz w:val="24"/>
          <w:szCs w:val="24"/>
        </w:rPr>
        <w:t>Product development involves modifying or creating products that better satisfy evolving customer needs (Kotler et al., 2024). Within the mining sector, customers increasingly seek responsibly sourced raw materials with lower embedded carbon emissions to meet their own environmental commitments. Consequently, BHP can create competitive advantage by developing products that reduce emissions across the supply chain.</w:t>
      </w:r>
    </w:p>
    <w:p w14:paraId="7CDA9D27" w14:textId="77777777" w:rsidR="0008639D" w:rsidRPr="0008639D" w:rsidRDefault="0008639D" w:rsidP="0008639D">
      <w:pPr>
        <w:jc w:val="both"/>
        <w:rPr>
          <w:rFonts w:ascii="Arial" w:hAnsi="Arial" w:cs="Arial"/>
          <w:sz w:val="24"/>
          <w:szCs w:val="24"/>
        </w:rPr>
      </w:pPr>
      <w:r w:rsidRPr="0008639D">
        <w:rPr>
          <w:rFonts w:ascii="Arial" w:hAnsi="Arial" w:cs="Arial"/>
          <w:sz w:val="24"/>
          <w:szCs w:val="24"/>
        </w:rPr>
        <w:t>One important opportunity involves producing low-carbon iron ore through partnerships with steel manufacturers developing hydrogen-based steelmaking technologies. Traditional steel production accounts for approximately 7–9% of global carbon emissions, making decarbonisation a priority for governments and industrial customers (International Energy Agency, 2024). By collaborating with steel producers to improve ore quality and support low-carbon processing technologies, BHP can strengthen long-term customer relationships while increasing the value of its products.</w:t>
      </w:r>
    </w:p>
    <w:p w14:paraId="69CBD4C8" w14:textId="77777777" w:rsidR="0008639D" w:rsidRPr="0008639D" w:rsidRDefault="0008639D" w:rsidP="0008639D">
      <w:pPr>
        <w:jc w:val="both"/>
        <w:rPr>
          <w:rFonts w:ascii="Arial" w:hAnsi="Arial" w:cs="Arial"/>
          <w:sz w:val="24"/>
          <w:szCs w:val="24"/>
        </w:rPr>
      </w:pPr>
      <w:r w:rsidRPr="0008639D">
        <w:rPr>
          <w:rFonts w:ascii="Arial" w:hAnsi="Arial" w:cs="Arial"/>
          <w:sz w:val="24"/>
          <w:szCs w:val="24"/>
        </w:rPr>
        <w:lastRenderedPageBreak/>
        <w:t>Similarly, BHP's investment in copper and nickel production aligns with global demand for electric vehicles, battery storage and renewable energy infrastructure. Rather than simply increasing production volumes, BHP should continue developing sustainably certified minerals with transparent environmental reporting. Such products enable customers to demonstrate responsible sourcing while supporting their own Environmental, Social and Governance (ESG) objectives.</w:t>
      </w:r>
    </w:p>
    <w:p w14:paraId="4BAEE0FC" w14:textId="77777777" w:rsidR="0008639D" w:rsidRPr="0008639D" w:rsidRDefault="0008639D" w:rsidP="0008639D">
      <w:pPr>
        <w:jc w:val="both"/>
        <w:rPr>
          <w:rFonts w:ascii="Arial" w:hAnsi="Arial" w:cs="Arial"/>
          <w:sz w:val="24"/>
          <w:szCs w:val="24"/>
        </w:rPr>
      </w:pPr>
      <w:r w:rsidRPr="0008639D">
        <w:rPr>
          <w:rFonts w:ascii="Arial" w:hAnsi="Arial" w:cs="Arial"/>
          <w:sz w:val="24"/>
          <w:szCs w:val="24"/>
        </w:rPr>
        <w:t>Product development should also include digital innovations that improve environmental performance. Artificial intelligence, automation and predictive maintenance technologies can reduce energy consumption, improve operational efficiency and minimise waste generation. These technological improvements not only reduce operating costs but also strengthen BHP's environmental credentials, providing additional value to customers and investors.</w:t>
      </w:r>
    </w:p>
    <w:p w14:paraId="0EFA05B5" w14:textId="77777777" w:rsidR="0008639D" w:rsidRPr="0068572F" w:rsidRDefault="0008639D" w:rsidP="0008639D">
      <w:pPr>
        <w:jc w:val="both"/>
        <w:rPr>
          <w:rFonts w:ascii="Arial" w:hAnsi="Arial" w:cs="Arial"/>
          <w:b/>
          <w:bCs/>
          <w:sz w:val="24"/>
          <w:szCs w:val="24"/>
        </w:rPr>
      </w:pPr>
      <w:r w:rsidRPr="0068572F">
        <w:rPr>
          <w:rFonts w:ascii="Arial" w:hAnsi="Arial" w:cs="Arial"/>
          <w:b/>
          <w:bCs/>
          <w:sz w:val="24"/>
          <w:szCs w:val="24"/>
        </w:rPr>
        <w:t>Achieving Competitive Advantage</w:t>
      </w:r>
    </w:p>
    <w:p w14:paraId="28B9A249" w14:textId="77777777" w:rsidR="0008639D" w:rsidRPr="0008639D" w:rsidRDefault="0008639D" w:rsidP="0008639D">
      <w:pPr>
        <w:jc w:val="both"/>
        <w:rPr>
          <w:rFonts w:ascii="Arial" w:hAnsi="Arial" w:cs="Arial"/>
          <w:sz w:val="24"/>
          <w:szCs w:val="24"/>
        </w:rPr>
      </w:pPr>
      <w:r w:rsidRPr="0008639D">
        <w:rPr>
          <w:rFonts w:ascii="Arial" w:hAnsi="Arial" w:cs="Arial"/>
          <w:sz w:val="24"/>
          <w:szCs w:val="24"/>
        </w:rPr>
        <w:t>According to Porter (1985), organisations achieve competitive advantage through either cost leadership or differentiation. BHP's transition towards lower-carbon products provides opportunities to pursue both strategies simultaneously.</w:t>
      </w:r>
    </w:p>
    <w:p w14:paraId="74938077" w14:textId="77777777" w:rsidR="0008639D" w:rsidRPr="0008639D" w:rsidRDefault="0008639D" w:rsidP="0008639D">
      <w:pPr>
        <w:jc w:val="both"/>
        <w:rPr>
          <w:rFonts w:ascii="Arial" w:hAnsi="Arial" w:cs="Arial"/>
          <w:sz w:val="24"/>
          <w:szCs w:val="24"/>
        </w:rPr>
      </w:pPr>
      <w:r w:rsidRPr="0008639D">
        <w:rPr>
          <w:rFonts w:ascii="Arial" w:hAnsi="Arial" w:cs="Arial"/>
          <w:sz w:val="24"/>
          <w:szCs w:val="24"/>
        </w:rPr>
        <w:t>Firstly, cleaner technologies improve operational efficiency by reducing energy consumption, fuel costs and production waste. Renewable electricity, electrified mining equipment and digital monitoring systems lower long-term operating expenses while reducing carbon emissions. Although initial capital investment is substantial, these technologies contribute to sustainable cost leadership over time.</w:t>
      </w:r>
    </w:p>
    <w:p w14:paraId="59B44D0A" w14:textId="77777777" w:rsidR="0008639D" w:rsidRPr="0008639D" w:rsidRDefault="0008639D" w:rsidP="0008639D">
      <w:pPr>
        <w:jc w:val="both"/>
        <w:rPr>
          <w:rFonts w:ascii="Arial" w:hAnsi="Arial" w:cs="Arial"/>
          <w:sz w:val="24"/>
          <w:szCs w:val="24"/>
        </w:rPr>
      </w:pPr>
      <w:r w:rsidRPr="0008639D">
        <w:rPr>
          <w:rFonts w:ascii="Arial" w:hAnsi="Arial" w:cs="Arial"/>
          <w:sz w:val="24"/>
          <w:szCs w:val="24"/>
        </w:rPr>
        <w:t>Secondly, sustainability enables BHP to pursue differentiation. Many industrial customers increasingly prioritise suppliers capable of demonstrating transparent carbon reporting and responsible environmental practices. By offering certified low-carbon minerals, BHP differentiates itself from competitors whose sustainability performance may be less advanced.</w:t>
      </w:r>
    </w:p>
    <w:p w14:paraId="74FC638D" w14:textId="77777777" w:rsidR="0008639D" w:rsidRPr="0008639D" w:rsidRDefault="0008639D" w:rsidP="0008639D">
      <w:pPr>
        <w:jc w:val="both"/>
        <w:rPr>
          <w:rFonts w:ascii="Arial" w:hAnsi="Arial" w:cs="Arial"/>
          <w:sz w:val="24"/>
          <w:szCs w:val="24"/>
        </w:rPr>
      </w:pPr>
      <w:r w:rsidRPr="0008639D">
        <w:rPr>
          <w:rFonts w:ascii="Arial" w:hAnsi="Arial" w:cs="Arial"/>
          <w:sz w:val="24"/>
          <w:szCs w:val="24"/>
        </w:rPr>
        <w:t>Reputation also represents an important source of competitive advantage. ESG performance increasingly influences investment decisions among institutional investors and financial institutions (Eccles and Klimenko, 2019). Strong environmental performance reduces reputational risk, improves access to investment capital and strengthens stakeholder confidence. Consequently, sustainability becomes both a marketing strategy and a financial strategy.</w:t>
      </w:r>
    </w:p>
    <w:p w14:paraId="11842025" w14:textId="77777777" w:rsidR="0008639D" w:rsidRPr="0008639D" w:rsidRDefault="0008639D" w:rsidP="0008639D">
      <w:pPr>
        <w:jc w:val="both"/>
        <w:rPr>
          <w:rFonts w:ascii="Arial" w:hAnsi="Arial" w:cs="Arial"/>
          <w:sz w:val="24"/>
          <w:szCs w:val="24"/>
        </w:rPr>
      </w:pPr>
      <w:r w:rsidRPr="0008639D">
        <w:rPr>
          <w:rFonts w:ascii="Arial" w:hAnsi="Arial" w:cs="Arial"/>
          <w:sz w:val="24"/>
          <w:szCs w:val="24"/>
        </w:rPr>
        <w:t>Moreover, BHP possesses significant competitive advantages through economies of scale, global operations and extensive research partnerships. These resources enable the company to invest in innovative technologies that smaller mining companies cannot easily replicate. Such resource advantages create barriers to entry while reinforcing BHP's long-term market leadership.</w:t>
      </w:r>
    </w:p>
    <w:p w14:paraId="14D1F21A" w14:textId="77777777" w:rsidR="0008639D" w:rsidRPr="00FB58BD" w:rsidRDefault="0008639D" w:rsidP="0008639D">
      <w:pPr>
        <w:jc w:val="both"/>
        <w:rPr>
          <w:rFonts w:ascii="Arial" w:hAnsi="Arial" w:cs="Arial"/>
          <w:b/>
          <w:bCs/>
          <w:sz w:val="24"/>
          <w:szCs w:val="24"/>
        </w:rPr>
      </w:pPr>
      <w:r w:rsidRPr="00FB58BD">
        <w:rPr>
          <w:rFonts w:ascii="Arial" w:hAnsi="Arial" w:cs="Arial"/>
          <w:b/>
          <w:bCs/>
          <w:sz w:val="24"/>
          <w:szCs w:val="24"/>
        </w:rPr>
        <w:t>Strategic Partnerships Supporting Growth</w:t>
      </w:r>
    </w:p>
    <w:p w14:paraId="55418DEF" w14:textId="77777777" w:rsidR="0008639D" w:rsidRPr="0008639D" w:rsidRDefault="0008639D" w:rsidP="0008639D">
      <w:pPr>
        <w:jc w:val="both"/>
        <w:rPr>
          <w:rFonts w:ascii="Arial" w:hAnsi="Arial" w:cs="Arial"/>
          <w:sz w:val="24"/>
          <w:szCs w:val="24"/>
        </w:rPr>
      </w:pPr>
      <w:r w:rsidRPr="0008639D">
        <w:rPr>
          <w:rFonts w:ascii="Arial" w:hAnsi="Arial" w:cs="Arial"/>
          <w:sz w:val="24"/>
          <w:szCs w:val="24"/>
        </w:rPr>
        <w:t>Successful product development depends upon collaboration across the mining value chain. BHP should continue expanding strategic partnerships with governments, technology providers, universities and manufacturing companies to accelerate innovation.</w:t>
      </w:r>
    </w:p>
    <w:p w14:paraId="4EEEF665" w14:textId="087CB00A" w:rsidR="0008639D" w:rsidRDefault="0008639D" w:rsidP="0008639D">
      <w:pPr>
        <w:jc w:val="both"/>
        <w:rPr>
          <w:rFonts w:ascii="Arial" w:hAnsi="Arial" w:cs="Arial"/>
          <w:sz w:val="24"/>
          <w:szCs w:val="24"/>
        </w:rPr>
      </w:pPr>
      <w:r w:rsidRPr="0008639D">
        <w:rPr>
          <w:rFonts w:ascii="Arial" w:hAnsi="Arial" w:cs="Arial"/>
          <w:sz w:val="24"/>
          <w:szCs w:val="24"/>
        </w:rPr>
        <w:lastRenderedPageBreak/>
        <w:t>For exampl</w:t>
      </w:r>
      <w:r w:rsidR="00725464">
        <w:rPr>
          <w:rFonts w:ascii="Arial" w:hAnsi="Arial" w:cs="Arial"/>
          <w:sz w:val="24"/>
          <w:szCs w:val="24"/>
        </w:rPr>
        <w:t xml:space="preserve">e, </w:t>
      </w:r>
      <w:r w:rsidR="00E00CA3">
        <w:rPr>
          <w:rFonts w:ascii="Arial" w:hAnsi="Arial" w:cs="Arial"/>
          <w:sz w:val="24"/>
          <w:szCs w:val="24"/>
        </w:rPr>
        <w:t xml:space="preserve">collaboration </w:t>
      </w:r>
      <w:r w:rsidR="00A647AB">
        <w:rPr>
          <w:rFonts w:ascii="Arial" w:hAnsi="Arial" w:cs="Arial"/>
          <w:sz w:val="24"/>
          <w:szCs w:val="24"/>
        </w:rPr>
        <w:t xml:space="preserve">with steel </w:t>
      </w:r>
      <w:r w:rsidR="008155AF">
        <w:rPr>
          <w:rFonts w:ascii="Arial" w:hAnsi="Arial" w:cs="Arial"/>
          <w:sz w:val="24"/>
          <w:szCs w:val="24"/>
        </w:rPr>
        <w:t xml:space="preserve">manufacturers developing hydrogen-based production methods can reduce Scope </w:t>
      </w:r>
      <w:r w:rsidR="00A647AB">
        <w:rPr>
          <w:rFonts w:ascii="Arial" w:hAnsi="Arial" w:cs="Arial"/>
          <w:sz w:val="24"/>
          <w:szCs w:val="24"/>
        </w:rPr>
        <w:t>3</w:t>
      </w:r>
      <w:r w:rsidR="008155AF">
        <w:rPr>
          <w:rFonts w:ascii="Arial" w:hAnsi="Arial" w:cs="Arial"/>
          <w:sz w:val="24"/>
          <w:szCs w:val="24"/>
        </w:rPr>
        <w:t xml:space="preserve"> emissions whil</w:t>
      </w:r>
      <w:r w:rsidR="00E00CA3">
        <w:rPr>
          <w:rFonts w:ascii="Arial" w:hAnsi="Arial" w:cs="Arial"/>
          <w:sz w:val="24"/>
          <w:szCs w:val="24"/>
        </w:rPr>
        <w:t>e increasing customer loyalty</w:t>
      </w:r>
      <w:r w:rsidR="000A34F6">
        <w:rPr>
          <w:rFonts w:ascii="Arial" w:hAnsi="Arial" w:cs="Arial"/>
          <w:sz w:val="24"/>
          <w:szCs w:val="24"/>
        </w:rPr>
        <w:t xml:space="preserve">. </w:t>
      </w:r>
      <w:r w:rsidR="00C40040">
        <w:rPr>
          <w:rFonts w:ascii="Arial" w:hAnsi="Arial" w:cs="Arial"/>
          <w:sz w:val="24"/>
          <w:szCs w:val="24"/>
        </w:rPr>
        <w:t>While likewise partnerships</w:t>
      </w:r>
      <w:r w:rsidR="005208F4">
        <w:rPr>
          <w:rFonts w:ascii="Arial" w:hAnsi="Arial" w:cs="Arial"/>
          <w:sz w:val="24"/>
          <w:szCs w:val="24"/>
        </w:rPr>
        <w:t xml:space="preserve"> with</w:t>
      </w:r>
      <w:r w:rsidR="00C40040">
        <w:rPr>
          <w:rFonts w:ascii="Arial" w:hAnsi="Arial" w:cs="Arial"/>
          <w:sz w:val="24"/>
          <w:szCs w:val="24"/>
        </w:rPr>
        <w:t xml:space="preserve"> renewable energy providers enable mining operations to transition towards low carbon electricity, improving operational sustainability.</w:t>
      </w:r>
    </w:p>
    <w:p w14:paraId="128ABBE2" w14:textId="3EC30372" w:rsidR="005208F4" w:rsidRDefault="0006167E" w:rsidP="0008639D">
      <w:pPr>
        <w:jc w:val="both"/>
        <w:rPr>
          <w:rFonts w:ascii="Arial" w:hAnsi="Arial" w:cs="Arial"/>
          <w:sz w:val="24"/>
          <w:szCs w:val="24"/>
        </w:rPr>
      </w:pPr>
      <w:r>
        <w:rPr>
          <w:rFonts w:ascii="Arial" w:hAnsi="Arial" w:cs="Arial"/>
          <w:sz w:val="24"/>
          <w:szCs w:val="24"/>
        </w:rPr>
        <w:t>Investments in r</w:t>
      </w:r>
      <w:r w:rsidR="0067247F">
        <w:rPr>
          <w:rFonts w:ascii="Arial" w:hAnsi="Arial" w:cs="Arial"/>
          <w:sz w:val="24"/>
          <w:szCs w:val="24"/>
        </w:rPr>
        <w:t xml:space="preserve">esearch institutions also supports innovation in carbon capture, battery recycling and sustainable mining technologies. These collaborative approaches </w:t>
      </w:r>
      <w:r w:rsidR="00622842">
        <w:rPr>
          <w:rFonts w:ascii="Arial" w:hAnsi="Arial" w:cs="Arial"/>
          <w:sz w:val="24"/>
          <w:szCs w:val="24"/>
        </w:rPr>
        <w:t>reduce</w:t>
      </w:r>
      <w:r w:rsidR="0067247F">
        <w:rPr>
          <w:rFonts w:ascii="Arial" w:hAnsi="Arial" w:cs="Arial"/>
          <w:sz w:val="24"/>
          <w:szCs w:val="24"/>
        </w:rPr>
        <w:t xml:space="preserve"> development risks while accelerating commercialisation of environmentally friendly products.</w:t>
      </w:r>
    </w:p>
    <w:p w14:paraId="644CB941" w14:textId="3CC53AD3" w:rsidR="0002688D" w:rsidRDefault="0002688D" w:rsidP="0008639D">
      <w:pPr>
        <w:jc w:val="both"/>
        <w:rPr>
          <w:rFonts w:ascii="Arial" w:hAnsi="Arial" w:cs="Arial"/>
          <w:b/>
          <w:bCs/>
          <w:sz w:val="24"/>
          <w:szCs w:val="24"/>
        </w:rPr>
      </w:pPr>
      <w:r>
        <w:rPr>
          <w:rFonts w:ascii="Arial" w:hAnsi="Arial" w:cs="Arial"/>
          <w:b/>
          <w:bCs/>
          <w:sz w:val="24"/>
          <w:szCs w:val="24"/>
        </w:rPr>
        <w:t>Risks and Challenges</w:t>
      </w:r>
    </w:p>
    <w:p w14:paraId="56AD7157" w14:textId="77777777" w:rsidR="00377999" w:rsidRPr="00377999" w:rsidRDefault="00377999" w:rsidP="00377999">
      <w:pPr>
        <w:jc w:val="both"/>
        <w:rPr>
          <w:rFonts w:ascii="Arial" w:hAnsi="Arial" w:cs="Arial"/>
          <w:sz w:val="24"/>
          <w:szCs w:val="24"/>
        </w:rPr>
      </w:pPr>
      <w:r w:rsidRPr="00377999">
        <w:rPr>
          <w:rFonts w:ascii="Arial" w:hAnsi="Arial" w:cs="Arial"/>
          <w:sz w:val="24"/>
          <w:szCs w:val="24"/>
        </w:rPr>
        <w:t>Although product development offers substantial opportunities, several risks require careful management.</w:t>
      </w:r>
    </w:p>
    <w:p w14:paraId="56E209FE" w14:textId="77777777" w:rsidR="00377999" w:rsidRPr="00377999" w:rsidRDefault="00377999" w:rsidP="00377999">
      <w:pPr>
        <w:jc w:val="both"/>
        <w:rPr>
          <w:rFonts w:ascii="Arial" w:hAnsi="Arial" w:cs="Arial"/>
          <w:sz w:val="24"/>
          <w:szCs w:val="24"/>
        </w:rPr>
      </w:pPr>
    </w:p>
    <w:p w14:paraId="38A64AFD" w14:textId="77777777" w:rsidR="00377999" w:rsidRPr="00377999" w:rsidRDefault="00377999" w:rsidP="00377999">
      <w:pPr>
        <w:jc w:val="both"/>
        <w:rPr>
          <w:rFonts w:ascii="Arial" w:hAnsi="Arial" w:cs="Arial"/>
          <w:sz w:val="24"/>
          <w:szCs w:val="24"/>
        </w:rPr>
      </w:pPr>
      <w:r w:rsidRPr="003175D2">
        <w:rPr>
          <w:rFonts w:ascii="Arial" w:hAnsi="Arial" w:cs="Arial"/>
          <w:b/>
          <w:bCs/>
          <w:sz w:val="24"/>
          <w:szCs w:val="24"/>
        </w:rPr>
        <w:t>The first</w:t>
      </w:r>
      <w:r w:rsidRPr="00377999">
        <w:rPr>
          <w:rFonts w:ascii="Arial" w:hAnsi="Arial" w:cs="Arial"/>
          <w:sz w:val="24"/>
          <w:szCs w:val="24"/>
        </w:rPr>
        <w:t xml:space="preserve"> challenge concerns financial investment. Developing cleaner technologies requires significant capital expenditure before environmental and commercial benefits become fully realised. Mining projects already involve high financial risk because of volatile commodity prices and lengthy project development cycles.</w:t>
      </w:r>
    </w:p>
    <w:p w14:paraId="5E978D19" w14:textId="77777777" w:rsidR="00377999" w:rsidRPr="00377999" w:rsidRDefault="00377999" w:rsidP="00377999">
      <w:pPr>
        <w:jc w:val="both"/>
        <w:rPr>
          <w:rFonts w:ascii="Arial" w:hAnsi="Arial" w:cs="Arial"/>
          <w:sz w:val="24"/>
          <w:szCs w:val="24"/>
        </w:rPr>
      </w:pPr>
    </w:p>
    <w:p w14:paraId="770CD2F8" w14:textId="77777777" w:rsidR="00377999" w:rsidRPr="00377999" w:rsidRDefault="00377999" w:rsidP="00377999">
      <w:pPr>
        <w:jc w:val="both"/>
        <w:rPr>
          <w:rFonts w:ascii="Arial" w:hAnsi="Arial" w:cs="Arial"/>
          <w:sz w:val="24"/>
          <w:szCs w:val="24"/>
        </w:rPr>
      </w:pPr>
      <w:r w:rsidRPr="003175D2">
        <w:rPr>
          <w:rFonts w:ascii="Arial" w:hAnsi="Arial" w:cs="Arial"/>
          <w:b/>
          <w:bCs/>
          <w:sz w:val="24"/>
          <w:szCs w:val="24"/>
        </w:rPr>
        <w:t>Secondly</w:t>
      </w:r>
      <w:r w:rsidRPr="00377999">
        <w:rPr>
          <w:rFonts w:ascii="Arial" w:hAnsi="Arial" w:cs="Arial"/>
          <w:sz w:val="24"/>
          <w:szCs w:val="24"/>
        </w:rPr>
        <w:t>, technological uncertainty may delay implementation. Some lower-carbon technologies, including hydrogen-based steelmaking and carbon capture, remain under development and may require many years before becoming commercially viable. Consequently, BHP should adopt a phased investment strategy balancing innovation with financial discipline.</w:t>
      </w:r>
    </w:p>
    <w:p w14:paraId="42065A99" w14:textId="77777777" w:rsidR="00377999" w:rsidRPr="00377999" w:rsidRDefault="00377999" w:rsidP="00377999">
      <w:pPr>
        <w:jc w:val="both"/>
        <w:rPr>
          <w:rFonts w:ascii="Arial" w:hAnsi="Arial" w:cs="Arial"/>
          <w:sz w:val="24"/>
          <w:szCs w:val="24"/>
        </w:rPr>
      </w:pPr>
    </w:p>
    <w:p w14:paraId="08CE65A5" w14:textId="77777777" w:rsidR="00377999" w:rsidRPr="00377999" w:rsidRDefault="00377999" w:rsidP="00377999">
      <w:pPr>
        <w:jc w:val="both"/>
        <w:rPr>
          <w:rFonts w:ascii="Arial" w:hAnsi="Arial" w:cs="Arial"/>
          <w:sz w:val="24"/>
          <w:szCs w:val="24"/>
        </w:rPr>
      </w:pPr>
      <w:r w:rsidRPr="003175D2">
        <w:rPr>
          <w:rFonts w:ascii="Arial" w:hAnsi="Arial" w:cs="Arial"/>
          <w:b/>
          <w:bCs/>
          <w:sz w:val="24"/>
          <w:szCs w:val="24"/>
        </w:rPr>
        <w:t>Thirdly</w:t>
      </w:r>
      <w:r w:rsidRPr="00377999">
        <w:rPr>
          <w:rFonts w:ascii="Arial" w:hAnsi="Arial" w:cs="Arial"/>
          <w:sz w:val="24"/>
          <w:szCs w:val="24"/>
        </w:rPr>
        <w:t>, competitive pressures remain intense. Rival mining companies including Rio Tinto, Vale and Anglo American are also investing heavily in sustainability initiatives. Therefore, competitive advantage cannot rely solely upon environmental commitments but must be supported by continuous innovation, operational excellence and transparent stakeholder communication.</w:t>
      </w:r>
    </w:p>
    <w:p w14:paraId="711E180C" w14:textId="77777777" w:rsidR="00377999" w:rsidRPr="00377999" w:rsidRDefault="00377999" w:rsidP="00377999">
      <w:pPr>
        <w:jc w:val="both"/>
        <w:rPr>
          <w:rFonts w:ascii="Arial" w:hAnsi="Arial" w:cs="Arial"/>
          <w:sz w:val="24"/>
          <w:szCs w:val="24"/>
        </w:rPr>
      </w:pPr>
    </w:p>
    <w:p w14:paraId="2A8D6B8A" w14:textId="77777777" w:rsidR="00377999" w:rsidRPr="00377999" w:rsidRDefault="00377999" w:rsidP="00377999">
      <w:pPr>
        <w:jc w:val="both"/>
        <w:rPr>
          <w:rFonts w:ascii="Arial" w:hAnsi="Arial" w:cs="Arial"/>
          <w:sz w:val="24"/>
          <w:szCs w:val="24"/>
        </w:rPr>
      </w:pPr>
      <w:r w:rsidRPr="00521D73">
        <w:rPr>
          <w:rFonts w:ascii="Arial" w:hAnsi="Arial" w:cs="Arial"/>
          <w:b/>
          <w:bCs/>
          <w:sz w:val="24"/>
          <w:szCs w:val="24"/>
        </w:rPr>
        <w:t>Finally</w:t>
      </w:r>
      <w:r w:rsidRPr="00377999">
        <w:rPr>
          <w:rFonts w:ascii="Arial" w:hAnsi="Arial" w:cs="Arial"/>
          <w:sz w:val="24"/>
          <w:szCs w:val="24"/>
        </w:rPr>
        <w:t>, consumer and investor expectations continue evolving rapidly. Organisations making ambitious sustainability commitments face increasing scrutiny regarding actual environmental performance. Failure to achieve publicly announced carbon reduction targets could damage corporate credibility and reduce investor confidence.</w:t>
      </w:r>
    </w:p>
    <w:p w14:paraId="0E634542" w14:textId="77777777" w:rsidR="00377999" w:rsidRPr="00377999" w:rsidRDefault="00377999" w:rsidP="00377999">
      <w:pPr>
        <w:jc w:val="both"/>
        <w:rPr>
          <w:rFonts w:ascii="Arial" w:hAnsi="Arial" w:cs="Arial"/>
          <w:sz w:val="24"/>
          <w:szCs w:val="24"/>
        </w:rPr>
      </w:pPr>
    </w:p>
    <w:p w14:paraId="1164AA54" w14:textId="77777777" w:rsidR="00377999" w:rsidRPr="00521D73" w:rsidRDefault="00377999" w:rsidP="00377999">
      <w:pPr>
        <w:jc w:val="both"/>
        <w:rPr>
          <w:rFonts w:ascii="Arial" w:hAnsi="Arial" w:cs="Arial"/>
          <w:b/>
          <w:bCs/>
          <w:sz w:val="24"/>
          <w:szCs w:val="24"/>
        </w:rPr>
      </w:pPr>
      <w:r w:rsidRPr="00521D73">
        <w:rPr>
          <w:rFonts w:ascii="Arial" w:hAnsi="Arial" w:cs="Arial"/>
          <w:b/>
          <w:bCs/>
          <w:sz w:val="24"/>
          <w:szCs w:val="24"/>
        </w:rPr>
        <w:t>Recommendations</w:t>
      </w:r>
    </w:p>
    <w:p w14:paraId="5DE71894" w14:textId="77777777" w:rsidR="00377999" w:rsidRPr="00377999" w:rsidRDefault="00377999" w:rsidP="00377999">
      <w:pPr>
        <w:jc w:val="both"/>
        <w:rPr>
          <w:rFonts w:ascii="Arial" w:hAnsi="Arial" w:cs="Arial"/>
          <w:sz w:val="24"/>
          <w:szCs w:val="24"/>
        </w:rPr>
      </w:pPr>
    </w:p>
    <w:p w14:paraId="6ACEFAEF" w14:textId="5A2B68C5" w:rsidR="00377999" w:rsidRPr="00377999" w:rsidRDefault="00377999" w:rsidP="00377999">
      <w:pPr>
        <w:jc w:val="both"/>
        <w:rPr>
          <w:rFonts w:ascii="Arial" w:hAnsi="Arial" w:cs="Arial"/>
          <w:sz w:val="24"/>
          <w:szCs w:val="24"/>
        </w:rPr>
      </w:pPr>
      <w:r w:rsidRPr="00377999">
        <w:rPr>
          <w:rFonts w:ascii="Arial" w:hAnsi="Arial" w:cs="Arial"/>
          <w:sz w:val="24"/>
          <w:szCs w:val="24"/>
        </w:rPr>
        <w:t>Based on the Ansoff Matrix analysis, several recommendations are proposed for BHP</w:t>
      </w:r>
      <w:r w:rsidR="00196C50">
        <w:rPr>
          <w:rFonts w:ascii="Arial" w:hAnsi="Arial" w:cs="Arial"/>
          <w:sz w:val="24"/>
          <w:szCs w:val="24"/>
        </w:rPr>
        <w:t>:</w:t>
      </w:r>
    </w:p>
    <w:p w14:paraId="217D89A1" w14:textId="77777777" w:rsidR="00377999" w:rsidRPr="00377999" w:rsidRDefault="00377999" w:rsidP="00377999">
      <w:pPr>
        <w:jc w:val="both"/>
        <w:rPr>
          <w:rFonts w:ascii="Arial" w:hAnsi="Arial" w:cs="Arial"/>
          <w:sz w:val="24"/>
          <w:szCs w:val="24"/>
        </w:rPr>
      </w:pPr>
      <w:r w:rsidRPr="00377999">
        <w:rPr>
          <w:rFonts w:ascii="Arial" w:hAnsi="Arial" w:cs="Arial"/>
          <w:sz w:val="24"/>
          <w:szCs w:val="24"/>
        </w:rPr>
        <w:lastRenderedPageBreak/>
        <w:t>Continue implementing product development as the primary growth strategy by expanding low-carbon mineral production and sustainable product certification.</w:t>
      </w:r>
    </w:p>
    <w:p w14:paraId="6815A10E" w14:textId="77777777" w:rsidR="00377999" w:rsidRPr="00377999" w:rsidRDefault="00377999" w:rsidP="00377999">
      <w:pPr>
        <w:jc w:val="both"/>
        <w:rPr>
          <w:rFonts w:ascii="Arial" w:hAnsi="Arial" w:cs="Arial"/>
          <w:sz w:val="24"/>
          <w:szCs w:val="24"/>
        </w:rPr>
      </w:pPr>
    </w:p>
    <w:p w14:paraId="20D07F70" w14:textId="77777777" w:rsidR="00377999" w:rsidRPr="00377999" w:rsidRDefault="00377999" w:rsidP="00377999">
      <w:pPr>
        <w:jc w:val="both"/>
        <w:rPr>
          <w:rFonts w:ascii="Arial" w:hAnsi="Arial" w:cs="Arial"/>
          <w:sz w:val="24"/>
          <w:szCs w:val="24"/>
        </w:rPr>
      </w:pPr>
      <w:r w:rsidRPr="00377999">
        <w:rPr>
          <w:rFonts w:ascii="Arial" w:hAnsi="Arial" w:cs="Arial"/>
          <w:sz w:val="24"/>
          <w:szCs w:val="24"/>
        </w:rPr>
        <w:t>Increase investment in renewable energy, mine electrification and artificial intelligence to improve operational efficiency while reducing emissions.</w:t>
      </w:r>
    </w:p>
    <w:p w14:paraId="79B5ADFF" w14:textId="77777777" w:rsidR="00377999" w:rsidRPr="00377999" w:rsidRDefault="00377999" w:rsidP="00377999">
      <w:pPr>
        <w:jc w:val="both"/>
        <w:rPr>
          <w:rFonts w:ascii="Arial" w:hAnsi="Arial" w:cs="Arial"/>
          <w:sz w:val="24"/>
          <w:szCs w:val="24"/>
        </w:rPr>
      </w:pPr>
    </w:p>
    <w:p w14:paraId="49E10653" w14:textId="77777777" w:rsidR="00377999" w:rsidRPr="00377999" w:rsidRDefault="00377999" w:rsidP="00377999">
      <w:pPr>
        <w:jc w:val="both"/>
        <w:rPr>
          <w:rFonts w:ascii="Arial" w:hAnsi="Arial" w:cs="Arial"/>
          <w:sz w:val="24"/>
          <w:szCs w:val="24"/>
        </w:rPr>
      </w:pPr>
      <w:r w:rsidRPr="00377999">
        <w:rPr>
          <w:rFonts w:ascii="Arial" w:hAnsi="Arial" w:cs="Arial"/>
          <w:sz w:val="24"/>
          <w:szCs w:val="24"/>
        </w:rPr>
        <w:t>Strengthen partnerships with steel manufacturers, battery producers and renewable energy companies to accelerate innovation across the value chain.</w:t>
      </w:r>
    </w:p>
    <w:p w14:paraId="58BC6D33" w14:textId="77777777" w:rsidR="00377999" w:rsidRPr="00377999" w:rsidRDefault="00377999" w:rsidP="00377999">
      <w:pPr>
        <w:jc w:val="both"/>
        <w:rPr>
          <w:rFonts w:ascii="Arial" w:hAnsi="Arial" w:cs="Arial"/>
          <w:sz w:val="24"/>
          <w:szCs w:val="24"/>
        </w:rPr>
      </w:pPr>
    </w:p>
    <w:p w14:paraId="4FB62F91" w14:textId="77777777" w:rsidR="00377999" w:rsidRPr="00377999" w:rsidRDefault="00377999" w:rsidP="00377999">
      <w:pPr>
        <w:jc w:val="both"/>
        <w:rPr>
          <w:rFonts w:ascii="Arial" w:hAnsi="Arial" w:cs="Arial"/>
          <w:sz w:val="24"/>
          <w:szCs w:val="24"/>
        </w:rPr>
      </w:pPr>
      <w:r w:rsidRPr="00377999">
        <w:rPr>
          <w:rFonts w:ascii="Arial" w:hAnsi="Arial" w:cs="Arial"/>
          <w:sz w:val="24"/>
          <w:szCs w:val="24"/>
        </w:rPr>
        <w:t>Improve transparency through comprehensive ESG reporting, allowing customers and investors to monitor measurable environmental progress.</w:t>
      </w:r>
    </w:p>
    <w:p w14:paraId="1B4BB90D" w14:textId="77777777" w:rsidR="00377999" w:rsidRPr="00377999" w:rsidRDefault="00377999" w:rsidP="00377999">
      <w:pPr>
        <w:jc w:val="both"/>
        <w:rPr>
          <w:rFonts w:ascii="Arial" w:hAnsi="Arial" w:cs="Arial"/>
          <w:sz w:val="24"/>
          <w:szCs w:val="24"/>
        </w:rPr>
      </w:pPr>
    </w:p>
    <w:p w14:paraId="4306E65D" w14:textId="77777777" w:rsidR="00377999" w:rsidRPr="00377999" w:rsidRDefault="00377999" w:rsidP="00377999">
      <w:pPr>
        <w:jc w:val="both"/>
        <w:rPr>
          <w:rFonts w:ascii="Arial" w:hAnsi="Arial" w:cs="Arial"/>
          <w:sz w:val="24"/>
          <w:szCs w:val="24"/>
        </w:rPr>
      </w:pPr>
      <w:r w:rsidRPr="00377999">
        <w:rPr>
          <w:rFonts w:ascii="Arial" w:hAnsi="Arial" w:cs="Arial"/>
          <w:sz w:val="24"/>
          <w:szCs w:val="24"/>
        </w:rPr>
        <w:t>Expand research and development activities focused on hydrogen technologies, carbon capture and digital mining solutions to maintain long-term competitive advantage.</w:t>
      </w:r>
    </w:p>
    <w:p w14:paraId="7AC051ED" w14:textId="77777777" w:rsidR="00377999" w:rsidRPr="00377999" w:rsidRDefault="00377999" w:rsidP="00377999">
      <w:pPr>
        <w:jc w:val="both"/>
        <w:rPr>
          <w:rFonts w:ascii="Arial" w:hAnsi="Arial" w:cs="Arial"/>
          <w:sz w:val="24"/>
          <w:szCs w:val="24"/>
        </w:rPr>
      </w:pPr>
    </w:p>
    <w:p w14:paraId="564DB0FE" w14:textId="3F13F0A0" w:rsidR="00377999" w:rsidRDefault="00377999" w:rsidP="00377999">
      <w:pPr>
        <w:jc w:val="both"/>
        <w:rPr>
          <w:rFonts w:ascii="Arial" w:hAnsi="Arial" w:cs="Arial"/>
          <w:sz w:val="24"/>
          <w:szCs w:val="24"/>
        </w:rPr>
      </w:pPr>
      <w:r w:rsidRPr="00377999">
        <w:rPr>
          <w:rFonts w:ascii="Arial" w:hAnsi="Arial" w:cs="Arial"/>
          <w:sz w:val="24"/>
          <w:szCs w:val="24"/>
        </w:rPr>
        <w:t>These recommendations align commercial growth with environmental sustainability, enabling BHP to respond effectively to changing market expectations.</w:t>
      </w:r>
    </w:p>
    <w:p w14:paraId="66ACF1A4" w14:textId="330ED0BC" w:rsidR="00175D20" w:rsidRDefault="00DD5105" w:rsidP="00377999">
      <w:pPr>
        <w:jc w:val="both"/>
        <w:rPr>
          <w:rFonts w:ascii="Arial" w:hAnsi="Arial" w:cs="Arial"/>
          <w:b/>
          <w:bCs/>
          <w:sz w:val="24"/>
          <w:szCs w:val="24"/>
        </w:rPr>
      </w:pPr>
      <w:r>
        <w:rPr>
          <w:rFonts w:ascii="Arial" w:hAnsi="Arial" w:cs="Arial"/>
          <w:b/>
          <w:bCs/>
          <w:sz w:val="24"/>
          <w:szCs w:val="24"/>
        </w:rPr>
        <w:t xml:space="preserve">CRITICAL REFLECTION </w:t>
      </w:r>
      <w:r w:rsidR="007A7275">
        <w:rPr>
          <w:rFonts w:ascii="Arial" w:hAnsi="Arial" w:cs="Arial"/>
          <w:b/>
          <w:bCs/>
          <w:sz w:val="24"/>
          <w:szCs w:val="24"/>
        </w:rPr>
        <w:t>ON THE USE OF AI IN THIS REPORT</w:t>
      </w:r>
    </w:p>
    <w:p w14:paraId="0B4F6548" w14:textId="1DC22569" w:rsidR="00CE58E7" w:rsidRPr="00CE58E7" w:rsidRDefault="007247B8" w:rsidP="00CE58E7">
      <w:pPr>
        <w:jc w:val="both"/>
        <w:rPr>
          <w:rFonts w:ascii="Arial" w:hAnsi="Arial" w:cs="Arial"/>
          <w:sz w:val="24"/>
          <w:szCs w:val="24"/>
        </w:rPr>
      </w:pPr>
      <w:r>
        <w:rPr>
          <w:rFonts w:ascii="Arial" w:hAnsi="Arial" w:cs="Arial"/>
          <w:sz w:val="24"/>
          <w:szCs w:val="24"/>
        </w:rPr>
        <w:t>A</w:t>
      </w:r>
      <w:r w:rsidR="00CE58E7" w:rsidRPr="00CE58E7">
        <w:rPr>
          <w:rFonts w:ascii="Arial" w:hAnsi="Arial" w:cs="Arial"/>
          <w:sz w:val="24"/>
          <w:szCs w:val="24"/>
        </w:rPr>
        <w:t>rtificial intelligence (AI) played a supporting role in the preparation of this report by assisting with literature exploration, idea generation, language refinement and report organisation. However, all critical analysis, evaluation and final conclusions were developed through independent judgement to ensure the report reflected my own understanding of marketing strategy and sustainable business practices. The use of AI aligns with the principles of responsible academic practice and the institution's Human Resources (HR) AI Use Acknowledgement, which emphasises transparency, academic integrity and appropriate disclosure when AI tools contribute to assessed work.</w:t>
      </w:r>
    </w:p>
    <w:p w14:paraId="7FED4003" w14:textId="77777777" w:rsidR="00CE58E7" w:rsidRPr="007247B8" w:rsidRDefault="00CE58E7" w:rsidP="00CE58E7">
      <w:pPr>
        <w:jc w:val="both"/>
        <w:rPr>
          <w:rFonts w:ascii="Arial" w:hAnsi="Arial" w:cs="Arial"/>
          <w:b/>
          <w:bCs/>
          <w:sz w:val="24"/>
          <w:szCs w:val="24"/>
        </w:rPr>
      </w:pPr>
      <w:r w:rsidRPr="007247B8">
        <w:rPr>
          <w:rFonts w:ascii="Arial" w:hAnsi="Arial" w:cs="Arial"/>
          <w:b/>
          <w:bCs/>
          <w:sz w:val="24"/>
          <w:szCs w:val="24"/>
        </w:rPr>
        <w:t>Tool Disclosure</w:t>
      </w:r>
    </w:p>
    <w:p w14:paraId="4BBDB085" w14:textId="77777777" w:rsidR="00CE58E7" w:rsidRPr="00CE58E7" w:rsidRDefault="00CE58E7" w:rsidP="00CE58E7">
      <w:pPr>
        <w:jc w:val="both"/>
        <w:rPr>
          <w:rFonts w:ascii="Arial" w:hAnsi="Arial" w:cs="Arial"/>
          <w:sz w:val="24"/>
          <w:szCs w:val="24"/>
        </w:rPr>
      </w:pPr>
      <w:r w:rsidRPr="00CE58E7">
        <w:rPr>
          <w:rFonts w:ascii="Arial" w:hAnsi="Arial" w:cs="Arial"/>
          <w:sz w:val="24"/>
          <w:szCs w:val="24"/>
        </w:rPr>
        <w:t>The primary AI tool used during the preparation of this report was ChatGPT (OpenAI). The tool was used to generate initial ideas, improve sentence structure, explain theoretical concepts such as the Ansoff Matrix and marketing environment analysis, and suggest an appropriate academic structure for the report. AI also assisted in identifying relevant themes relating to BHP's sustainability strategy, lower-carbon products and competitive positioning. However, AI was not used to replace independent learning or critical thinking. Academic journal articles, BHP's Annual Report (2024), the International Energy Agency (2024) report and Kotler et al. (2024) were consulted to verify and support the information presented.</w:t>
      </w:r>
    </w:p>
    <w:p w14:paraId="4729BADA" w14:textId="77777777" w:rsidR="00CE58E7" w:rsidRPr="00C377AC" w:rsidRDefault="00CE58E7" w:rsidP="00CE58E7">
      <w:pPr>
        <w:jc w:val="both"/>
        <w:rPr>
          <w:rFonts w:ascii="Arial" w:hAnsi="Arial" w:cs="Arial"/>
          <w:b/>
          <w:bCs/>
          <w:sz w:val="24"/>
          <w:szCs w:val="24"/>
        </w:rPr>
      </w:pPr>
      <w:r w:rsidRPr="00C377AC">
        <w:rPr>
          <w:rFonts w:ascii="Arial" w:hAnsi="Arial" w:cs="Arial"/>
          <w:b/>
          <w:bCs/>
          <w:sz w:val="24"/>
          <w:szCs w:val="24"/>
        </w:rPr>
        <w:lastRenderedPageBreak/>
        <w:t>Critical Evaluation of AI Output</w:t>
      </w:r>
    </w:p>
    <w:p w14:paraId="26F2238D" w14:textId="77777777" w:rsidR="00CE58E7" w:rsidRPr="00CE58E7" w:rsidRDefault="00CE58E7" w:rsidP="00CE58E7">
      <w:pPr>
        <w:jc w:val="both"/>
        <w:rPr>
          <w:rFonts w:ascii="Arial" w:hAnsi="Arial" w:cs="Arial"/>
          <w:sz w:val="24"/>
          <w:szCs w:val="24"/>
        </w:rPr>
      </w:pPr>
      <w:r w:rsidRPr="00CE58E7">
        <w:rPr>
          <w:rFonts w:ascii="Arial" w:hAnsi="Arial" w:cs="Arial"/>
          <w:sz w:val="24"/>
          <w:szCs w:val="24"/>
        </w:rPr>
        <w:t xml:space="preserve">Although AI improved the efficiency of the writing process, its outputs required careful verification because generative AI systems can produce inaccurate information or "hallucinations". To minimise this risk, every factual statement, statistic and company-specific claim generated by AI was compared against reliable academic and industry sources before being included in the report. </w:t>
      </w:r>
      <w:proofErr w:type="gramStart"/>
      <w:r w:rsidRPr="00CE58E7">
        <w:rPr>
          <w:rFonts w:ascii="Arial" w:hAnsi="Arial" w:cs="Arial"/>
          <w:sz w:val="24"/>
          <w:szCs w:val="24"/>
        </w:rPr>
        <w:t>In particular, BHP's</w:t>
      </w:r>
      <w:proofErr w:type="gramEnd"/>
      <w:r w:rsidRPr="00CE58E7">
        <w:rPr>
          <w:rFonts w:ascii="Arial" w:hAnsi="Arial" w:cs="Arial"/>
          <w:sz w:val="24"/>
          <w:szCs w:val="24"/>
        </w:rPr>
        <w:t xml:space="preserve"> sustainability commitments, emissions reduction targets and strategic priorities were checked against the company's published Annual Report and Sustainability Report.</w:t>
      </w:r>
    </w:p>
    <w:p w14:paraId="324A9058" w14:textId="77777777" w:rsidR="00CE58E7" w:rsidRPr="00CE58E7" w:rsidRDefault="00CE58E7" w:rsidP="00CE58E7">
      <w:pPr>
        <w:jc w:val="both"/>
        <w:rPr>
          <w:rFonts w:ascii="Arial" w:hAnsi="Arial" w:cs="Arial"/>
          <w:sz w:val="24"/>
          <w:szCs w:val="24"/>
        </w:rPr>
      </w:pPr>
      <w:r w:rsidRPr="00CE58E7">
        <w:rPr>
          <w:rFonts w:ascii="Arial" w:hAnsi="Arial" w:cs="Arial"/>
          <w:sz w:val="24"/>
          <w:szCs w:val="24"/>
        </w:rPr>
        <w:t>Academic theories suggested by AI were also verified using peer-reviewed literature and recommended course textbooks. Where AI produced overly descriptive or general explanations, these were revised to provide stronger critical analysis by comparing alternative viewpoints and evaluating both opportunities and limitations. This process ensured that unsupported claims, incorrect references and logical inconsistencies were removed before submission.</w:t>
      </w:r>
    </w:p>
    <w:p w14:paraId="71905BAE" w14:textId="77777777" w:rsidR="00CE58E7" w:rsidRPr="00C377AC" w:rsidRDefault="00CE58E7" w:rsidP="00CE58E7">
      <w:pPr>
        <w:jc w:val="both"/>
        <w:rPr>
          <w:rFonts w:ascii="Arial" w:hAnsi="Arial" w:cs="Arial"/>
          <w:b/>
          <w:bCs/>
          <w:sz w:val="24"/>
          <w:szCs w:val="24"/>
        </w:rPr>
      </w:pPr>
      <w:r w:rsidRPr="00C377AC">
        <w:rPr>
          <w:rFonts w:ascii="Arial" w:hAnsi="Arial" w:cs="Arial"/>
          <w:b/>
          <w:bCs/>
          <w:sz w:val="24"/>
          <w:szCs w:val="24"/>
        </w:rPr>
        <w:t>Contribution Analysis</w:t>
      </w:r>
    </w:p>
    <w:p w14:paraId="4A1A08A3" w14:textId="77777777" w:rsidR="00CE58E7" w:rsidRPr="00CE58E7" w:rsidRDefault="00CE58E7" w:rsidP="00CE58E7">
      <w:pPr>
        <w:jc w:val="both"/>
        <w:rPr>
          <w:rFonts w:ascii="Arial" w:hAnsi="Arial" w:cs="Arial"/>
          <w:sz w:val="24"/>
          <w:szCs w:val="24"/>
        </w:rPr>
      </w:pPr>
      <w:r w:rsidRPr="00CE58E7">
        <w:rPr>
          <w:rFonts w:ascii="Arial" w:hAnsi="Arial" w:cs="Arial"/>
          <w:sz w:val="24"/>
          <w:szCs w:val="24"/>
        </w:rPr>
        <w:t>The final report represents a combination of AI-assisted drafting and my own original academic contribution. AI primarily assisted with generating an initial framework, improving grammar, enhancing readability and suggesting possible areas for discussion. However, the selection of external marketing actors, the justification for recommending product development within the Ansoff Matrix and the evaluation of BHP's competitive advantage were based on my own interpretation of academic literature and company evidence.</w:t>
      </w:r>
    </w:p>
    <w:p w14:paraId="63CA3ABE" w14:textId="77777777" w:rsidR="00CE58E7" w:rsidRPr="00CE58E7" w:rsidRDefault="00CE58E7" w:rsidP="00CE58E7">
      <w:pPr>
        <w:jc w:val="both"/>
        <w:rPr>
          <w:rFonts w:ascii="Arial" w:hAnsi="Arial" w:cs="Arial"/>
          <w:sz w:val="24"/>
          <w:szCs w:val="24"/>
        </w:rPr>
      </w:pPr>
      <w:r w:rsidRPr="00CE58E7">
        <w:rPr>
          <w:rFonts w:ascii="Arial" w:hAnsi="Arial" w:cs="Arial"/>
          <w:sz w:val="24"/>
          <w:szCs w:val="24"/>
        </w:rPr>
        <w:t>Furthermore, I independently selected supporting references, integrated Harvard citations and refined the discussion to align with the assignment learning outcomes. The critical comparisons, recommendations and conclusions therefore reflect my own analysis rather than content produced solely by AI.</w:t>
      </w:r>
    </w:p>
    <w:p w14:paraId="603C6995" w14:textId="77777777" w:rsidR="00CE58E7" w:rsidRPr="00C377AC" w:rsidRDefault="00CE58E7" w:rsidP="00CE58E7">
      <w:pPr>
        <w:jc w:val="both"/>
        <w:rPr>
          <w:rFonts w:ascii="Arial" w:hAnsi="Arial" w:cs="Arial"/>
          <w:b/>
          <w:bCs/>
          <w:sz w:val="24"/>
          <w:szCs w:val="24"/>
        </w:rPr>
      </w:pPr>
      <w:r w:rsidRPr="00C377AC">
        <w:rPr>
          <w:rFonts w:ascii="Arial" w:hAnsi="Arial" w:cs="Arial"/>
          <w:b/>
          <w:bCs/>
          <w:sz w:val="24"/>
          <w:szCs w:val="24"/>
        </w:rPr>
        <w:t>Ethical and Professional Reflection</w:t>
      </w:r>
    </w:p>
    <w:p w14:paraId="08AB5BD0" w14:textId="77777777" w:rsidR="00CE58E7" w:rsidRPr="00CE58E7" w:rsidRDefault="00CE58E7" w:rsidP="00CE58E7">
      <w:pPr>
        <w:jc w:val="both"/>
        <w:rPr>
          <w:rFonts w:ascii="Arial" w:hAnsi="Arial" w:cs="Arial"/>
          <w:sz w:val="24"/>
          <w:szCs w:val="24"/>
        </w:rPr>
      </w:pPr>
      <w:r w:rsidRPr="00CE58E7">
        <w:rPr>
          <w:rFonts w:ascii="Arial" w:hAnsi="Arial" w:cs="Arial"/>
          <w:sz w:val="24"/>
          <w:szCs w:val="24"/>
        </w:rPr>
        <w:t>The increasing use of AI in marketing analysis creates important ethical and professional considerations. AI enables organisations and students to analyse large volumes of information efficiently, improving productivity and supporting informed decision-making. However, excessive dependence on AI may reduce critical thinking, introduce factual inaccuracies and create concerns regarding originality and academic integrity.</w:t>
      </w:r>
    </w:p>
    <w:p w14:paraId="1D8853ED" w14:textId="7F5CCA7D" w:rsidR="00CE58E7" w:rsidRDefault="00CE58E7" w:rsidP="00CE58E7">
      <w:pPr>
        <w:jc w:val="both"/>
        <w:rPr>
          <w:rFonts w:ascii="Arial" w:hAnsi="Arial" w:cs="Arial"/>
          <w:sz w:val="24"/>
          <w:szCs w:val="24"/>
        </w:rPr>
      </w:pPr>
      <w:r w:rsidRPr="00CE58E7">
        <w:rPr>
          <w:rFonts w:ascii="Arial" w:hAnsi="Arial" w:cs="Arial"/>
          <w:sz w:val="24"/>
          <w:szCs w:val="24"/>
        </w:rPr>
        <w:t>Responsible AI use requires transparency regarding how the technology has been used, together with careful human oversight throughout the research and writing process. Users remain accountable for verifying information, evaluating evidence and ensuring that conclusions are supported by credible sources rather than accepting</w:t>
      </w:r>
      <w:r w:rsidR="004C31C0">
        <w:rPr>
          <w:rFonts w:ascii="Arial" w:hAnsi="Arial" w:cs="Arial"/>
          <w:sz w:val="24"/>
          <w:szCs w:val="24"/>
        </w:rPr>
        <w:t xml:space="preserve"> AI generated</w:t>
      </w:r>
      <w:r w:rsidR="00C377AC">
        <w:rPr>
          <w:rFonts w:ascii="Arial" w:hAnsi="Arial" w:cs="Arial"/>
          <w:sz w:val="24"/>
          <w:szCs w:val="24"/>
        </w:rPr>
        <w:t xml:space="preserve"> content without question.</w:t>
      </w:r>
    </w:p>
    <w:p w14:paraId="61A80F0A" w14:textId="0755ED98" w:rsidR="00B15163" w:rsidRDefault="00B15163">
      <w:pPr>
        <w:rPr>
          <w:rFonts w:ascii="Arial" w:hAnsi="Arial" w:cs="Arial"/>
          <w:sz w:val="24"/>
          <w:szCs w:val="24"/>
        </w:rPr>
      </w:pPr>
      <w:r>
        <w:rPr>
          <w:rFonts w:ascii="Arial" w:hAnsi="Arial" w:cs="Arial"/>
          <w:sz w:val="24"/>
          <w:szCs w:val="24"/>
        </w:rPr>
        <w:br w:type="page"/>
      </w:r>
    </w:p>
    <w:p w14:paraId="06889678" w14:textId="42071455" w:rsidR="00B15163" w:rsidRDefault="00B15163" w:rsidP="00CE58E7">
      <w:pPr>
        <w:jc w:val="both"/>
        <w:rPr>
          <w:rFonts w:ascii="Arial" w:hAnsi="Arial" w:cs="Arial"/>
          <w:b/>
          <w:bCs/>
          <w:sz w:val="24"/>
          <w:szCs w:val="24"/>
        </w:rPr>
      </w:pPr>
      <w:r>
        <w:rPr>
          <w:rFonts w:ascii="Arial" w:hAnsi="Arial" w:cs="Arial"/>
          <w:b/>
          <w:bCs/>
          <w:sz w:val="24"/>
          <w:szCs w:val="24"/>
        </w:rPr>
        <w:lastRenderedPageBreak/>
        <w:t>REFERENCES</w:t>
      </w:r>
    </w:p>
    <w:p w14:paraId="6BAFECEE" w14:textId="77548961" w:rsidR="00F17EF5" w:rsidRPr="00F17EF5" w:rsidRDefault="00F17EF5" w:rsidP="00CE58E7">
      <w:pPr>
        <w:jc w:val="both"/>
        <w:rPr>
          <w:rFonts w:ascii="Arial" w:hAnsi="Arial" w:cs="Arial"/>
          <w:sz w:val="24"/>
          <w:szCs w:val="24"/>
        </w:rPr>
      </w:pPr>
      <w:r w:rsidRPr="00052E6D">
        <w:rPr>
          <w:rFonts w:ascii="Arial" w:hAnsi="Arial" w:cs="Arial"/>
          <w:sz w:val="24"/>
          <w:szCs w:val="24"/>
        </w:rPr>
        <w:t>Ansoff, H.I. (1957) ‘Strategies for diversification’, Harvard Business Review, 35(5), pp. 113–124.</w:t>
      </w:r>
    </w:p>
    <w:p w14:paraId="5182CCD5" w14:textId="77777777" w:rsidR="00946821" w:rsidRPr="00946821" w:rsidRDefault="00946821" w:rsidP="00946821">
      <w:pPr>
        <w:jc w:val="both"/>
        <w:rPr>
          <w:rFonts w:ascii="Arial" w:hAnsi="Arial" w:cs="Arial"/>
          <w:sz w:val="24"/>
          <w:szCs w:val="24"/>
        </w:rPr>
      </w:pPr>
      <w:r w:rsidRPr="00946821">
        <w:rPr>
          <w:rFonts w:ascii="Arial" w:hAnsi="Arial" w:cs="Arial"/>
          <w:sz w:val="24"/>
          <w:szCs w:val="24"/>
        </w:rPr>
        <w:t>Australian Government (2024) Australia's Net Zero Plan. Canberra: Department of Climate Change, Energy, the Environment and Water.</w:t>
      </w:r>
    </w:p>
    <w:p w14:paraId="21F8EAF6" w14:textId="77777777" w:rsidR="00946821" w:rsidRPr="00946821" w:rsidRDefault="00946821" w:rsidP="00946821">
      <w:pPr>
        <w:jc w:val="both"/>
        <w:rPr>
          <w:rFonts w:ascii="Arial" w:hAnsi="Arial" w:cs="Arial"/>
          <w:sz w:val="24"/>
          <w:szCs w:val="24"/>
        </w:rPr>
      </w:pPr>
      <w:r w:rsidRPr="00946821">
        <w:rPr>
          <w:rFonts w:ascii="Arial" w:hAnsi="Arial" w:cs="Arial"/>
          <w:sz w:val="24"/>
          <w:szCs w:val="24"/>
        </w:rPr>
        <w:t>BHP (2024) Annual Report 2024. Melbourne: BHP Group.</w:t>
      </w:r>
    </w:p>
    <w:p w14:paraId="655AA234" w14:textId="77777777" w:rsidR="00946821" w:rsidRPr="00946821" w:rsidRDefault="00946821" w:rsidP="00946821">
      <w:pPr>
        <w:jc w:val="both"/>
        <w:rPr>
          <w:rFonts w:ascii="Arial" w:hAnsi="Arial" w:cs="Arial"/>
          <w:sz w:val="24"/>
          <w:szCs w:val="24"/>
        </w:rPr>
      </w:pPr>
      <w:r w:rsidRPr="00946821">
        <w:rPr>
          <w:rFonts w:ascii="Arial" w:hAnsi="Arial" w:cs="Arial"/>
          <w:sz w:val="24"/>
          <w:szCs w:val="24"/>
        </w:rPr>
        <w:t>Eccles, R.G. and Klimenko, S. (2019) 'The investor revolution', Harvard Business Review, 97(3), pp. 106–116.</w:t>
      </w:r>
    </w:p>
    <w:p w14:paraId="610D7FA1" w14:textId="77777777" w:rsidR="00946821" w:rsidRPr="00946821" w:rsidRDefault="00946821" w:rsidP="00946821">
      <w:pPr>
        <w:jc w:val="both"/>
        <w:rPr>
          <w:rFonts w:ascii="Arial" w:hAnsi="Arial" w:cs="Arial"/>
          <w:sz w:val="24"/>
          <w:szCs w:val="24"/>
        </w:rPr>
      </w:pPr>
      <w:r w:rsidRPr="00946821">
        <w:rPr>
          <w:rFonts w:ascii="Arial" w:hAnsi="Arial" w:cs="Arial"/>
          <w:sz w:val="24"/>
          <w:szCs w:val="24"/>
        </w:rPr>
        <w:t>International Energy Agency (2024) Global Critical Minerals Outlook 2024. Paris: IEA.</w:t>
      </w:r>
    </w:p>
    <w:p w14:paraId="5DE61C0D" w14:textId="77777777" w:rsidR="00946821" w:rsidRPr="00946821" w:rsidRDefault="00946821" w:rsidP="00946821">
      <w:pPr>
        <w:jc w:val="both"/>
        <w:rPr>
          <w:rFonts w:ascii="Arial" w:hAnsi="Arial" w:cs="Arial"/>
          <w:sz w:val="24"/>
          <w:szCs w:val="24"/>
        </w:rPr>
      </w:pPr>
      <w:r w:rsidRPr="00946821">
        <w:rPr>
          <w:rFonts w:ascii="Arial" w:hAnsi="Arial" w:cs="Arial"/>
          <w:sz w:val="24"/>
          <w:szCs w:val="24"/>
        </w:rPr>
        <w:t>Intergovernmental Panel on Climate Change (IPCC) (2023) AR6 Synthesis Report: Climate Change 2023. Geneva: IPCC.</w:t>
      </w:r>
    </w:p>
    <w:p w14:paraId="5FCF1362" w14:textId="77777777" w:rsidR="00946821" w:rsidRDefault="00946821" w:rsidP="00946821">
      <w:pPr>
        <w:jc w:val="both"/>
        <w:rPr>
          <w:rFonts w:ascii="Arial" w:hAnsi="Arial" w:cs="Arial"/>
          <w:sz w:val="24"/>
          <w:szCs w:val="24"/>
        </w:rPr>
      </w:pPr>
      <w:r w:rsidRPr="00946821">
        <w:rPr>
          <w:rFonts w:ascii="Arial" w:hAnsi="Arial" w:cs="Arial"/>
          <w:sz w:val="24"/>
          <w:szCs w:val="24"/>
        </w:rPr>
        <w:t xml:space="preserve">Kotler, P., Keller, K.L. and Chernev, A. (2024) Marketing Management. 17th </w:t>
      </w:r>
      <w:proofErr w:type="spellStart"/>
      <w:r w:rsidRPr="00946821">
        <w:rPr>
          <w:rFonts w:ascii="Arial" w:hAnsi="Arial" w:cs="Arial"/>
          <w:sz w:val="24"/>
          <w:szCs w:val="24"/>
        </w:rPr>
        <w:t>edn</w:t>
      </w:r>
      <w:proofErr w:type="spellEnd"/>
      <w:r w:rsidRPr="00946821">
        <w:rPr>
          <w:rFonts w:ascii="Arial" w:hAnsi="Arial" w:cs="Arial"/>
          <w:sz w:val="24"/>
          <w:szCs w:val="24"/>
        </w:rPr>
        <w:t>. Harlow: Pearson.</w:t>
      </w:r>
    </w:p>
    <w:p w14:paraId="226965F2" w14:textId="5329B25F" w:rsidR="006C4B57" w:rsidRPr="00946821" w:rsidRDefault="006C4B57" w:rsidP="00946821">
      <w:pPr>
        <w:jc w:val="both"/>
        <w:rPr>
          <w:rFonts w:ascii="Arial" w:hAnsi="Arial" w:cs="Arial"/>
          <w:sz w:val="24"/>
          <w:szCs w:val="24"/>
        </w:rPr>
      </w:pPr>
      <w:r w:rsidRPr="00052E6D">
        <w:rPr>
          <w:rFonts w:ascii="Arial" w:hAnsi="Arial" w:cs="Arial"/>
          <w:sz w:val="24"/>
          <w:szCs w:val="24"/>
        </w:rPr>
        <w:t>Porter, M.E. (1985) Competitive Advantage: Creating and Sustaining Superior Performance. New York: Free Press.</w:t>
      </w:r>
    </w:p>
    <w:p w14:paraId="26278FB0" w14:textId="77777777" w:rsidR="00946821" w:rsidRPr="00946821" w:rsidRDefault="00946821" w:rsidP="00946821">
      <w:pPr>
        <w:jc w:val="both"/>
        <w:rPr>
          <w:rFonts w:ascii="Arial" w:hAnsi="Arial" w:cs="Arial"/>
          <w:sz w:val="24"/>
          <w:szCs w:val="24"/>
        </w:rPr>
      </w:pPr>
      <w:r w:rsidRPr="00946821">
        <w:rPr>
          <w:rFonts w:ascii="Arial" w:hAnsi="Arial" w:cs="Arial"/>
          <w:sz w:val="24"/>
          <w:szCs w:val="24"/>
        </w:rPr>
        <w:t>Porter, M.E. and van der Linde, C. (1995) 'Toward a new conception of the environment-competitiveness relationship', Journal of Economic Perspectives, 9(4), pp. 97–118.</w:t>
      </w:r>
    </w:p>
    <w:p w14:paraId="63E6075F" w14:textId="3515AC91" w:rsidR="00052E6D" w:rsidRPr="00052E6D" w:rsidRDefault="00946821" w:rsidP="00052E6D">
      <w:pPr>
        <w:jc w:val="both"/>
        <w:rPr>
          <w:rFonts w:ascii="Arial" w:hAnsi="Arial" w:cs="Arial"/>
          <w:sz w:val="24"/>
          <w:szCs w:val="24"/>
        </w:rPr>
      </w:pPr>
      <w:r w:rsidRPr="00946821">
        <w:rPr>
          <w:rFonts w:ascii="Arial" w:hAnsi="Arial" w:cs="Arial"/>
          <w:sz w:val="24"/>
          <w:szCs w:val="24"/>
        </w:rPr>
        <w:t xml:space="preserve">Slack, K. (2023) 'The evolution of ESG in the mining sector', Resources Policy, 84, </w:t>
      </w:r>
      <w:proofErr w:type="gramStart"/>
      <w:r w:rsidRPr="00946821">
        <w:rPr>
          <w:rFonts w:ascii="Arial" w:hAnsi="Arial" w:cs="Arial"/>
          <w:sz w:val="24"/>
          <w:szCs w:val="24"/>
        </w:rPr>
        <w:t>103708.</w:t>
      </w:r>
      <w:r w:rsidR="00052E6D" w:rsidRPr="00052E6D">
        <w:rPr>
          <w:rFonts w:ascii="Arial" w:hAnsi="Arial" w:cs="Arial"/>
          <w:sz w:val="24"/>
          <w:szCs w:val="24"/>
        </w:rPr>
        <w:t>.</w:t>
      </w:r>
      <w:proofErr w:type="gramEnd"/>
    </w:p>
    <w:p w14:paraId="27BE31D2" w14:textId="01ACCF31" w:rsidR="003F1940" w:rsidRPr="00946821" w:rsidRDefault="003F1940" w:rsidP="00052E6D">
      <w:pPr>
        <w:jc w:val="both"/>
        <w:rPr>
          <w:rFonts w:ascii="Arial" w:hAnsi="Arial" w:cs="Arial"/>
          <w:sz w:val="24"/>
          <w:szCs w:val="24"/>
        </w:rPr>
      </w:pPr>
    </w:p>
    <w:sectPr w:rsidR="003F1940" w:rsidRPr="00946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0770A13C-6936-4932-ABBB-A670C2BB1101}"/>
    <w:docVar w:name="dgnword-drafile" w:val="C:\Users\PETERF~1\AppData\Local\Temp\dra5FBE.tmp"/>
    <w:docVar w:name="dgnword-eventsink" w:val="2212100256720"/>
  </w:docVars>
  <w:rsids>
    <w:rsidRoot w:val="00A509AF"/>
    <w:rsid w:val="000160A6"/>
    <w:rsid w:val="0002688D"/>
    <w:rsid w:val="00052E6D"/>
    <w:rsid w:val="00055A1F"/>
    <w:rsid w:val="0006167E"/>
    <w:rsid w:val="0008639D"/>
    <w:rsid w:val="000930C2"/>
    <w:rsid w:val="000A34F6"/>
    <w:rsid w:val="00100628"/>
    <w:rsid w:val="00125386"/>
    <w:rsid w:val="001255AF"/>
    <w:rsid w:val="00143F33"/>
    <w:rsid w:val="00152AFE"/>
    <w:rsid w:val="00172143"/>
    <w:rsid w:val="00175D20"/>
    <w:rsid w:val="00196C50"/>
    <w:rsid w:val="001B0735"/>
    <w:rsid w:val="001D0902"/>
    <w:rsid w:val="00214679"/>
    <w:rsid w:val="002570EE"/>
    <w:rsid w:val="002631F0"/>
    <w:rsid w:val="00274127"/>
    <w:rsid w:val="00274FF8"/>
    <w:rsid w:val="002C4F42"/>
    <w:rsid w:val="002F38C9"/>
    <w:rsid w:val="003175D2"/>
    <w:rsid w:val="00340D88"/>
    <w:rsid w:val="00360A5F"/>
    <w:rsid w:val="00377999"/>
    <w:rsid w:val="003A555F"/>
    <w:rsid w:val="003E664C"/>
    <w:rsid w:val="003F1940"/>
    <w:rsid w:val="00407509"/>
    <w:rsid w:val="00430BB9"/>
    <w:rsid w:val="004752D6"/>
    <w:rsid w:val="0048692F"/>
    <w:rsid w:val="004C31C0"/>
    <w:rsid w:val="005125DA"/>
    <w:rsid w:val="005208F4"/>
    <w:rsid w:val="00521D73"/>
    <w:rsid w:val="005250D9"/>
    <w:rsid w:val="00534052"/>
    <w:rsid w:val="00607831"/>
    <w:rsid w:val="00622842"/>
    <w:rsid w:val="00622C91"/>
    <w:rsid w:val="006355B5"/>
    <w:rsid w:val="0067247F"/>
    <w:rsid w:val="0068572F"/>
    <w:rsid w:val="006A3B63"/>
    <w:rsid w:val="006C3E2A"/>
    <w:rsid w:val="006C4B57"/>
    <w:rsid w:val="007107FA"/>
    <w:rsid w:val="007247B8"/>
    <w:rsid w:val="00725464"/>
    <w:rsid w:val="0073287D"/>
    <w:rsid w:val="00737FCF"/>
    <w:rsid w:val="007728D3"/>
    <w:rsid w:val="00773368"/>
    <w:rsid w:val="00776640"/>
    <w:rsid w:val="007918A2"/>
    <w:rsid w:val="00791E0B"/>
    <w:rsid w:val="007A7275"/>
    <w:rsid w:val="007C3321"/>
    <w:rsid w:val="008155AF"/>
    <w:rsid w:val="00816EF7"/>
    <w:rsid w:val="0087066B"/>
    <w:rsid w:val="008F7365"/>
    <w:rsid w:val="00946821"/>
    <w:rsid w:val="00961066"/>
    <w:rsid w:val="00987ACF"/>
    <w:rsid w:val="009C3A3A"/>
    <w:rsid w:val="009C5AA3"/>
    <w:rsid w:val="009E5DCB"/>
    <w:rsid w:val="009F31D7"/>
    <w:rsid w:val="00A0197E"/>
    <w:rsid w:val="00A271CD"/>
    <w:rsid w:val="00A509AF"/>
    <w:rsid w:val="00A6362C"/>
    <w:rsid w:val="00A647AB"/>
    <w:rsid w:val="00AA41AC"/>
    <w:rsid w:val="00AA566C"/>
    <w:rsid w:val="00AD7B9D"/>
    <w:rsid w:val="00AE0CA4"/>
    <w:rsid w:val="00B15163"/>
    <w:rsid w:val="00B1524F"/>
    <w:rsid w:val="00B275F4"/>
    <w:rsid w:val="00B419E1"/>
    <w:rsid w:val="00B43D97"/>
    <w:rsid w:val="00B6348C"/>
    <w:rsid w:val="00B65499"/>
    <w:rsid w:val="00B75240"/>
    <w:rsid w:val="00B818D3"/>
    <w:rsid w:val="00BA528B"/>
    <w:rsid w:val="00BF3961"/>
    <w:rsid w:val="00C24B1C"/>
    <w:rsid w:val="00C377AC"/>
    <w:rsid w:val="00C40040"/>
    <w:rsid w:val="00C41ACC"/>
    <w:rsid w:val="00C73765"/>
    <w:rsid w:val="00C75C20"/>
    <w:rsid w:val="00CB6815"/>
    <w:rsid w:val="00CB7760"/>
    <w:rsid w:val="00CD0CFB"/>
    <w:rsid w:val="00CE58E7"/>
    <w:rsid w:val="00D6799C"/>
    <w:rsid w:val="00D67F94"/>
    <w:rsid w:val="00D953F9"/>
    <w:rsid w:val="00DD5105"/>
    <w:rsid w:val="00DE62FC"/>
    <w:rsid w:val="00E00CA3"/>
    <w:rsid w:val="00E229F3"/>
    <w:rsid w:val="00E26765"/>
    <w:rsid w:val="00E56CC6"/>
    <w:rsid w:val="00E90690"/>
    <w:rsid w:val="00EC16C0"/>
    <w:rsid w:val="00EC59D5"/>
    <w:rsid w:val="00EE111E"/>
    <w:rsid w:val="00EE525A"/>
    <w:rsid w:val="00F17EF5"/>
    <w:rsid w:val="00F30D50"/>
    <w:rsid w:val="00F349D6"/>
    <w:rsid w:val="00F70F3D"/>
    <w:rsid w:val="00F70F89"/>
    <w:rsid w:val="00F75D67"/>
    <w:rsid w:val="00F81310"/>
    <w:rsid w:val="00FB58BD"/>
    <w:rsid w:val="00FB657B"/>
    <w:rsid w:val="00FE3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3B1A6"/>
  <w15:chartTrackingRefBased/>
  <w15:docId w15:val="{C98922DD-7CDB-46C5-84F7-CE82681DC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B57"/>
  </w:style>
  <w:style w:type="paragraph" w:styleId="Heading1">
    <w:name w:val="heading 1"/>
    <w:basedOn w:val="Normal"/>
    <w:next w:val="Normal"/>
    <w:link w:val="Heading1Char"/>
    <w:uiPriority w:val="9"/>
    <w:qFormat/>
    <w:rsid w:val="00A509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09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09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09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09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09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09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09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09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9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09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09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09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09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09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09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09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09AF"/>
    <w:rPr>
      <w:rFonts w:eastAsiaTheme="majorEastAsia" w:cstheme="majorBidi"/>
      <w:color w:val="272727" w:themeColor="text1" w:themeTint="D8"/>
    </w:rPr>
  </w:style>
  <w:style w:type="paragraph" w:styleId="Title">
    <w:name w:val="Title"/>
    <w:basedOn w:val="Normal"/>
    <w:next w:val="Normal"/>
    <w:link w:val="TitleChar"/>
    <w:uiPriority w:val="10"/>
    <w:qFormat/>
    <w:rsid w:val="00A509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9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09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09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09AF"/>
    <w:pPr>
      <w:spacing w:before="160"/>
      <w:jc w:val="center"/>
    </w:pPr>
    <w:rPr>
      <w:i/>
      <w:iCs/>
      <w:color w:val="404040" w:themeColor="text1" w:themeTint="BF"/>
    </w:rPr>
  </w:style>
  <w:style w:type="character" w:customStyle="1" w:styleId="QuoteChar">
    <w:name w:val="Quote Char"/>
    <w:basedOn w:val="DefaultParagraphFont"/>
    <w:link w:val="Quote"/>
    <w:uiPriority w:val="29"/>
    <w:rsid w:val="00A509AF"/>
    <w:rPr>
      <w:i/>
      <w:iCs/>
      <w:color w:val="404040" w:themeColor="text1" w:themeTint="BF"/>
    </w:rPr>
  </w:style>
  <w:style w:type="paragraph" w:styleId="ListParagraph">
    <w:name w:val="List Paragraph"/>
    <w:basedOn w:val="Normal"/>
    <w:uiPriority w:val="34"/>
    <w:qFormat/>
    <w:rsid w:val="00A509AF"/>
    <w:pPr>
      <w:ind w:left="720"/>
      <w:contextualSpacing/>
    </w:pPr>
  </w:style>
  <w:style w:type="character" w:styleId="IntenseEmphasis">
    <w:name w:val="Intense Emphasis"/>
    <w:basedOn w:val="DefaultParagraphFont"/>
    <w:uiPriority w:val="21"/>
    <w:qFormat/>
    <w:rsid w:val="00A509AF"/>
    <w:rPr>
      <w:i/>
      <w:iCs/>
      <w:color w:val="0F4761" w:themeColor="accent1" w:themeShade="BF"/>
    </w:rPr>
  </w:style>
  <w:style w:type="paragraph" w:styleId="IntenseQuote">
    <w:name w:val="Intense Quote"/>
    <w:basedOn w:val="Normal"/>
    <w:next w:val="Normal"/>
    <w:link w:val="IntenseQuoteChar"/>
    <w:uiPriority w:val="30"/>
    <w:qFormat/>
    <w:rsid w:val="00A509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09AF"/>
    <w:rPr>
      <w:i/>
      <w:iCs/>
      <w:color w:val="0F4761" w:themeColor="accent1" w:themeShade="BF"/>
    </w:rPr>
  </w:style>
  <w:style w:type="character" w:styleId="IntenseReference">
    <w:name w:val="Intense Reference"/>
    <w:basedOn w:val="DefaultParagraphFont"/>
    <w:uiPriority w:val="32"/>
    <w:qFormat/>
    <w:rsid w:val="00A509A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6" ma:contentTypeDescription="Create a new document." ma:contentTypeScope="" ma:versionID="3b656d0061dc4e93b13924de368eeeb1">
  <xsd:schema xmlns:xsd="http://www.w3.org/2001/XMLSchema" xmlns:xs="http://www.w3.org/2001/XMLSchema" xmlns:p="http://schemas.microsoft.com/office/2006/metadata/properties" xmlns:ns3="82f5a46a-80c7-47f7-9d28-dc929746944c" targetNamespace="http://schemas.microsoft.com/office/2006/metadata/properties" ma:root="true" ma:fieldsID="f05ff9ac39f0f1113d4f69a01836e126" ns3:_="">
    <xsd:import namespace="82f5a46a-80c7-47f7-9d28-dc929746944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Props1.xml><?xml version="1.0" encoding="utf-8"?>
<ds:datastoreItem xmlns:ds="http://schemas.openxmlformats.org/officeDocument/2006/customXml" ds:itemID="{053EFE3C-AC07-4754-8529-CE8176534B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08B8EA-1672-4EF4-901E-EEC892F8F875}">
  <ds:schemaRefs>
    <ds:schemaRef ds:uri="http://schemas.microsoft.com/sharepoint/v3/contenttype/forms"/>
  </ds:schemaRefs>
</ds:datastoreItem>
</file>

<file path=customXml/itemProps3.xml><?xml version="1.0" encoding="utf-8"?>
<ds:datastoreItem xmlns:ds="http://schemas.openxmlformats.org/officeDocument/2006/customXml" ds:itemID="{BA48EA90-B48F-4726-B4F0-5ED952CF1781}">
  <ds:schemaRefs>
    <ds:schemaRef ds:uri="http://schemas.microsoft.com/office/2006/metadata/properties"/>
    <ds:schemaRef ds:uri="http://schemas.microsoft.com/office/infopath/2007/PartnerControls"/>
    <ds:schemaRef ds:uri="82f5a46a-80c7-47f7-9d28-dc929746944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3546</Words>
  <Characters>20218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Francis (2236501)</dc:creator>
  <cp:keywords/>
  <dc:description/>
  <cp:lastModifiedBy>Peter Francis (2236501)</cp:lastModifiedBy>
  <cp:revision>2</cp:revision>
  <dcterms:created xsi:type="dcterms:W3CDTF">2026-07-02T16:16:00Z</dcterms:created>
  <dcterms:modified xsi:type="dcterms:W3CDTF">2026-07-02T16:16:00Z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