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9E610B" w14:textId="3F770949" w:rsidR="008961E0" w:rsidRDefault="001C296A" w:rsidP="00754230">
      <w:pPr>
        <w:spacing w:line="480" w:lineRule="auto"/>
        <w:rPr>
          <w:rFonts w:ascii="Times New Roman" w:hAnsi="Times New Roman" w:cs="Times New Roman"/>
          <w:sz w:val="28"/>
          <w:szCs w:val="28"/>
        </w:rPr>
      </w:pPr>
      <w:r>
        <w:rPr>
          <w:rFonts w:ascii="Times New Roman" w:hAnsi="Times New Roman" w:cs="Times New Roman"/>
          <w:sz w:val="28"/>
          <w:szCs w:val="28"/>
        </w:rPr>
        <w:t xml:space="preserve">Conscription of </w:t>
      </w:r>
      <w:r w:rsidR="005E54F8" w:rsidRPr="005E54F8">
        <w:rPr>
          <w:rFonts w:ascii="Times New Roman" w:hAnsi="Times New Roman" w:cs="Times New Roman"/>
          <w:sz w:val="28"/>
          <w:szCs w:val="28"/>
        </w:rPr>
        <w:t xml:space="preserve">Hoplites </w:t>
      </w:r>
      <w:r w:rsidR="005E54F8">
        <w:rPr>
          <w:rFonts w:ascii="Times New Roman" w:hAnsi="Times New Roman" w:cs="Times New Roman"/>
          <w:sz w:val="28"/>
          <w:szCs w:val="28"/>
        </w:rPr>
        <w:t>R</w:t>
      </w:r>
      <w:r w:rsidR="005E54F8" w:rsidRPr="005E54F8">
        <w:rPr>
          <w:rFonts w:ascii="Times New Roman" w:hAnsi="Times New Roman" w:cs="Times New Roman"/>
          <w:sz w:val="28"/>
          <w:szCs w:val="28"/>
        </w:rPr>
        <w:t xml:space="preserve">eply </w:t>
      </w:r>
    </w:p>
    <w:p w14:paraId="15D669AE" w14:textId="033A2F6B" w:rsidR="00754230" w:rsidRDefault="005E54F8" w:rsidP="00754230">
      <w:pPr>
        <w:spacing w:line="480" w:lineRule="auto"/>
        <w:rPr>
          <w:rFonts w:ascii="Times New Roman" w:hAnsi="Times New Roman" w:cs="Times New Roman"/>
          <w:sz w:val="24"/>
          <w:szCs w:val="28"/>
        </w:rPr>
      </w:pPr>
      <w:r>
        <w:rPr>
          <w:rFonts w:ascii="Times New Roman" w:hAnsi="Times New Roman" w:cs="Times New Roman"/>
          <w:sz w:val="24"/>
          <w:szCs w:val="28"/>
        </w:rPr>
        <w:t xml:space="preserve">In this article, </w:t>
      </w:r>
      <w:r>
        <w:rPr>
          <w:rFonts w:ascii="Times New Roman" w:hAnsi="Times New Roman" w:cs="Times New Roman"/>
          <w:i/>
          <w:sz w:val="24"/>
          <w:szCs w:val="28"/>
        </w:rPr>
        <w:t>Conscription of Hoplites in Classical</w:t>
      </w:r>
      <w:r>
        <w:rPr>
          <w:rFonts w:ascii="Times New Roman" w:hAnsi="Times New Roman" w:cs="Times New Roman"/>
          <w:sz w:val="24"/>
          <w:szCs w:val="28"/>
        </w:rPr>
        <w:t xml:space="preserve"> </w:t>
      </w:r>
      <w:r w:rsidRPr="005E54F8">
        <w:rPr>
          <w:rFonts w:ascii="Times New Roman" w:hAnsi="Times New Roman" w:cs="Times New Roman"/>
          <w:i/>
          <w:sz w:val="24"/>
          <w:szCs w:val="28"/>
        </w:rPr>
        <w:t>Athens</w:t>
      </w:r>
      <w:r>
        <w:rPr>
          <w:rFonts w:ascii="Times New Roman" w:hAnsi="Times New Roman" w:cs="Times New Roman"/>
          <w:sz w:val="24"/>
          <w:szCs w:val="28"/>
        </w:rPr>
        <w:t xml:space="preserve">, Christ details the method by which the </w:t>
      </w:r>
      <w:r w:rsidR="00754230">
        <w:rPr>
          <w:rFonts w:ascii="Times New Roman" w:hAnsi="Times New Roman" w:cs="Times New Roman"/>
          <w:sz w:val="24"/>
          <w:szCs w:val="28"/>
        </w:rPr>
        <w:t xml:space="preserve">Classical </w:t>
      </w:r>
      <w:r>
        <w:rPr>
          <w:rFonts w:ascii="Times New Roman" w:hAnsi="Times New Roman" w:cs="Times New Roman"/>
          <w:sz w:val="24"/>
          <w:szCs w:val="28"/>
        </w:rPr>
        <w:t>Athenians conscripted an army and the way in which it changed through Ephebian reform.</w:t>
      </w:r>
      <w:r w:rsidR="00325803">
        <w:rPr>
          <w:rFonts w:ascii="Times New Roman" w:hAnsi="Times New Roman" w:cs="Times New Roman"/>
          <w:sz w:val="24"/>
          <w:szCs w:val="28"/>
        </w:rPr>
        <w:t xml:space="preserve"> He gives a detailed account of the katalo</w:t>
      </w:r>
      <w:r w:rsidR="003B42F1">
        <w:rPr>
          <w:rFonts w:ascii="Times New Roman" w:hAnsi="Times New Roman" w:cs="Times New Roman"/>
          <w:sz w:val="24"/>
          <w:szCs w:val="28"/>
        </w:rPr>
        <w:t xml:space="preserve">gos method of conscription followed by an account of the reforms, giving his view on the speed and nature of these changes. Christ also notes how this topic has been given little in depth consideration in scholarship, appearing only as a side issue. This response </w:t>
      </w:r>
      <w:r w:rsidR="00EB5CF9">
        <w:rPr>
          <w:rFonts w:ascii="Times New Roman" w:hAnsi="Times New Roman" w:cs="Times New Roman"/>
          <w:sz w:val="24"/>
          <w:szCs w:val="28"/>
        </w:rPr>
        <w:t>will consider the extent to which Christ answers his own questions to a satisf</w:t>
      </w:r>
      <w:r w:rsidR="00CA64F1">
        <w:rPr>
          <w:rFonts w:ascii="Times New Roman" w:hAnsi="Times New Roman" w:cs="Times New Roman"/>
          <w:sz w:val="24"/>
          <w:szCs w:val="28"/>
        </w:rPr>
        <w:t>actory</w:t>
      </w:r>
      <w:r w:rsidR="00EB5CF9">
        <w:rPr>
          <w:rFonts w:ascii="Times New Roman" w:hAnsi="Times New Roman" w:cs="Times New Roman"/>
          <w:sz w:val="24"/>
          <w:szCs w:val="28"/>
        </w:rPr>
        <w:t xml:space="preserve"> degree.</w:t>
      </w:r>
      <w:r w:rsidR="00803149">
        <w:rPr>
          <w:rFonts w:ascii="Times New Roman" w:hAnsi="Times New Roman" w:cs="Times New Roman"/>
          <w:sz w:val="24"/>
          <w:szCs w:val="28"/>
        </w:rPr>
        <w:t xml:space="preserve"> </w:t>
      </w:r>
    </w:p>
    <w:p w14:paraId="70D79E60" w14:textId="5DA0ECF5" w:rsidR="00754230" w:rsidRDefault="00803149" w:rsidP="00754230">
      <w:pPr>
        <w:spacing w:line="480" w:lineRule="auto"/>
        <w:rPr>
          <w:rFonts w:ascii="Times New Roman" w:hAnsi="Times New Roman" w:cs="Times New Roman"/>
          <w:sz w:val="24"/>
          <w:szCs w:val="28"/>
        </w:rPr>
      </w:pPr>
      <w:r>
        <w:rPr>
          <w:rFonts w:ascii="Times New Roman" w:hAnsi="Times New Roman" w:cs="Times New Roman"/>
          <w:sz w:val="24"/>
          <w:szCs w:val="28"/>
        </w:rPr>
        <w:t>He particularly focusses</w:t>
      </w:r>
      <w:r w:rsidR="00CB170A">
        <w:rPr>
          <w:rFonts w:ascii="Times New Roman" w:hAnsi="Times New Roman" w:cs="Times New Roman"/>
          <w:sz w:val="24"/>
          <w:szCs w:val="28"/>
        </w:rPr>
        <w:t xml:space="preserve"> </w:t>
      </w:r>
      <w:r>
        <w:rPr>
          <w:rFonts w:ascii="Times New Roman" w:hAnsi="Times New Roman" w:cs="Times New Roman"/>
          <w:sz w:val="24"/>
          <w:szCs w:val="28"/>
        </w:rPr>
        <w:t>attention on the minutiae which can detract from the wider perspective.</w:t>
      </w:r>
      <w:r w:rsidR="00CB170A">
        <w:rPr>
          <w:rFonts w:ascii="Times New Roman" w:hAnsi="Times New Roman" w:cs="Times New Roman"/>
          <w:sz w:val="24"/>
          <w:szCs w:val="28"/>
        </w:rPr>
        <w:t xml:space="preserve"> </w:t>
      </w:r>
    </w:p>
    <w:p w14:paraId="01AF6E6A" w14:textId="61FDC152" w:rsidR="00754230" w:rsidRDefault="00754230" w:rsidP="00754230">
      <w:pPr>
        <w:spacing w:line="480" w:lineRule="auto"/>
        <w:rPr>
          <w:rFonts w:ascii="Times New Roman" w:hAnsi="Times New Roman" w:cs="Times New Roman"/>
          <w:sz w:val="24"/>
          <w:szCs w:val="28"/>
        </w:rPr>
      </w:pPr>
      <w:r>
        <w:rPr>
          <w:rFonts w:ascii="Times New Roman" w:hAnsi="Times New Roman" w:cs="Times New Roman"/>
          <w:sz w:val="24"/>
          <w:szCs w:val="28"/>
        </w:rPr>
        <w:t>For example Christ omits to</w:t>
      </w:r>
      <w:r w:rsidR="00C9126C">
        <w:rPr>
          <w:rFonts w:ascii="Times New Roman" w:hAnsi="Times New Roman" w:cs="Times New Roman"/>
          <w:sz w:val="24"/>
          <w:szCs w:val="28"/>
        </w:rPr>
        <w:t xml:space="preserve"> give</w:t>
      </w:r>
      <w:r>
        <w:rPr>
          <w:rFonts w:ascii="Times New Roman" w:hAnsi="Times New Roman" w:cs="Times New Roman"/>
          <w:sz w:val="24"/>
          <w:szCs w:val="28"/>
        </w:rPr>
        <w:t xml:space="preserve"> any kind of overview of where </w:t>
      </w:r>
      <w:r w:rsidR="00CA64F1">
        <w:rPr>
          <w:rFonts w:ascii="Times New Roman" w:hAnsi="Times New Roman" w:cs="Times New Roman"/>
          <w:sz w:val="24"/>
          <w:szCs w:val="28"/>
        </w:rPr>
        <w:t xml:space="preserve">the hoplites stood in the </w:t>
      </w:r>
      <w:r>
        <w:rPr>
          <w:rFonts w:ascii="Times New Roman" w:hAnsi="Times New Roman" w:cs="Times New Roman"/>
          <w:sz w:val="24"/>
          <w:szCs w:val="28"/>
        </w:rPr>
        <w:t>order of Athenian troops</w:t>
      </w:r>
      <w:r w:rsidR="00CA64F1">
        <w:rPr>
          <w:rFonts w:ascii="Times New Roman" w:hAnsi="Times New Roman" w:cs="Times New Roman"/>
          <w:sz w:val="24"/>
          <w:szCs w:val="28"/>
        </w:rPr>
        <w:t xml:space="preserve"> or society which is an issue that has been much discussed in recent scholarship</w:t>
      </w:r>
      <w:r>
        <w:rPr>
          <w:rFonts w:ascii="Times New Roman" w:hAnsi="Times New Roman" w:cs="Times New Roman"/>
          <w:sz w:val="24"/>
          <w:szCs w:val="28"/>
        </w:rPr>
        <w:t>. It is important her</w:t>
      </w:r>
      <w:r w:rsidR="00736725">
        <w:rPr>
          <w:rFonts w:ascii="Times New Roman" w:hAnsi="Times New Roman" w:cs="Times New Roman"/>
          <w:sz w:val="24"/>
          <w:szCs w:val="28"/>
        </w:rPr>
        <w:t xml:space="preserve">e because it resonates with the later development of Christ’s contention for </w:t>
      </w:r>
      <w:proofErr w:type="spellStart"/>
      <w:r w:rsidR="00CA64F1">
        <w:rPr>
          <w:rFonts w:ascii="Times New Roman" w:hAnsi="Times New Roman" w:cs="Times New Roman"/>
          <w:sz w:val="24"/>
          <w:szCs w:val="28"/>
        </w:rPr>
        <w:t>ephebian</w:t>
      </w:r>
      <w:proofErr w:type="spellEnd"/>
      <w:r w:rsidR="00CA64F1">
        <w:rPr>
          <w:rFonts w:ascii="Times New Roman" w:hAnsi="Times New Roman" w:cs="Times New Roman"/>
          <w:sz w:val="24"/>
          <w:szCs w:val="28"/>
        </w:rPr>
        <w:t xml:space="preserve"> reform and its democratising effect </w:t>
      </w:r>
      <w:r w:rsidR="00736725">
        <w:rPr>
          <w:rFonts w:ascii="Times New Roman" w:hAnsi="Times New Roman" w:cs="Times New Roman"/>
          <w:sz w:val="24"/>
          <w:szCs w:val="28"/>
        </w:rPr>
        <w:t xml:space="preserve">which forms </w:t>
      </w:r>
      <w:r w:rsidR="00C9126C">
        <w:rPr>
          <w:rFonts w:ascii="Times New Roman" w:hAnsi="Times New Roman" w:cs="Times New Roman"/>
          <w:sz w:val="24"/>
          <w:szCs w:val="28"/>
        </w:rPr>
        <w:t>a centr</w:t>
      </w:r>
      <w:r w:rsidR="00CA64F1">
        <w:rPr>
          <w:rFonts w:ascii="Times New Roman" w:hAnsi="Times New Roman" w:cs="Times New Roman"/>
          <w:sz w:val="24"/>
          <w:szCs w:val="28"/>
        </w:rPr>
        <w:t>al plank of the article.</w:t>
      </w:r>
    </w:p>
    <w:p w14:paraId="034AEC4B" w14:textId="13BE0AEE" w:rsidR="00736725" w:rsidRDefault="00EB0CF4" w:rsidP="00736725">
      <w:pPr>
        <w:spacing w:line="480" w:lineRule="auto"/>
        <w:rPr>
          <w:rFonts w:ascii="Times New Roman" w:hAnsi="Times New Roman" w:cs="Times New Roman"/>
          <w:sz w:val="24"/>
          <w:szCs w:val="24"/>
        </w:rPr>
      </w:pPr>
      <w:proofErr w:type="spellStart"/>
      <w:r w:rsidRPr="00E755D7">
        <w:rPr>
          <w:rFonts w:ascii="Times New Roman" w:hAnsi="Times New Roman" w:cs="Times New Roman"/>
          <w:sz w:val="24"/>
          <w:szCs w:val="24"/>
        </w:rPr>
        <w:t>Bertosa</w:t>
      </w:r>
      <w:proofErr w:type="spellEnd"/>
      <w:r w:rsidRPr="00E755D7">
        <w:rPr>
          <w:rFonts w:ascii="Times New Roman" w:hAnsi="Times New Roman" w:cs="Times New Roman"/>
          <w:sz w:val="24"/>
          <w:szCs w:val="24"/>
        </w:rPr>
        <w:t xml:space="preserve"> </w:t>
      </w:r>
      <w:r w:rsidR="00736725" w:rsidRPr="00E755D7">
        <w:rPr>
          <w:rFonts w:ascii="Times New Roman" w:hAnsi="Times New Roman" w:cs="Times New Roman"/>
          <w:sz w:val="24"/>
          <w:szCs w:val="24"/>
        </w:rPr>
        <w:t xml:space="preserve">sets out a succinct explanation which is worth giving in full:  </w:t>
      </w:r>
      <w:proofErr w:type="gramStart"/>
      <w:r w:rsidR="00736725" w:rsidRPr="00E755D7">
        <w:rPr>
          <w:rFonts w:ascii="Times New Roman" w:hAnsi="Times New Roman" w:cs="Times New Roman"/>
          <w:sz w:val="24"/>
          <w:szCs w:val="24"/>
        </w:rPr>
        <w:t>“..</w:t>
      </w:r>
      <w:proofErr w:type="gramEnd"/>
      <w:r w:rsidR="00736725" w:rsidRPr="00E755D7">
        <w:rPr>
          <w:rFonts w:ascii="Times New Roman" w:hAnsi="Times New Roman" w:cs="Times New Roman"/>
          <w:sz w:val="24"/>
          <w:szCs w:val="24"/>
        </w:rPr>
        <w:t xml:space="preserve">hoplite service was restricted to the three wealthiest Solonian property classes. The fourth class, the </w:t>
      </w:r>
      <w:proofErr w:type="spellStart"/>
      <w:r w:rsidR="00736725" w:rsidRPr="00E755D7">
        <w:rPr>
          <w:rFonts w:ascii="Times New Roman" w:hAnsi="Times New Roman" w:cs="Times New Roman"/>
          <w:sz w:val="24"/>
          <w:szCs w:val="24"/>
        </w:rPr>
        <w:t>thetes</w:t>
      </w:r>
      <w:proofErr w:type="spellEnd"/>
      <w:r w:rsidR="00736725" w:rsidRPr="00E755D7">
        <w:rPr>
          <w:rFonts w:ascii="Times New Roman" w:hAnsi="Times New Roman" w:cs="Times New Roman"/>
          <w:sz w:val="24"/>
          <w:szCs w:val="24"/>
        </w:rPr>
        <w:t xml:space="preserve">, who comprised a majority of the population, served as light-armed troops (peltasts) or, </w:t>
      </w:r>
      <w:r w:rsidR="00C9126C" w:rsidRPr="00E755D7">
        <w:rPr>
          <w:rFonts w:ascii="Times New Roman" w:hAnsi="Times New Roman" w:cs="Times New Roman"/>
          <w:sz w:val="24"/>
          <w:szCs w:val="24"/>
        </w:rPr>
        <w:t>often, as rowers with the fleet</w:t>
      </w:r>
      <w:r w:rsidR="00736725" w:rsidRPr="00E755D7">
        <w:rPr>
          <w:rFonts w:ascii="Times New Roman" w:hAnsi="Times New Roman" w:cs="Times New Roman"/>
          <w:sz w:val="24"/>
          <w:szCs w:val="24"/>
        </w:rPr>
        <w:t>.</w:t>
      </w:r>
      <w:r w:rsidR="00C9126C" w:rsidRPr="00E755D7">
        <w:rPr>
          <w:rStyle w:val="FootnoteReference"/>
          <w:rFonts w:ascii="Times New Roman" w:hAnsi="Times New Roman" w:cs="Times New Roman"/>
          <w:sz w:val="24"/>
          <w:szCs w:val="24"/>
        </w:rPr>
        <w:t xml:space="preserve"> </w:t>
      </w:r>
      <w:r w:rsidR="00736725" w:rsidRPr="00E755D7">
        <w:rPr>
          <w:rFonts w:ascii="Times New Roman" w:hAnsi="Times New Roman" w:cs="Times New Roman"/>
          <w:sz w:val="24"/>
          <w:szCs w:val="24"/>
        </w:rPr>
        <w:t>Not only were they unable to afford panoplies, but it appears that they were specifically excluded from the Hoplite muster rolls”</w:t>
      </w:r>
      <w:r w:rsidR="00C9126C" w:rsidRPr="00E755D7">
        <w:rPr>
          <w:rStyle w:val="FootnoteReference"/>
          <w:rFonts w:ascii="Times New Roman" w:hAnsi="Times New Roman" w:cs="Times New Roman"/>
          <w:sz w:val="24"/>
          <w:szCs w:val="24"/>
        </w:rPr>
        <w:t xml:space="preserve"> </w:t>
      </w:r>
      <w:r w:rsidR="00C9126C" w:rsidRPr="00E755D7">
        <w:rPr>
          <w:rStyle w:val="FootnoteReference"/>
          <w:rFonts w:ascii="Times New Roman" w:hAnsi="Times New Roman" w:cs="Times New Roman"/>
          <w:sz w:val="24"/>
          <w:szCs w:val="24"/>
        </w:rPr>
        <w:footnoteReference w:id="1"/>
      </w:r>
      <w:r w:rsidR="00736725" w:rsidRPr="00E755D7">
        <w:rPr>
          <w:rFonts w:ascii="Times New Roman" w:hAnsi="Times New Roman" w:cs="Times New Roman"/>
          <w:sz w:val="24"/>
          <w:szCs w:val="24"/>
        </w:rPr>
        <w:t xml:space="preserve"> H</w:t>
      </w:r>
      <w:r w:rsidR="00C9126C" w:rsidRPr="00E755D7">
        <w:rPr>
          <w:rFonts w:ascii="Times New Roman" w:hAnsi="Times New Roman" w:cs="Times New Roman"/>
          <w:sz w:val="24"/>
          <w:szCs w:val="24"/>
        </w:rPr>
        <w:t xml:space="preserve">e goes on to </w:t>
      </w:r>
      <w:r w:rsidR="00736725" w:rsidRPr="00E755D7">
        <w:rPr>
          <w:rFonts w:ascii="Times New Roman" w:hAnsi="Times New Roman" w:cs="Times New Roman"/>
          <w:sz w:val="24"/>
          <w:szCs w:val="24"/>
        </w:rPr>
        <w:t xml:space="preserve"> </w:t>
      </w:r>
      <w:r w:rsidR="00C9126C" w:rsidRPr="00E755D7">
        <w:rPr>
          <w:rFonts w:ascii="Times New Roman" w:hAnsi="Times New Roman" w:cs="Times New Roman"/>
          <w:sz w:val="24"/>
          <w:szCs w:val="24"/>
        </w:rPr>
        <w:t>explain</w:t>
      </w:r>
      <w:r w:rsidR="00736725" w:rsidRPr="00E755D7">
        <w:rPr>
          <w:rFonts w:ascii="Times New Roman" w:hAnsi="Times New Roman" w:cs="Times New Roman"/>
          <w:sz w:val="24"/>
          <w:szCs w:val="24"/>
        </w:rPr>
        <w:t xml:space="preserve"> that </w:t>
      </w:r>
      <w:r w:rsidR="00C9126C" w:rsidRPr="00E755D7">
        <w:rPr>
          <w:rFonts w:ascii="Times New Roman" w:hAnsi="Times New Roman" w:cs="Times New Roman"/>
          <w:sz w:val="24"/>
          <w:szCs w:val="24"/>
        </w:rPr>
        <w:t xml:space="preserve">Hansen states that </w:t>
      </w:r>
      <w:r w:rsidR="00736725" w:rsidRPr="00E755D7">
        <w:rPr>
          <w:rFonts w:ascii="Times New Roman" w:hAnsi="Times New Roman" w:cs="Times New Roman"/>
          <w:sz w:val="24"/>
          <w:szCs w:val="24"/>
        </w:rPr>
        <w:t>the two top classes,</w:t>
      </w:r>
      <w:r w:rsidR="00150D0F">
        <w:rPr>
          <w:rFonts w:ascii="Times New Roman" w:hAnsi="Times New Roman" w:cs="Times New Roman"/>
          <w:sz w:val="24"/>
          <w:szCs w:val="24"/>
        </w:rPr>
        <w:t xml:space="preserve"> </w:t>
      </w:r>
      <w:r w:rsidR="00736725" w:rsidRPr="00E755D7">
        <w:rPr>
          <w:rFonts w:ascii="Times New Roman" w:hAnsi="Times New Roman" w:cs="Times New Roman"/>
          <w:sz w:val="24"/>
          <w:szCs w:val="24"/>
        </w:rPr>
        <w:t>(</w:t>
      </w:r>
      <w:proofErr w:type="spellStart"/>
      <w:r w:rsidR="00736725" w:rsidRPr="00E755D7">
        <w:rPr>
          <w:rFonts w:ascii="Times New Roman" w:hAnsi="Times New Roman" w:cs="Times New Roman"/>
          <w:sz w:val="24"/>
          <w:szCs w:val="24"/>
          <w:shd w:val="clear" w:color="auto" w:fill="FFFFFF"/>
        </w:rPr>
        <w:t>pentacosiomedimnoi</w:t>
      </w:r>
      <w:proofErr w:type="spellEnd"/>
      <w:r w:rsidR="00736725" w:rsidRPr="00E755D7">
        <w:rPr>
          <w:rFonts w:ascii="Times New Roman" w:hAnsi="Times New Roman" w:cs="Times New Roman"/>
          <w:sz w:val="24"/>
          <w:szCs w:val="24"/>
          <w:shd w:val="clear" w:color="auto" w:fill="FFFFFF"/>
        </w:rPr>
        <w:t xml:space="preserve"> and </w:t>
      </w:r>
      <w:proofErr w:type="spellStart"/>
      <w:r w:rsidR="00736725" w:rsidRPr="00E755D7">
        <w:rPr>
          <w:rFonts w:ascii="Times New Roman" w:hAnsi="Times New Roman" w:cs="Times New Roman"/>
          <w:sz w:val="24"/>
          <w:szCs w:val="24"/>
          <w:shd w:val="clear" w:color="auto" w:fill="FFFFFF"/>
        </w:rPr>
        <w:t>hippeis</w:t>
      </w:r>
      <w:proofErr w:type="spellEnd"/>
      <w:r w:rsidR="00736725" w:rsidRPr="00E755D7">
        <w:rPr>
          <w:rFonts w:ascii="Times New Roman" w:hAnsi="Times New Roman" w:cs="Times New Roman"/>
          <w:sz w:val="24"/>
          <w:szCs w:val="24"/>
          <w:shd w:val="clear" w:color="auto" w:fill="FFFFFF"/>
        </w:rPr>
        <w:t>)</w:t>
      </w:r>
      <w:r w:rsidR="00736725" w:rsidRPr="00E755D7">
        <w:rPr>
          <w:rFonts w:ascii="Times New Roman" w:hAnsi="Times New Roman" w:cs="Times New Roman"/>
          <w:sz w:val="24"/>
          <w:szCs w:val="24"/>
        </w:rPr>
        <w:t xml:space="preserve"> would be more likely to serve as cavalry, a safer but more expensive venture. Therefore, the hoplites would </w:t>
      </w:r>
      <w:r w:rsidR="00736725" w:rsidRPr="00E755D7">
        <w:rPr>
          <w:rFonts w:ascii="Times New Roman" w:hAnsi="Times New Roman" w:cs="Times New Roman"/>
          <w:sz w:val="24"/>
          <w:szCs w:val="24"/>
        </w:rPr>
        <w:lastRenderedPageBreak/>
        <w:t xml:space="preserve">mainly but not exclusively have come from the third </w:t>
      </w:r>
      <w:proofErr w:type="gramStart"/>
      <w:r w:rsidR="00736725" w:rsidRPr="00E755D7">
        <w:rPr>
          <w:rFonts w:ascii="Times New Roman" w:hAnsi="Times New Roman" w:cs="Times New Roman"/>
          <w:sz w:val="24"/>
          <w:szCs w:val="24"/>
        </w:rPr>
        <w:t>class.(</w:t>
      </w:r>
      <w:proofErr w:type="gramEnd"/>
      <w:r w:rsidR="00736725" w:rsidRPr="00E755D7">
        <w:rPr>
          <w:rFonts w:ascii="Times New Roman" w:hAnsi="Times New Roman" w:cs="Times New Roman"/>
          <w:sz w:val="24"/>
          <w:szCs w:val="24"/>
          <w:shd w:val="clear" w:color="auto" w:fill="FFFFFF"/>
        </w:rPr>
        <w:t>zeugitai)</w:t>
      </w:r>
      <w:r w:rsidR="00C9126C" w:rsidRPr="00E755D7">
        <w:rPr>
          <w:rFonts w:ascii="Times New Roman" w:hAnsi="Times New Roman" w:cs="Times New Roman"/>
          <w:sz w:val="24"/>
          <w:szCs w:val="24"/>
          <w:shd w:val="clear" w:color="auto" w:fill="FFFFFF"/>
        </w:rPr>
        <w:t>.</w:t>
      </w:r>
      <w:r w:rsidR="00C9126C" w:rsidRPr="00E755D7">
        <w:rPr>
          <w:rStyle w:val="FootnoteReference"/>
          <w:rFonts w:ascii="Times New Roman" w:hAnsi="Times New Roman" w:cs="Times New Roman"/>
          <w:sz w:val="24"/>
          <w:szCs w:val="24"/>
          <w:shd w:val="clear" w:color="auto" w:fill="FFFFFF"/>
        </w:rPr>
        <w:footnoteReference w:id="2"/>
      </w:r>
      <w:r w:rsidR="00736725" w:rsidRPr="00E755D7">
        <w:rPr>
          <w:rFonts w:ascii="Times New Roman" w:hAnsi="Times New Roman" w:cs="Times New Roman"/>
          <w:sz w:val="24"/>
          <w:szCs w:val="24"/>
        </w:rPr>
        <w:t xml:space="preserve"> </w:t>
      </w:r>
      <w:r w:rsidR="00150D0F">
        <w:rPr>
          <w:rFonts w:ascii="Times New Roman" w:hAnsi="Times New Roman" w:cs="Times New Roman"/>
          <w:sz w:val="24"/>
          <w:szCs w:val="24"/>
        </w:rPr>
        <w:t xml:space="preserve">Crowley further suggests that although the </w:t>
      </w:r>
      <w:proofErr w:type="spellStart"/>
      <w:r w:rsidR="00150D0F">
        <w:rPr>
          <w:rFonts w:ascii="Times New Roman" w:hAnsi="Times New Roman" w:cs="Times New Roman"/>
          <w:sz w:val="24"/>
          <w:szCs w:val="24"/>
        </w:rPr>
        <w:t>pentacosimedimnoi</w:t>
      </w:r>
      <w:proofErr w:type="spellEnd"/>
      <w:r w:rsidR="00150D0F">
        <w:rPr>
          <w:rFonts w:ascii="Times New Roman" w:hAnsi="Times New Roman" w:cs="Times New Roman"/>
          <w:sz w:val="24"/>
          <w:szCs w:val="24"/>
        </w:rPr>
        <w:t xml:space="preserve"> would have been more likely to “discharge their military obligations by performing triarchy”</w:t>
      </w:r>
      <w:r w:rsidR="00150D0F">
        <w:rPr>
          <w:rStyle w:val="FootnoteReference"/>
          <w:rFonts w:ascii="Times New Roman" w:hAnsi="Times New Roman" w:cs="Times New Roman"/>
          <w:sz w:val="24"/>
          <w:szCs w:val="24"/>
        </w:rPr>
        <w:footnoteReference w:id="3"/>
      </w:r>
      <w:r w:rsidR="006669CD">
        <w:rPr>
          <w:rFonts w:ascii="Times New Roman" w:hAnsi="Times New Roman" w:cs="Times New Roman"/>
          <w:sz w:val="24"/>
          <w:szCs w:val="24"/>
        </w:rPr>
        <w:t xml:space="preserve">, </w:t>
      </w:r>
      <w:proofErr w:type="spellStart"/>
      <w:r w:rsidR="006669CD">
        <w:rPr>
          <w:rFonts w:ascii="Times New Roman" w:hAnsi="Times New Roman" w:cs="Times New Roman"/>
          <w:sz w:val="24"/>
          <w:szCs w:val="24"/>
        </w:rPr>
        <w:t>ie</w:t>
      </w:r>
      <w:proofErr w:type="spellEnd"/>
      <w:r w:rsidR="006669CD">
        <w:rPr>
          <w:rFonts w:ascii="Times New Roman" w:hAnsi="Times New Roman" w:cs="Times New Roman"/>
          <w:sz w:val="24"/>
          <w:szCs w:val="24"/>
        </w:rPr>
        <w:t xml:space="preserve">. funding a </w:t>
      </w:r>
      <w:proofErr w:type="spellStart"/>
      <w:r w:rsidR="006669CD">
        <w:rPr>
          <w:rFonts w:ascii="Times New Roman" w:hAnsi="Times New Roman" w:cs="Times New Roman"/>
          <w:sz w:val="24"/>
          <w:szCs w:val="24"/>
        </w:rPr>
        <w:t>trieme</w:t>
      </w:r>
      <w:proofErr w:type="spellEnd"/>
      <w:r w:rsidR="006669CD">
        <w:rPr>
          <w:rFonts w:ascii="Times New Roman" w:hAnsi="Times New Roman" w:cs="Times New Roman"/>
          <w:sz w:val="24"/>
          <w:szCs w:val="24"/>
        </w:rPr>
        <w:t>, than by joining the cavalry, and  su</w:t>
      </w:r>
      <w:r w:rsidR="009A5B84">
        <w:rPr>
          <w:rFonts w:ascii="Times New Roman" w:hAnsi="Times New Roman" w:cs="Times New Roman"/>
          <w:sz w:val="24"/>
          <w:szCs w:val="24"/>
        </w:rPr>
        <w:t>pports other academic opinion (</w:t>
      </w:r>
      <w:r w:rsidR="006669CD">
        <w:rPr>
          <w:rFonts w:ascii="Times New Roman" w:hAnsi="Times New Roman" w:cs="Times New Roman"/>
          <w:sz w:val="24"/>
          <w:szCs w:val="24"/>
        </w:rPr>
        <w:t xml:space="preserve">Hanson and van Wees) that there would have been </w:t>
      </w:r>
      <w:r w:rsidR="009A5B84">
        <w:rPr>
          <w:rFonts w:ascii="Times New Roman" w:hAnsi="Times New Roman" w:cs="Times New Roman"/>
          <w:sz w:val="24"/>
          <w:szCs w:val="24"/>
        </w:rPr>
        <w:t>movement up and down between and</w:t>
      </w:r>
      <w:r w:rsidR="006669CD">
        <w:rPr>
          <w:rFonts w:ascii="Times New Roman" w:hAnsi="Times New Roman" w:cs="Times New Roman"/>
          <w:sz w:val="24"/>
          <w:szCs w:val="24"/>
        </w:rPr>
        <w:t xml:space="preserve"> within the top three classes eligible for hoplite service. All agree that it would have been difficult, though not impossible for </w:t>
      </w:r>
      <w:proofErr w:type="spellStart"/>
      <w:r w:rsidR="006669CD">
        <w:rPr>
          <w:rFonts w:ascii="Times New Roman" w:hAnsi="Times New Roman" w:cs="Times New Roman"/>
          <w:sz w:val="24"/>
          <w:szCs w:val="24"/>
        </w:rPr>
        <w:t>thetes</w:t>
      </w:r>
      <w:proofErr w:type="spellEnd"/>
      <w:r w:rsidR="006669CD">
        <w:rPr>
          <w:rFonts w:ascii="Times New Roman" w:hAnsi="Times New Roman" w:cs="Times New Roman"/>
          <w:sz w:val="24"/>
          <w:szCs w:val="24"/>
        </w:rPr>
        <w:t xml:space="preserve"> to access the hoplite ranks.</w:t>
      </w:r>
      <w:r w:rsidR="006669CD">
        <w:rPr>
          <w:rStyle w:val="FootnoteReference"/>
          <w:rFonts w:ascii="Times New Roman" w:hAnsi="Times New Roman" w:cs="Times New Roman"/>
          <w:sz w:val="24"/>
          <w:szCs w:val="24"/>
        </w:rPr>
        <w:footnoteReference w:id="4"/>
      </w:r>
      <w:r w:rsidR="008C2F5F">
        <w:rPr>
          <w:rFonts w:ascii="Times New Roman" w:hAnsi="Times New Roman" w:cs="Times New Roman"/>
          <w:sz w:val="24"/>
          <w:szCs w:val="24"/>
        </w:rPr>
        <w:t xml:space="preserve"> </w:t>
      </w:r>
    </w:p>
    <w:p w14:paraId="5FEC40A7" w14:textId="3B943438" w:rsidR="00727784" w:rsidRDefault="007B0116" w:rsidP="00736725">
      <w:pPr>
        <w:spacing w:line="480" w:lineRule="auto"/>
        <w:rPr>
          <w:rFonts w:ascii="Times New Roman" w:hAnsi="Times New Roman" w:cs="Times New Roman"/>
          <w:sz w:val="24"/>
          <w:szCs w:val="24"/>
        </w:rPr>
      </w:pPr>
      <w:r>
        <w:rPr>
          <w:rFonts w:ascii="Times New Roman" w:hAnsi="Times New Roman" w:cs="Times New Roman"/>
          <w:sz w:val="24"/>
          <w:szCs w:val="24"/>
        </w:rPr>
        <w:t>Christ persuasive</w:t>
      </w:r>
      <w:r w:rsidR="00814F22">
        <w:rPr>
          <w:rFonts w:ascii="Times New Roman" w:hAnsi="Times New Roman" w:cs="Times New Roman"/>
          <w:sz w:val="24"/>
          <w:szCs w:val="24"/>
        </w:rPr>
        <w:t xml:space="preserve">ly argues </w:t>
      </w:r>
      <w:r>
        <w:rPr>
          <w:rFonts w:ascii="Times New Roman" w:hAnsi="Times New Roman" w:cs="Times New Roman"/>
          <w:sz w:val="24"/>
          <w:szCs w:val="24"/>
        </w:rPr>
        <w:t xml:space="preserve">in conjunction with what academic discussion there is and a variety of ancient sources, that rather than holding a permanent central register of conscripts eligible for hoplite service, which given the potential number of conscripts would have been unwieldy, a roster would have been drawn up for each campaign. </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He points out that at the time of the Peloponnesian war, a central register would have had to track between 18,000 – 24,000 potential hoplites which is not analogous to a permanent record of 1</w:t>
      </w:r>
      <w:r w:rsidR="00D0063A">
        <w:rPr>
          <w:rFonts w:ascii="Times New Roman" w:hAnsi="Times New Roman" w:cs="Times New Roman"/>
          <w:sz w:val="24"/>
          <w:szCs w:val="24"/>
        </w:rPr>
        <w:t>,</w:t>
      </w:r>
      <w:r>
        <w:rPr>
          <w:rFonts w:ascii="Times New Roman" w:hAnsi="Times New Roman" w:cs="Times New Roman"/>
          <w:sz w:val="24"/>
          <w:szCs w:val="24"/>
        </w:rPr>
        <w:t>000 cavalry who may have been listed as a result of long-term city loans for the purchasing of horses</w:t>
      </w:r>
      <w:r w:rsidR="00D0063A">
        <w:rPr>
          <w:rFonts w:ascii="Times New Roman" w:hAnsi="Times New Roman" w:cs="Times New Roman"/>
          <w:sz w:val="24"/>
          <w:szCs w:val="24"/>
        </w:rPr>
        <w:t xml:space="preserve"> rather than a register specifically for conscription.</w:t>
      </w:r>
      <w:r w:rsidR="00D0063A">
        <w:rPr>
          <w:rStyle w:val="FootnoteReference"/>
          <w:rFonts w:ascii="Times New Roman" w:hAnsi="Times New Roman" w:cs="Times New Roman"/>
          <w:sz w:val="24"/>
          <w:szCs w:val="24"/>
        </w:rPr>
        <w:footnoteReference w:id="6"/>
      </w:r>
      <w:r w:rsidR="00D0063A">
        <w:rPr>
          <w:rFonts w:ascii="Times New Roman" w:hAnsi="Times New Roman" w:cs="Times New Roman"/>
          <w:sz w:val="24"/>
          <w:szCs w:val="24"/>
        </w:rPr>
        <w:t xml:space="preserve"> In this instance, Christ is convincingly arguing against Hanson. Christ’s contention is that it would be far more likely that lists would be provided to the generals from the deme registers by the </w:t>
      </w:r>
      <w:proofErr w:type="spellStart"/>
      <w:r w:rsidR="00D0063A">
        <w:rPr>
          <w:rFonts w:ascii="Times New Roman" w:hAnsi="Times New Roman" w:cs="Times New Roman"/>
          <w:sz w:val="24"/>
          <w:szCs w:val="24"/>
        </w:rPr>
        <w:t>demarchs</w:t>
      </w:r>
      <w:proofErr w:type="spellEnd"/>
      <w:r w:rsidR="00D0063A">
        <w:rPr>
          <w:rFonts w:ascii="Times New Roman" w:hAnsi="Times New Roman" w:cs="Times New Roman"/>
          <w:sz w:val="24"/>
          <w:szCs w:val="24"/>
        </w:rPr>
        <w:t xml:space="preserve"> and would include all available hoplites and cavalry. The generals would then make selections from the lists</w:t>
      </w:r>
      <w:r w:rsidR="00D25495">
        <w:rPr>
          <w:rFonts w:ascii="Times New Roman" w:hAnsi="Times New Roman" w:cs="Times New Roman"/>
          <w:sz w:val="24"/>
          <w:szCs w:val="24"/>
        </w:rPr>
        <w:t xml:space="preserve">. He points out that this </w:t>
      </w:r>
      <w:proofErr w:type="gramStart"/>
      <w:r w:rsidR="00D25495">
        <w:rPr>
          <w:rFonts w:ascii="Times New Roman" w:hAnsi="Times New Roman" w:cs="Times New Roman"/>
          <w:sz w:val="24"/>
          <w:szCs w:val="24"/>
        </w:rPr>
        <w:t>system  gives</w:t>
      </w:r>
      <w:proofErr w:type="gramEnd"/>
      <w:r w:rsidR="00D25495">
        <w:rPr>
          <w:rFonts w:ascii="Times New Roman" w:hAnsi="Times New Roman" w:cs="Times New Roman"/>
          <w:sz w:val="24"/>
          <w:szCs w:val="24"/>
        </w:rPr>
        <w:t xml:space="preserve"> the </w:t>
      </w:r>
      <w:proofErr w:type="spellStart"/>
      <w:r w:rsidR="00D25495">
        <w:rPr>
          <w:rFonts w:ascii="Times New Roman" w:hAnsi="Times New Roman" w:cs="Times New Roman"/>
          <w:sz w:val="24"/>
          <w:szCs w:val="24"/>
        </w:rPr>
        <w:t>demarchs</w:t>
      </w:r>
      <w:proofErr w:type="spellEnd"/>
      <w:r w:rsidR="00D25495">
        <w:rPr>
          <w:rFonts w:ascii="Times New Roman" w:hAnsi="Times New Roman" w:cs="Times New Roman"/>
          <w:sz w:val="24"/>
          <w:szCs w:val="24"/>
        </w:rPr>
        <w:t xml:space="preserve"> opportunity to be selective as to who they submitted and the generals would have a further opportunity to manipulate the selection process should they so wish. Given that the majority of campaigns would not have required </w:t>
      </w:r>
      <w:r w:rsidR="00D25495">
        <w:rPr>
          <w:rFonts w:ascii="Times New Roman" w:hAnsi="Times New Roman" w:cs="Times New Roman"/>
          <w:sz w:val="24"/>
          <w:szCs w:val="24"/>
        </w:rPr>
        <w:lastRenderedPageBreak/>
        <w:t>all available men</w:t>
      </w:r>
      <w:r w:rsidR="00D25495">
        <w:rPr>
          <w:rStyle w:val="FootnoteReference"/>
          <w:rFonts w:ascii="Times New Roman" w:hAnsi="Times New Roman" w:cs="Times New Roman"/>
          <w:sz w:val="24"/>
          <w:szCs w:val="24"/>
        </w:rPr>
        <w:footnoteReference w:id="7"/>
      </w:r>
      <w:r w:rsidR="00D25495">
        <w:rPr>
          <w:rFonts w:ascii="Times New Roman" w:hAnsi="Times New Roman" w:cs="Times New Roman"/>
          <w:sz w:val="24"/>
          <w:szCs w:val="24"/>
        </w:rPr>
        <w:t xml:space="preserve">, selection could have been open to abuse. </w:t>
      </w:r>
      <w:r w:rsidR="00D0063A">
        <w:rPr>
          <w:rFonts w:ascii="Times New Roman" w:hAnsi="Times New Roman" w:cs="Times New Roman"/>
          <w:sz w:val="24"/>
          <w:szCs w:val="24"/>
        </w:rPr>
        <w:t xml:space="preserve">However what he fails to do is expand on the </w:t>
      </w:r>
      <w:r w:rsidR="00AE316C">
        <w:rPr>
          <w:rFonts w:ascii="Times New Roman" w:hAnsi="Times New Roman" w:cs="Times New Roman"/>
          <w:sz w:val="24"/>
          <w:szCs w:val="24"/>
        </w:rPr>
        <w:t xml:space="preserve">broader </w:t>
      </w:r>
      <w:r w:rsidR="00D0063A">
        <w:rPr>
          <w:rFonts w:ascii="Times New Roman" w:hAnsi="Times New Roman" w:cs="Times New Roman"/>
          <w:sz w:val="24"/>
          <w:szCs w:val="24"/>
        </w:rPr>
        <w:t xml:space="preserve">impact of this lack of centralisation. </w:t>
      </w:r>
    </w:p>
    <w:p w14:paraId="3FA409D5" w14:textId="6B69A020" w:rsidR="00AE316C" w:rsidRDefault="00AE316C" w:rsidP="002074F9">
      <w:pPr>
        <w:spacing w:line="480" w:lineRule="auto"/>
        <w:rPr>
          <w:rFonts w:ascii="Times New Roman" w:hAnsi="Times New Roman" w:cs="Times New Roman"/>
          <w:sz w:val="24"/>
          <w:szCs w:val="24"/>
        </w:rPr>
      </w:pPr>
      <w:r>
        <w:rPr>
          <w:rFonts w:ascii="Times New Roman" w:hAnsi="Times New Roman" w:cs="Times New Roman"/>
          <w:sz w:val="24"/>
          <w:szCs w:val="24"/>
        </w:rPr>
        <w:t>Christ does not explain why, given it</w:t>
      </w:r>
      <w:r w:rsidR="002074F9">
        <w:rPr>
          <w:rFonts w:ascii="Times New Roman" w:hAnsi="Times New Roman" w:cs="Times New Roman"/>
          <w:sz w:val="24"/>
          <w:szCs w:val="24"/>
        </w:rPr>
        <w:t xml:space="preserve">s drawbacks, </w:t>
      </w:r>
      <w:r>
        <w:rPr>
          <w:rFonts w:ascii="Times New Roman" w:hAnsi="Times New Roman" w:cs="Times New Roman"/>
          <w:sz w:val="24"/>
          <w:szCs w:val="24"/>
        </w:rPr>
        <w:t xml:space="preserve">the deme was </w:t>
      </w:r>
      <w:r w:rsidR="00F90970">
        <w:rPr>
          <w:rFonts w:ascii="Times New Roman" w:hAnsi="Times New Roman" w:cs="Times New Roman"/>
          <w:sz w:val="24"/>
          <w:szCs w:val="24"/>
        </w:rPr>
        <w:t xml:space="preserve">deemed </w:t>
      </w:r>
      <w:r>
        <w:rPr>
          <w:rFonts w:ascii="Times New Roman" w:hAnsi="Times New Roman" w:cs="Times New Roman"/>
          <w:sz w:val="24"/>
          <w:szCs w:val="24"/>
        </w:rPr>
        <w:t>the most appropriate and efficient way to g</w:t>
      </w:r>
      <w:r w:rsidR="002074F9">
        <w:rPr>
          <w:rFonts w:ascii="Times New Roman" w:hAnsi="Times New Roman" w:cs="Times New Roman"/>
          <w:sz w:val="24"/>
          <w:szCs w:val="24"/>
        </w:rPr>
        <w:t>ather the requisite information</w:t>
      </w:r>
      <w:r>
        <w:rPr>
          <w:rFonts w:ascii="Times New Roman" w:hAnsi="Times New Roman" w:cs="Times New Roman"/>
          <w:sz w:val="24"/>
          <w:szCs w:val="24"/>
        </w:rPr>
        <w:t xml:space="preserve"> and why the kat</w:t>
      </w:r>
      <w:r w:rsidR="002074F9">
        <w:rPr>
          <w:rFonts w:ascii="Times New Roman" w:hAnsi="Times New Roman" w:cs="Times New Roman"/>
          <w:sz w:val="24"/>
          <w:szCs w:val="24"/>
        </w:rPr>
        <w:t xml:space="preserve">alogos method worked so well for so long. Crowley examines the social importance of the demes and the resultant effect on the hoplite troops. The </w:t>
      </w:r>
      <w:proofErr w:type="spellStart"/>
      <w:r w:rsidR="002074F9" w:rsidRPr="002074F9">
        <w:rPr>
          <w:rFonts w:ascii="Times New Roman" w:hAnsi="Times New Roman" w:cs="Times New Roman"/>
          <w:i/>
          <w:sz w:val="24"/>
          <w:szCs w:val="24"/>
        </w:rPr>
        <w:t>lexiarchion</w:t>
      </w:r>
      <w:proofErr w:type="spellEnd"/>
      <w:r w:rsidR="002074F9" w:rsidRPr="002074F9">
        <w:rPr>
          <w:rFonts w:ascii="Times New Roman" w:hAnsi="Times New Roman" w:cs="Times New Roman"/>
          <w:i/>
          <w:sz w:val="24"/>
          <w:szCs w:val="24"/>
        </w:rPr>
        <w:t xml:space="preserve"> </w:t>
      </w:r>
      <w:proofErr w:type="spellStart"/>
      <w:r w:rsidR="002074F9" w:rsidRPr="002074F9">
        <w:rPr>
          <w:rFonts w:ascii="Times New Roman" w:hAnsi="Times New Roman" w:cs="Times New Roman"/>
          <w:i/>
          <w:sz w:val="24"/>
          <w:szCs w:val="24"/>
        </w:rPr>
        <w:t>grammateion</w:t>
      </w:r>
      <w:proofErr w:type="spellEnd"/>
      <w:r w:rsidR="002074F9">
        <w:rPr>
          <w:rFonts w:ascii="Times New Roman" w:hAnsi="Times New Roman" w:cs="Times New Roman"/>
          <w:i/>
          <w:sz w:val="24"/>
          <w:szCs w:val="24"/>
        </w:rPr>
        <w:t xml:space="preserve"> </w:t>
      </w:r>
      <w:r w:rsidR="002074F9">
        <w:rPr>
          <w:rFonts w:ascii="Times New Roman" w:hAnsi="Times New Roman" w:cs="Times New Roman"/>
          <w:sz w:val="24"/>
          <w:szCs w:val="24"/>
        </w:rPr>
        <w:t xml:space="preserve">was a constantly updated list of </w:t>
      </w:r>
      <w:proofErr w:type="spellStart"/>
      <w:r w:rsidR="002074F9">
        <w:rPr>
          <w:rFonts w:ascii="Times New Roman" w:hAnsi="Times New Roman" w:cs="Times New Roman"/>
          <w:sz w:val="24"/>
          <w:szCs w:val="24"/>
        </w:rPr>
        <w:t>demesmen</w:t>
      </w:r>
      <w:proofErr w:type="spellEnd"/>
      <w:r w:rsidR="002074F9">
        <w:rPr>
          <w:rFonts w:ascii="Times New Roman" w:hAnsi="Times New Roman" w:cs="Times New Roman"/>
          <w:sz w:val="24"/>
          <w:szCs w:val="24"/>
        </w:rPr>
        <w:t xml:space="preserve">, </w:t>
      </w:r>
      <w:proofErr w:type="spellStart"/>
      <w:r w:rsidR="002074F9">
        <w:rPr>
          <w:rFonts w:ascii="Times New Roman" w:hAnsi="Times New Roman" w:cs="Times New Roman"/>
          <w:sz w:val="24"/>
          <w:szCs w:val="24"/>
        </w:rPr>
        <w:t>ie</w:t>
      </w:r>
      <w:proofErr w:type="spellEnd"/>
      <w:r w:rsidR="002074F9">
        <w:rPr>
          <w:rFonts w:ascii="Times New Roman" w:hAnsi="Times New Roman" w:cs="Times New Roman"/>
          <w:sz w:val="24"/>
          <w:szCs w:val="24"/>
        </w:rPr>
        <w:t xml:space="preserve">. those having reached the age of </w:t>
      </w:r>
      <w:proofErr w:type="gramStart"/>
      <w:r w:rsidR="002074F9">
        <w:rPr>
          <w:rFonts w:ascii="Times New Roman" w:hAnsi="Times New Roman" w:cs="Times New Roman"/>
          <w:sz w:val="24"/>
          <w:szCs w:val="24"/>
        </w:rPr>
        <w:t>enfranchisement ,</w:t>
      </w:r>
      <w:proofErr w:type="gramEnd"/>
      <w:r w:rsidR="002074F9">
        <w:rPr>
          <w:rFonts w:ascii="Times New Roman" w:hAnsi="Times New Roman" w:cs="Times New Roman"/>
          <w:sz w:val="24"/>
          <w:szCs w:val="24"/>
        </w:rPr>
        <w:t xml:space="preserve"> noting, for example, any honour or dishonour. The demes were “cohesive units – with a </w:t>
      </w:r>
      <w:r w:rsidR="00F90970">
        <w:rPr>
          <w:rFonts w:ascii="Times New Roman" w:hAnsi="Times New Roman" w:cs="Times New Roman"/>
          <w:sz w:val="24"/>
          <w:szCs w:val="24"/>
        </w:rPr>
        <w:t>socially set mem</w:t>
      </w:r>
      <w:r w:rsidR="002074F9">
        <w:rPr>
          <w:rFonts w:ascii="Times New Roman" w:hAnsi="Times New Roman" w:cs="Times New Roman"/>
          <w:sz w:val="24"/>
          <w:szCs w:val="24"/>
        </w:rPr>
        <w:t>bership, closely bound by familial ties and long association”</w:t>
      </w:r>
      <w:r w:rsidR="002074F9">
        <w:rPr>
          <w:rStyle w:val="FootnoteReference"/>
          <w:rFonts w:ascii="Times New Roman" w:hAnsi="Times New Roman" w:cs="Times New Roman"/>
          <w:sz w:val="24"/>
          <w:szCs w:val="24"/>
        </w:rPr>
        <w:footnoteReference w:id="8"/>
      </w:r>
      <w:r w:rsidR="002074F9">
        <w:rPr>
          <w:rFonts w:ascii="Times New Roman" w:hAnsi="Times New Roman" w:cs="Times New Roman"/>
          <w:sz w:val="24"/>
          <w:szCs w:val="24"/>
        </w:rPr>
        <w:t xml:space="preserve"> The lists would possibly be augmented with local knowledge of any individual suitabil</w:t>
      </w:r>
      <w:r w:rsidR="00B064DE">
        <w:rPr>
          <w:rFonts w:ascii="Times New Roman" w:hAnsi="Times New Roman" w:cs="Times New Roman"/>
          <w:sz w:val="24"/>
          <w:szCs w:val="24"/>
        </w:rPr>
        <w:t>ity. In combination with the ex</w:t>
      </w:r>
      <w:r w:rsidR="002074F9">
        <w:rPr>
          <w:rFonts w:ascii="Times New Roman" w:hAnsi="Times New Roman" w:cs="Times New Roman"/>
          <w:sz w:val="24"/>
          <w:szCs w:val="24"/>
        </w:rPr>
        <w:t>emption process, the lists</w:t>
      </w:r>
      <w:r w:rsidR="00B064DE">
        <w:rPr>
          <w:rFonts w:ascii="Times New Roman" w:hAnsi="Times New Roman" w:cs="Times New Roman"/>
          <w:sz w:val="24"/>
          <w:szCs w:val="24"/>
        </w:rPr>
        <w:t>, gathered this way,</w:t>
      </w:r>
      <w:r w:rsidR="002074F9">
        <w:rPr>
          <w:rFonts w:ascii="Times New Roman" w:hAnsi="Times New Roman" w:cs="Times New Roman"/>
          <w:sz w:val="24"/>
          <w:szCs w:val="24"/>
        </w:rPr>
        <w:t xml:space="preserve"> would </w:t>
      </w:r>
      <w:r w:rsidR="00B064DE">
        <w:rPr>
          <w:rFonts w:ascii="Times New Roman" w:hAnsi="Times New Roman" w:cs="Times New Roman"/>
          <w:sz w:val="24"/>
          <w:szCs w:val="24"/>
        </w:rPr>
        <w:t>provide a force of enlisted and mobilised men who were ready for combat.</w:t>
      </w:r>
      <w:r w:rsidR="00B064DE">
        <w:rPr>
          <w:rStyle w:val="FootnoteReference"/>
          <w:rFonts w:ascii="Times New Roman" w:hAnsi="Times New Roman" w:cs="Times New Roman"/>
          <w:sz w:val="24"/>
          <w:szCs w:val="24"/>
        </w:rPr>
        <w:footnoteReference w:id="9"/>
      </w:r>
      <w:r w:rsidR="00B064DE">
        <w:rPr>
          <w:rFonts w:ascii="Times New Roman" w:hAnsi="Times New Roman" w:cs="Times New Roman"/>
          <w:sz w:val="24"/>
          <w:szCs w:val="24"/>
        </w:rPr>
        <w:t xml:space="preserve"> There is plenty of academic discussion as to the way warfare was waged in ancient Greece which is pertinent to the continuation of an elite military force which again, Christ does not seem to have touched on. </w:t>
      </w:r>
    </w:p>
    <w:p w14:paraId="0709F556" w14:textId="595DC341" w:rsidR="00B064DE" w:rsidRDefault="00F90970" w:rsidP="002074F9">
      <w:pPr>
        <w:spacing w:line="480" w:lineRule="auto"/>
        <w:rPr>
          <w:rFonts w:ascii="Times New Roman" w:hAnsi="Times New Roman" w:cs="Times New Roman"/>
          <w:sz w:val="24"/>
          <w:szCs w:val="24"/>
        </w:rPr>
      </w:pPr>
      <w:r>
        <w:rPr>
          <w:rFonts w:ascii="Times New Roman" w:hAnsi="Times New Roman" w:cs="Times New Roman"/>
          <w:sz w:val="24"/>
          <w:szCs w:val="24"/>
        </w:rPr>
        <w:t xml:space="preserve">For example, </w:t>
      </w:r>
      <w:r w:rsidR="00B064DE">
        <w:rPr>
          <w:rFonts w:ascii="Times New Roman" w:hAnsi="Times New Roman" w:cs="Times New Roman"/>
          <w:sz w:val="24"/>
          <w:szCs w:val="24"/>
        </w:rPr>
        <w:t xml:space="preserve">Hanson contends that what </w:t>
      </w:r>
      <w:r>
        <w:rPr>
          <w:rFonts w:ascii="Times New Roman" w:hAnsi="Times New Roman" w:cs="Times New Roman"/>
          <w:sz w:val="24"/>
          <w:szCs w:val="24"/>
        </w:rPr>
        <w:t>he refers to as the barbaric</w:t>
      </w:r>
      <w:r w:rsidR="00B064DE">
        <w:rPr>
          <w:rFonts w:ascii="Times New Roman" w:hAnsi="Times New Roman" w:cs="Times New Roman"/>
          <w:sz w:val="24"/>
          <w:szCs w:val="24"/>
        </w:rPr>
        <w:t xml:space="preserve"> escalation of the 28 years of the Peloponnesian war made obsolete an arcane and ritualised style of battle. He argues that the previous two centuries had seen battles over boundaries suited to </w:t>
      </w:r>
      <w:r w:rsidR="00943D61">
        <w:rPr>
          <w:rFonts w:ascii="Times New Roman" w:hAnsi="Times New Roman" w:cs="Times New Roman"/>
          <w:sz w:val="24"/>
          <w:szCs w:val="24"/>
        </w:rPr>
        <w:t>the hoplite phalanx; set on flat</w:t>
      </w:r>
      <w:r w:rsidR="00B064DE">
        <w:rPr>
          <w:rFonts w:ascii="Times New Roman" w:hAnsi="Times New Roman" w:cs="Times New Roman"/>
          <w:sz w:val="24"/>
          <w:szCs w:val="24"/>
        </w:rPr>
        <w:t xml:space="preserve"> land, on a few recognised sites, waged by</w:t>
      </w:r>
      <w:r>
        <w:rPr>
          <w:rFonts w:ascii="Times New Roman" w:hAnsi="Times New Roman" w:cs="Times New Roman"/>
          <w:sz w:val="24"/>
          <w:szCs w:val="24"/>
        </w:rPr>
        <w:t xml:space="preserve"> the</w:t>
      </w:r>
      <w:r w:rsidR="00B064DE">
        <w:rPr>
          <w:rFonts w:ascii="Times New Roman" w:hAnsi="Times New Roman" w:cs="Times New Roman"/>
          <w:sz w:val="24"/>
          <w:szCs w:val="24"/>
        </w:rPr>
        <w:t xml:space="preserve"> wealthy propertied agrarian class, with an attendant limited l</w:t>
      </w:r>
      <w:r w:rsidR="00943D61">
        <w:rPr>
          <w:rFonts w:ascii="Times New Roman" w:hAnsi="Times New Roman" w:cs="Times New Roman"/>
          <w:sz w:val="24"/>
          <w:szCs w:val="24"/>
        </w:rPr>
        <w:t xml:space="preserve">oss to </w:t>
      </w:r>
      <w:r w:rsidR="00B064DE">
        <w:rPr>
          <w:rFonts w:ascii="Times New Roman" w:hAnsi="Times New Roman" w:cs="Times New Roman"/>
          <w:sz w:val="24"/>
          <w:szCs w:val="24"/>
        </w:rPr>
        <w:t xml:space="preserve">crops </w:t>
      </w:r>
      <w:r w:rsidR="00943D61">
        <w:rPr>
          <w:rFonts w:ascii="Times New Roman" w:hAnsi="Times New Roman" w:cs="Times New Roman"/>
          <w:sz w:val="24"/>
          <w:szCs w:val="24"/>
        </w:rPr>
        <w:t xml:space="preserve">or the socially elite forces. He sums up these </w:t>
      </w:r>
      <w:proofErr w:type="gramStart"/>
      <w:r w:rsidR="00943D61">
        <w:rPr>
          <w:rFonts w:ascii="Times New Roman" w:hAnsi="Times New Roman" w:cs="Times New Roman"/>
          <w:sz w:val="24"/>
          <w:szCs w:val="24"/>
        </w:rPr>
        <w:t>battles  as</w:t>
      </w:r>
      <w:proofErr w:type="gramEnd"/>
      <w:r w:rsidR="00943D61">
        <w:rPr>
          <w:rFonts w:ascii="Times New Roman" w:hAnsi="Times New Roman" w:cs="Times New Roman"/>
          <w:sz w:val="24"/>
          <w:szCs w:val="24"/>
        </w:rPr>
        <w:t xml:space="preserve"> “a brief collision of uniformly armed equals requiring little tactics , strategy or </w:t>
      </w:r>
      <w:proofErr w:type="spellStart"/>
      <w:r w:rsidR="00943D61">
        <w:rPr>
          <w:rFonts w:ascii="Times New Roman" w:hAnsi="Times New Roman" w:cs="Times New Roman"/>
          <w:sz w:val="24"/>
          <w:szCs w:val="24"/>
        </w:rPr>
        <w:t>generalship</w:t>
      </w:r>
      <w:proofErr w:type="spellEnd"/>
      <w:r w:rsidR="00943D61">
        <w:rPr>
          <w:rFonts w:ascii="Times New Roman" w:hAnsi="Times New Roman" w:cs="Times New Roman"/>
          <w:sz w:val="24"/>
          <w:szCs w:val="24"/>
        </w:rPr>
        <w:t>”.</w:t>
      </w:r>
      <w:r w:rsidR="00943D61">
        <w:rPr>
          <w:rStyle w:val="FootnoteReference"/>
          <w:rFonts w:ascii="Times New Roman" w:hAnsi="Times New Roman" w:cs="Times New Roman"/>
          <w:sz w:val="24"/>
          <w:szCs w:val="24"/>
        </w:rPr>
        <w:footnoteReference w:id="10"/>
      </w:r>
      <w:r w:rsidR="00943D61">
        <w:rPr>
          <w:rFonts w:ascii="Times New Roman" w:hAnsi="Times New Roman" w:cs="Times New Roman"/>
          <w:sz w:val="24"/>
          <w:szCs w:val="24"/>
        </w:rPr>
        <w:t xml:space="preserve"> Holladay supports this view, stating that there is little evidence that hoplites were particularly skilled</w:t>
      </w:r>
      <w:r w:rsidR="00943D61">
        <w:rPr>
          <w:rStyle w:val="FootnoteReference"/>
          <w:rFonts w:ascii="Times New Roman" w:hAnsi="Times New Roman" w:cs="Times New Roman"/>
          <w:sz w:val="24"/>
          <w:szCs w:val="24"/>
        </w:rPr>
        <w:footnoteReference w:id="11"/>
      </w:r>
      <w:r w:rsidR="00943D61">
        <w:rPr>
          <w:rFonts w:ascii="Times New Roman" w:hAnsi="Times New Roman" w:cs="Times New Roman"/>
          <w:sz w:val="24"/>
          <w:szCs w:val="24"/>
        </w:rPr>
        <w:t xml:space="preserve"> but that there was a distinct political advantage to restricting </w:t>
      </w:r>
      <w:r w:rsidR="00943D61">
        <w:rPr>
          <w:rFonts w:ascii="Times New Roman" w:hAnsi="Times New Roman" w:cs="Times New Roman"/>
          <w:sz w:val="24"/>
          <w:szCs w:val="24"/>
        </w:rPr>
        <w:lastRenderedPageBreak/>
        <w:t xml:space="preserve">hoplite conscription to those able to afford the heavy armour. A more affordable, lighter armour could give </w:t>
      </w:r>
      <w:proofErr w:type="spellStart"/>
      <w:r w:rsidR="00943D61">
        <w:rPr>
          <w:rFonts w:ascii="Times New Roman" w:hAnsi="Times New Roman" w:cs="Times New Roman"/>
          <w:sz w:val="24"/>
          <w:szCs w:val="24"/>
        </w:rPr>
        <w:t>thetes</w:t>
      </w:r>
      <w:proofErr w:type="spellEnd"/>
      <w:r w:rsidR="00943D61">
        <w:rPr>
          <w:rFonts w:ascii="Times New Roman" w:hAnsi="Times New Roman" w:cs="Times New Roman"/>
          <w:sz w:val="24"/>
          <w:szCs w:val="24"/>
        </w:rPr>
        <w:t xml:space="preserve"> access to the hoplite class. A lighter armoured and more mobile force of </w:t>
      </w:r>
      <w:proofErr w:type="spellStart"/>
      <w:r w:rsidR="00943D61">
        <w:rPr>
          <w:rFonts w:ascii="Times New Roman" w:hAnsi="Times New Roman" w:cs="Times New Roman"/>
          <w:sz w:val="24"/>
          <w:szCs w:val="24"/>
        </w:rPr>
        <w:t>thetes</w:t>
      </w:r>
      <w:proofErr w:type="spellEnd"/>
      <w:r w:rsidR="00943D61">
        <w:rPr>
          <w:rFonts w:ascii="Times New Roman" w:hAnsi="Times New Roman" w:cs="Times New Roman"/>
          <w:sz w:val="24"/>
          <w:szCs w:val="24"/>
        </w:rPr>
        <w:t xml:space="preserve"> may then allow the </w:t>
      </w:r>
      <w:proofErr w:type="spellStart"/>
      <w:r w:rsidR="00943D61">
        <w:rPr>
          <w:rFonts w:ascii="Times New Roman" w:hAnsi="Times New Roman" w:cs="Times New Roman"/>
          <w:sz w:val="24"/>
          <w:szCs w:val="24"/>
        </w:rPr>
        <w:t>thetes</w:t>
      </w:r>
      <w:proofErr w:type="spellEnd"/>
      <w:r w:rsidR="00943D61">
        <w:rPr>
          <w:rFonts w:ascii="Times New Roman" w:hAnsi="Times New Roman" w:cs="Times New Roman"/>
          <w:sz w:val="24"/>
          <w:szCs w:val="24"/>
        </w:rPr>
        <w:t xml:space="preserve"> to realise their military potential and thereby </w:t>
      </w:r>
      <w:r w:rsidR="00A65E5F">
        <w:rPr>
          <w:rFonts w:ascii="Times New Roman" w:hAnsi="Times New Roman" w:cs="Times New Roman"/>
          <w:sz w:val="24"/>
          <w:szCs w:val="24"/>
        </w:rPr>
        <w:t>seek political advancement, upsetting the status quo. Retaining the traditional hoplite class allowed for the three upper classes to maintain political dominance.</w:t>
      </w:r>
      <w:r w:rsidR="00A65E5F">
        <w:rPr>
          <w:rStyle w:val="FootnoteReference"/>
          <w:rFonts w:ascii="Times New Roman" w:hAnsi="Times New Roman" w:cs="Times New Roman"/>
          <w:sz w:val="24"/>
          <w:szCs w:val="24"/>
        </w:rPr>
        <w:footnoteReference w:id="12"/>
      </w:r>
      <w:r w:rsidR="00A65E5F">
        <w:rPr>
          <w:rFonts w:ascii="Times New Roman" w:hAnsi="Times New Roman" w:cs="Times New Roman"/>
          <w:sz w:val="24"/>
          <w:szCs w:val="24"/>
        </w:rPr>
        <w:t xml:space="preserve"> Mobilisation by katalogos had the further advantage of rejecting mass military production in favour of a literally hand-picked high quality force of ex</w:t>
      </w:r>
      <w:r>
        <w:rPr>
          <w:rFonts w:ascii="Times New Roman" w:hAnsi="Times New Roman" w:cs="Times New Roman"/>
          <w:sz w:val="24"/>
          <w:szCs w:val="24"/>
        </w:rPr>
        <w:t>perienced vetera</w:t>
      </w:r>
      <w:r w:rsidR="00A65E5F">
        <w:rPr>
          <w:rFonts w:ascii="Times New Roman" w:hAnsi="Times New Roman" w:cs="Times New Roman"/>
          <w:sz w:val="24"/>
          <w:szCs w:val="24"/>
        </w:rPr>
        <w:t>ns thus obviating the need for specific training.</w:t>
      </w:r>
      <w:r w:rsidR="00A65E5F">
        <w:rPr>
          <w:rStyle w:val="FootnoteReference"/>
          <w:rFonts w:ascii="Times New Roman" w:hAnsi="Times New Roman" w:cs="Times New Roman"/>
          <w:sz w:val="24"/>
          <w:szCs w:val="24"/>
        </w:rPr>
        <w:footnoteReference w:id="13"/>
      </w:r>
      <w:r w:rsidR="00A65E5F">
        <w:rPr>
          <w:rFonts w:ascii="Times New Roman" w:hAnsi="Times New Roman" w:cs="Times New Roman"/>
          <w:sz w:val="24"/>
          <w:szCs w:val="24"/>
        </w:rPr>
        <w:t xml:space="preserve"> </w:t>
      </w:r>
    </w:p>
    <w:p w14:paraId="61C04D1C" w14:textId="5D8DEB9B" w:rsidR="00C87FF3" w:rsidRDefault="00C87FF3" w:rsidP="002074F9">
      <w:pPr>
        <w:spacing w:line="480" w:lineRule="auto"/>
        <w:rPr>
          <w:rFonts w:ascii="Times New Roman" w:hAnsi="Times New Roman" w:cs="Times New Roman"/>
          <w:sz w:val="24"/>
          <w:szCs w:val="24"/>
        </w:rPr>
      </w:pPr>
      <w:r>
        <w:rPr>
          <w:rFonts w:ascii="Times New Roman" w:hAnsi="Times New Roman" w:cs="Times New Roman"/>
          <w:sz w:val="24"/>
          <w:szCs w:val="24"/>
        </w:rPr>
        <w:t>In addition to his in depth study of the compilation of lists, Christ</w:t>
      </w:r>
      <w:r w:rsidR="003E11A0">
        <w:rPr>
          <w:rFonts w:ascii="Times New Roman" w:hAnsi="Times New Roman" w:cs="Times New Roman"/>
          <w:sz w:val="24"/>
          <w:szCs w:val="24"/>
        </w:rPr>
        <w:t xml:space="preserve"> passes on to the notification </w:t>
      </w:r>
      <w:r>
        <w:rPr>
          <w:rFonts w:ascii="Times New Roman" w:hAnsi="Times New Roman" w:cs="Times New Roman"/>
          <w:sz w:val="24"/>
          <w:szCs w:val="24"/>
        </w:rPr>
        <w:t>and the mustering of men and the granting of exemptions. Again, this is an in depth and interesting exposition of the nuts and bolts of how the system worked backed up throughout using ancient sources, primarily, Thucydides Aristotle and Lysias. He also uses Aristophanes, showing that playwrights can be a useful source of contemporary information. Christ concludes first apart of the article by stating that the katalogos system seemed to have worked well noting that whilst not speedy, it was sufficient for the Athenians’ purposes. He notes that the main drawbacks were the difficulty in mobilising forces quickly and the discretion that the generals had in selection of the troops which could be arbitrary and unfair.</w:t>
      </w:r>
      <w:r w:rsidR="003E11A0" w:rsidRPr="003E11A0">
        <w:rPr>
          <w:rStyle w:val="FootnoteReference"/>
          <w:rFonts w:ascii="Times New Roman" w:hAnsi="Times New Roman" w:cs="Times New Roman"/>
          <w:sz w:val="24"/>
          <w:szCs w:val="24"/>
        </w:rPr>
        <w:t xml:space="preserve"> </w:t>
      </w:r>
      <w:r w:rsidR="003E11A0">
        <w:rPr>
          <w:rStyle w:val="FootnoteReference"/>
          <w:rFonts w:ascii="Times New Roman" w:hAnsi="Times New Roman" w:cs="Times New Roman"/>
          <w:sz w:val="24"/>
          <w:szCs w:val="24"/>
        </w:rPr>
        <w:footnoteReference w:id="14"/>
      </w:r>
      <w:r w:rsidR="003E11A0">
        <w:rPr>
          <w:rFonts w:ascii="Times New Roman" w:hAnsi="Times New Roman" w:cs="Times New Roman"/>
          <w:sz w:val="24"/>
          <w:szCs w:val="24"/>
        </w:rPr>
        <w:t xml:space="preserve"> </w:t>
      </w:r>
    </w:p>
    <w:p w14:paraId="3D94D26B" w14:textId="3DC3CA2F" w:rsidR="003E11A0" w:rsidRDefault="003E11A0" w:rsidP="002074F9">
      <w:pPr>
        <w:spacing w:line="480" w:lineRule="auto"/>
        <w:rPr>
          <w:rFonts w:ascii="Times New Roman" w:hAnsi="Times New Roman" w:cs="Times New Roman"/>
          <w:sz w:val="24"/>
          <w:szCs w:val="24"/>
        </w:rPr>
      </w:pPr>
      <w:r>
        <w:rPr>
          <w:rFonts w:ascii="Times New Roman" w:hAnsi="Times New Roman" w:cs="Times New Roman"/>
          <w:sz w:val="24"/>
          <w:szCs w:val="24"/>
        </w:rPr>
        <w:t>In contrast to the katalogos system which was still being used during the Peloponnesian wars as evidenced by various ancient sources, primarily Thucydides.</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By the early 330s BCE, there had been a reform of the way in which hoplites were conscripted. The main source </w:t>
      </w:r>
      <w:r w:rsidR="006B78B4">
        <w:rPr>
          <w:rFonts w:ascii="Times New Roman" w:hAnsi="Times New Roman" w:cs="Times New Roman"/>
          <w:sz w:val="24"/>
          <w:szCs w:val="24"/>
        </w:rPr>
        <w:t xml:space="preserve">by </w:t>
      </w:r>
      <w:r>
        <w:rPr>
          <w:rFonts w:ascii="Times New Roman" w:hAnsi="Times New Roman" w:cs="Times New Roman"/>
          <w:sz w:val="24"/>
          <w:szCs w:val="24"/>
        </w:rPr>
        <w:t xml:space="preserve">common </w:t>
      </w:r>
      <w:r w:rsidR="006B78B4">
        <w:rPr>
          <w:rFonts w:ascii="Times New Roman" w:hAnsi="Times New Roman" w:cs="Times New Roman"/>
          <w:sz w:val="24"/>
          <w:szCs w:val="24"/>
        </w:rPr>
        <w:t xml:space="preserve">consent is Aristotle’s </w:t>
      </w:r>
      <w:r w:rsidR="006B78B4">
        <w:rPr>
          <w:rFonts w:ascii="Times New Roman" w:hAnsi="Times New Roman" w:cs="Times New Roman"/>
          <w:i/>
          <w:sz w:val="24"/>
          <w:szCs w:val="24"/>
        </w:rPr>
        <w:t xml:space="preserve">Athenian Constitution </w:t>
      </w:r>
      <w:r w:rsidR="006B78B4">
        <w:rPr>
          <w:rFonts w:ascii="Times New Roman" w:hAnsi="Times New Roman" w:cs="Times New Roman"/>
          <w:sz w:val="24"/>
          <w:szCs w:val="24"/>
        </w:rPr>
        <w:t xml:space="preserve">written somewhere </w:t>
      </w:r>
      <w:proofErr w:type="gramStart"/>
      <w:r w:rsidR="006B78B4">
        <w:rPr>
          <w:rFonts w:ascii="Times New Roman" w:hAnsi="Times New Roman" w:cs="Times New Roman"/>
          <w:sz w:val="24"/>
          <w:szCs w:val="24"/>
        </w:rPr>
        <w:t>between  332</w:t>
      </w:r>
      <w:proofErr w:type="gramEnd"/>
      <w:r w:rsidR="006B78B4">
        <w:rPr>
          <w:rFonts w:ascii="Times New Roman" w:hAnsi="Times New Roman" w:cs="Times New Roman"/>
          <w:sz w:val="24"/>
          <w:szCs w:val="24"/>
        </w:rPr>
        <w:t xml:space="preserve">/322 BCE, which states at 42.4 that at the beginning of the second year of service, an ephebe </w:t>
      </w:r>
      <w:r w:rsidR="006B78B4">
        <w:rPr>
          <w:rFonts w:ascii="Times New Roman" w:hAnsi="Times New Roman" w:cs="Times New Roman"/>
          <w:sz w:val="24"/>
          <w:szCs w:val="24"/>
        </w:rPr>
        <w:lastRenderedPageBreak/>
        <w:t xml:space="preserve">received a spear and a shield from the state. This is a shift from the previous elite handpicked force from a strictly financially and socially delineated pool.  The </w:t>
      </w:r>
      <w:proofErr w:type="spellStart"/>
      <w:r w:rsidR="006B78B4">
        <w:rPr>
          <w:rFonts w:ascii="Times New Roman" w:hAnsi="Times New Roman" w:cs="Times New Roman"/>
          <w:sz w:val="24"/>
          <w:szCs w:val="24"/>
        </w:rPr>
        <w:t>ephebeia</w:t>
      </w:r>
      <w:proofErr w:type="spellEnd"/>
      <w:r w:rsidR="006B78B4">
        <w:rPr>
          <w:rFonts w:ascii="Times New Roman" w:hAnsi="Times New Roman" w:cs="Times New Roman"/>
          <w:sz w:val="24"/>
          <w:szCs w:val="24"/>
        </w:rPr>
        <w:t xml:space="preserve"> was a two year program that took in recruits, the ephebes, in their eighteenth year and trained them in all the skills necessary for hoplite warfare. Enfranchisement had always been an age dependant privilege with attendant – to serve in the military when called upon.</w:t>
      </w:r>
      <w:r w:rsidR="00CF5A67">
        <w:rPr>
          <w:rStyle w:val="FootnoteReference"/>
          <w:rFonts w:ascii="Times New Roman" w:hAnsi="Times New Roman" w:cs="Times New Roman"/>
          <w:sz w:val="24"/>
          <w:szCs w:val="24"/>
        </w:rPr>
        <w:footnoteReference w:id="16"/>
      </w:r>
      <w:r w:rsidR="006B78B4">
        <w:rPr>
          <w:rFonts w:ascii="Times New Roman" w:hAnsi="Times New Roman" w:cs="Times New Roman"/>
          <w:sz w:val="24"/>
          <w:szCs w:val="24"/>
        </w:rPr>
        <w:t xml:space="preserve"> Ephebic reform opened up the hoplite class to all by presenting all the ephebes, </w:t>
      </w:r>
      <w:proofErr w:type="spellStart"/>
      <w:r w:rsidR="006B78B4">
        <w:rPr>
          <w:rFonts w:ascii="Times New Roman" w:hAnsi="Times New Roman" w:cs="Times New Roman"/>
          <w:sz w:val="24"/>
          <w:szCs w:val="24"/>
        </w:rPr>
        <w:t>thetes</w:t>
      </w:r>
      <w:proofErr w:type="spellEnd"/>
      <w:r w:rsidR="006B78B4">
        <w:rPr>
          <w:rFonts w:ascii="Times New Roman" w:hAnsi="Times New Roman" w:cs="Times New Roman"/>
          <w:sz w:val="24"/>
          <w:szCs w:val="24"/>
        </w:rPr>
        <w:t xml:space="preserve"> included, with a spear and a </w:t>
      </w:r>
      <w:r w:rsidR="00C82183">
        <w:rPr>
          <w:rFonts w:ascii="Times New Roman" w:hAnsi="Times New Roman" w:cs="Times New Roman"/>
          <w:sz w:val="24"/>
          <w:szCs w:val="24"/>
        </w:rPr>
        <w:t xml:space="preserve">shield. It was a radical change. </w:t>
      </w:r>
    </w:p>
    <w:p w14:paraId="68FC82DD" w14:textId="379C4F8D" w:rsidR="00C82183" w:rsidRDefault="00C82183" w:rsidP="002074F9">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uncontentious that prior to the reform, the state did not generally provide arms </w:t>
      </w:r>
      <w:r w:rsidR="005A7FDA">
        <w:rPr>
          <w:rFonts w:ascii="Times New Roman" w:hAnsi="Times New Roman" w:cs="Times New Roman"/>
          <w:sz w:val="24"/>
          <w:szCs w:val="24"/>
        </w:rPr>
        <w:t xml:space="preserve">to </w:t>
      </w:r>
      <w:r>
        <w:rPr>
          <w:rFonts w:ascii="Times New Roman" w:hAnsi="Times New Roman" w:cs="Times New Roman"/>
          <w:sz w:val="24"/>
          <w:szCs w:val="24"/>
        </w:rPr>
        <w:t>those who could not afford them although there were exceptions that Christ does not mention. Panoplies could be awarded for bravery, for example</w:t>
      </w:r>
      <w:r w:rsidR="000F7A53">
        <w:rPr>
          <w:rFonts w:ascii="Times New Roman" w:hAnsi="Times New Roman" w:cs="Times New Roman"/>
          <w:sz w:val="24"/>
          <w:szCs w:val="24"/>
        </w:rPr>
        <w:t>,</w:t>
      </w:r>
      <w:r>
        <w:rPr>
          <w:rFonts w:ascii="Times New Roman" w:hAnsi="Times New Roman" w:cs="Times New Roman"/>
          <w:sz w:val="24"/>
          <w:szCs w:val="24"/>
        </w:rPr>
        <w:t xml:space="preserve"> Alcibiades at the battle of </w:t>
      </w:r>
      <w:proofErr w:type="spellStart"/>
      <w:r>
        <w:rPr>
          <w:rFonts w:ascii="Times New Roman" w:hAnsi="Times New Roman" w:cs="Times New Roman"/>
          <w:sz w:val="24"/>
          <w:szCs w:val="24"/>
        </w:rPr>
        <w:t>Potdai</w:t>
      </w:r>
      <w:proofErr w:type="spellEnd"/>
      <w:r>
        <w:rPr>
          <w:rFonts w:ascii="Times New Roman" w:hAnsi="Times New Roman" w:cs="Times New Roman"/>
          <w:sz w:val="24"/>
          <w:szCs w:val="24"/>
        </w:rPr>
        <w:t>.</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Panoplies were also awarded at the annual Dionysia </w:t>
      </w:r>
      <w:r w:rsidR="005A7FDA">
        <w:rPr>
          <w:rFonts w:ascii="Times New Roman" w:hAnsi="Times New Roman" w:cs="Times New Roman"/>
          <w:sz w:val="24"/>
          <w:szCs w:val="24"/>
        </w:rPr>
        <w:t>to war orphans who came of age in the preceding year.</w:t>
      </w:r>
      <w:r w:rsidR="005A7FDA">
        <w:rPr>
          <w:rStyle w:val="FootnoteReference"/>
          <w:rFonts w:ascii="Times New Roman" w:hAnsi="Times New Roman" w:cs="Times New Roman"/>
          <w:sz w:val="24"/>
          <w:szCs w:val="24"/>
        </w:rPr>
        <w:footnoteReference w:id="18"/>
      </w:r>
      <w:r w:rsidR="005A7FDA">
        <w:rPr>
          <w:rFonts w:ascii="Times New Roman" w:hAnsi="Times New Roman" w:cs="Times New Roman"/>
          <w:sz w:val="24"/>
          <w:szCs w:val="24"/>
        </w:rPr>
        <w:t xml:space="preserve">There was no class distinction for this award so could, in theory have, provided a path for a </w:t>
      </w:r>
      <w:proofErr w:type="spellStart"/>
      <w:r w:rsidR="005A7FDA">
        <w:rPr>
          <w:rFonts w:ascii="Times New Roman" w:hAnsi="Times New Roman" w:cs="Times New Roman"/>
          <w:sz w:val="24"/>
          <w:szCs w:val="24"/>
        </w:rPr>
        <w:t>thete</w:t>
      </w:r>
      <w:proofErr w:type="spellEnd"/>
      <w:r w:rsidR="005A7FDA">
        <w:rPr>
          <w:rFonts w:ascii="Times New Roman" w:hAnsi="Times New Roman" w:cs="Times New Roman"/>
          <w:sz w:val="24"/>
          <w:szCs w:val="24"/>
        </w:rPr>
        <w:t xml:space="preserve"> to become a hoplite This practice ceased after the ephebic reforms as, of course, all ephebes would be armed by the state at the end of the two year </w:t>
      </w:r>
      <w:proofErr w:type="spellStart"/>
      <w:r w:rsidR="005A7FDA">
        <w:rPr>
          <w:rFonts w:ascii="Times New Roman" w:hAnsi="Times New Roman" w:cs="Times New Roman"/>
          <w:sz w:val="24"/>
          <w:szCs w:val="24"/>
        </w:rPr>
        <w:t>ephebeia</w:t>
      </w:r>
      <w:proofErr w:type="spellEnd"/>
      <w:r w:rsidR="005A7FDA">
        <w:rPr>
          <w:rFonts w:ascii="Times New Roman" w:hAnsi="Times New Roman" w:cs="Times New Roman"/>
          <w:sz w:val="24"/>
          <w:szCs w:val="24"/>
        </w:rPr>
        <w:t>.</w:t>
      </w:r>
      <w:r w:rsidR="005A7FDA">
        <w:rPr>
          <w:rStyle w:val="FootnoteReference"/>
          <w:rFonts w:ascii="Times New Roman" w:hAnsi="Times New Roman" w:cs="Times New Roman"/>
          <w:sz w:val="24"/>
          <w:szCs w:val="24"/>
        </w:rPr>
        <w:footnoteReference w:id="19"/>
      </w:r>
    </w:p>
    <w:p w14:paraId="192053FD" w14:textId="5A8119B2" w:rsidR="00DA4B73" w:rsidRDefault="00DA4B73" w:rsidP="00DA4B73">
      <w:pPr>
        <w:spacing w:line="480" w:lineRule="auto"/>
        <w:rPr>
          <w:rFonts w:ascii="Times New Roman" w:hAnsi="Times New Roman" w:cs="Times New Roman"/>
          <w:sz w:val="24"/>
          <w:szCs w:val="24"/>
        </w:rPr>
      </w:pPr>
      <w:r>
        <w:rPr>
          <w:rFonts w:ascii="Times New Roman" w:hAnsi="Times New Roman" w:cs="Times New Roman"/>
          <w:sz w:val="24"/>
          <w:szCs w:val="24"/>
        </w:rPr>
        <w:t>Christ is thorough in his discussion of the reforms but seems to be at odds with other scholars as to whether there was a gradual switch over or whether the changeover was abrupt. By close attention to the sources and extrapolation of the information therein, Christ narrows the date of reform to the period between 386-366 BCE.</w:t>
      </w:r>
      <w:r>
        <w:rPr>
          <w:rStyle w:val="FootnoteReference"/>
          <w:rFonts w:ascii="Times New Roman" w:hAnsi="Times New Roman" w:cs="Times New Roman"/>
          <w:sz w:val="24"/>
          <w:szCs w:val="24"/>
        </w:rPr>
        <w:footnoteReference w:id="20"/>
      </w:r>
      <w:r w:rsidR="00CF5A67">
        <w:rPr>
          <w:rFonts w:ascii="Times New Roman" w:hAnsi="Times New Roman" w:cs="Times New Roman"/>
          <w:sz w:val="24"/>
          <w:szCs w:val="24"/>
        </w:rPr>
        <w:t xml:space="preserve"> Because he is so intent on attempting to get as close to a date as the evidence will allow, he misses the broader picture. Other scholars have suggested that there is other evidence that shows that there was an opening up of the system before the reforms. As an example, Crowley discusses van </w:t>
      </w:r>
      <w:proofErr w:type="spellStart"/>
      <w:r w:rsidR="00CF5A67">
        <w:rPr>
          <w:rFonts w:ascii="Times New Roman" w:hAnsi="Times New Roman" w:cs="Times New Roman"/>
          <w:sz w:val="24"/>
          <w:szCs w:val="24"/>
        </w:rPr>
        <w:t>Wees’s</w:t>
      </w:r>
      <w:proofErr w:type="spellEnd"/>
      <w:r w:rsidR="00CF5A67">
        <w:rPr>
          <w:rFonts w:ascii="Times New Roman" w:hAnsi="Times New Roman" w:cs="Times New Roman"/>
          <w:sz w:val="24"/>
          <w:szCs w:val="24"/>
        </w:rPr>
        <w:t xml:space="preserve"> </w:t>
      </w:r>
      <w:r w:rsidR="00647C59">
        <w:rPr>
          <w:rFonts w:ascii="Times New Roman" w:hAnsi="Times New Roman" w:cs="Times New Roman"/>
          <w:sz w:val="24"/>
          <w:szCs w:val="24"/>
        </w:rPr>
        <w:t xml:space="preserve">stance that the apparent rigidity of the katalogos conscription system, certainly where it concerned upward </w:t>
      </w:r>
      <w:r w:rsidR="00647C59">
        <w:rPr>
          <w:rFonts w:ascii="Times New Roman" w:hAnsi="Times New Roman" w:cs="Times New Roman"/>
          <w:sz w:val="24"/>
          <w:szCs w:val="24"/>
        </w:rPr>
        <w:lastRenderedPageBreak/>
        <w:t xml:space="preserve">movement from the </w:t>
      </w:r>
      <w:proofErr w:type="spellStart"/>
      <w:r w:rsidR="00647C59">
        <w:rPr>
          <w:rFonts w:ascii="Times New Roman" w:hAnsi="Times New Roman" w:cs="Times New Roman"/>
          <w:sz w:val="24"/>
          <w:szCs w:val="24"/>
        </w:rPr>
        <w:t>thete</w:t>
      </w:r>
      <w:proofErr w:type="spellEnd"/>
      <w:r w:rsidR="00647C59">
        <w:rPr>
          <w:rFonts w:ascii="Times New Roman" w:hAnsi="Times New Roman" w:cs="Times New Roman"/>
          <w:sz w:val="24"/>
          <w:szCs w:val="24"/>
        </w:rPr>
        <w:t xml:space="preserve"> class, was</w:t>
      </w:r>
      <w:r w:rsidR="00647C59" w:rsidRPr="00647C59">
        <w:t xml:space="preserve"> </w:t>
      </w:r>
      <w:r w:rsidR="00647C59" w:rsidRPr="00647C59">
        <w:rPr>
          <w:rFonts w:ascii="Times New Roman" w:hAnsi="Times New Roman" w:cs="Times New Roman"/>
          <w:sz w:val="24"/>
          <w:szCs w:val="24"/>
        </w:rPr>
        <w:t>more apparent than actual</w:t>
      </w:r>
      <w:r w:rsidR="00647C59">
        <w:rPr>
          <w:rFonts w:ascii="Times New Roman" w:hAnsi="Times New Roman" w:cs="Times New Roman"/>
          <w:sz w:val="24"/>
          <w:szCs w:val="24"/>
        </w:rPr>
        <w:t xml:space="preserve">. He calculated that there was a mismatch between the size of land holding required for property qualification for the hoplite class as opposed to the size of holding that would give sufficient income to fund hoplite service. He calculated that 22 acres was required for entry to the zeugitai whereas 10 – 15 acres would </w:t>
      </w:r>
      <w:r w:rsidR="00FC4612">
        <w:rPr>
          <w:rFonts w:ascii="Times New Roman" w:hAnsi="Times New Roman" w:cs="Times New Roman"/>
          <w:sz w:val="24"/>
          <w:szCs w:val="24"/>
        </w:rPr>
        <w:t xml:space="preserve">be sufficient for funding purposes. Attica would provide only about 10,000 22 acre holdings. This would not be sufficient account for the hoplites that Athens could call on. The implication being that “working class” hoplites who did not meet the zeugitai requirement must have been used. Van Wees also points to the fact that Socrates certainly served a number of times as a hoplite despite not meeting the </w:t>
      </w:r>
      <w:proofErr w:type="spellStart"/>
      <w:r w:rsidR="00FC4612">
        <w:rPr>
          <w:rFonts w:ascii="Times New Roman" w:hAnsi="Times New Roman" w:cs="Times New Roman"/>
          <w:sz w:val="24"/>
          <w:szCs w:val="24"/>
        </w:rPr>
        <w:t>monetry</w:t>
      </w:r>
      <w:proofErr w:type="spellEnd"/>
      <w:r w:rsidR="00FC4612">
        <w:rPr>
          <w:rFonts w:ascii="Times New Roman" w:hAnsi="Times New Roman" w:cs="Times New Roman"/>
          <w:sz w:val="24"/>
          <w:szCs w:val="24"/>
        </w:rPr>
        <w:t xml:space="preserve"> requirements and further contends that wealthier deme members would finance those less well off.</w:t>
      </w:r>
      <w:r w:rsidR="00FC4612">
        <w:rPr>
          <w:rStyle w:val="FootnoteReference"/>
          <w:rFonts w:ascii="Times New Roman" w:hAnsi="Times New Roman" w:cs="Times New Roman"/>
          <w:sz w:val="24"/>
          <w:szCs w:val="24"/>
        </w:rPr>
        <w:footnoteReference w:id="21"/>
      </w:r>
      <w:r w:rsidR="00FC4612">
        <w:rPr>
          <w:rFonts w:ascii="Times New Roman" w:hAnsi="Times New Roman" w:cs="Times New Roman"/>
          <w:sz w:val="24"/>
          <w:szCs w:val="24"/>
        </w:rPr>
        <w:t xml:space="preserve"> </w:t>
      </w:r>
    </w:p>
    <w:p w14:paraId="48EC9571" w14:textId="77777777" w:rsidR="000B08D9" w:rsidRDefault="00EF76B1" w:rsidP="00754230">
      <w:pPr>
        <w:spacing w:line="480" w:lineRule="auto"/>
      </w:pPr>
      <w:r>
        <w:rPr>
          <w:rFonts w:ascii="Times New Roman" w:hAnsi="Times New Roman" w:cs="Times New Roman"/>
          <w:sz w:val="24"/>
          <w:szCs w:val="24"/>
        </w:rPr>
        <w:t xml:space="preserve">A further precedent would be the Sicilian expedition of 415 when 5,100 hoplites were amassed including 1,500 from Athenian citizens lists and 700 </w:t>
      </w:r>
      <w:proofErr w:type="spellStart"/>
      <w:r>
        <w:rPr>
          <w:rFonts w:ascii="Times New Roman" w:hAnsi="Times New Roman" w:cs="Times New Roman"/>
          <w:sz w:val="24"/>
          <w:szCs w:val="24"/>
        </w:rPr>
        <w:t>thetes</w:t>
      </w:r>
      <w:proofErr w:type="spellEnd"/>
      <w:r>
        <w:rPr>
          <w:rFonts w:ascii="Times New Roman" w:hAnsi="Times New Roman" w:cs="Times New Roman"/>
          <w:sz w:val="24"/>
          <w:szCs w:val="24"/>
        </w:rPr>
        <w:t xml:space="preserve"> as marines or </w:t>
      </w:r>
      <w:proofErr w:type="spellStart"/>
      <w:r>
        <w:rPr>
          <w:rFonts w:ascii="Times New Roman" w:hAnsi="Times New Roman" w:cs="Times New Roman"/>
          <w:sz w:val="24"/>
          <w:szCs w:val="24"/>
        </w:rPr>
        <w:t>epibatai</w:t>
      </w:r>
      <w:proofErr w:type="spellEnd"/>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These were armed hoplites. There was a need for an unusually large force and as </w:t>
      </w:r>
      <w:proofErr w:type="spellStart"/>
      <w:r>
        <w:rPr>
          <w:rFonts w:ascii="Times New Roman" w:hAnsi="Times New Roman" w:cs="Times New Roman"/>
          <w:sz w:val="24"/>
          <w:szCs w:val="24"/>
        </w:rPr>
        <w:t>thetes</w:t>
      </w:r>
      <w:proofErr w:type="spellEnd"/>
      <w:r>
        <w:rPr>
          <w:rFonts w:ascii="Times New Roman" w:hAnsi="Times New Roman" w:cs="Times New Roman"/>
          <w:sz w:val="24"/>
          <w:szCs w:val="24"/>
        </w:rPr>
        <w:t xml:space="preserve"> would normally be naval, arming them as hoplites would be a solution. Whilst it would be a departure from normal practice, it is an indication that it would certainly be considered.</w:t>
      </w:r>
      <w:r>
        <w:rPr>
          <w:rStyle w:val="FootnoteReference"/>
          <w:rFonts w:ascii="Times New Roman" w:hAnsi="Times New Roman" w:cs="Times New Roman"/>
          <w:sz w:val="24"/>
          <w:szCs w:val="24"/>
        </w:rPr>
        <w:footnoteReference w:id="23"/>
      </w:r>
    </w:p>
    <w:p w14:paraId="04868225" w14:textId="77777777" w:rsidR="000B08D9" w:rsidRDefault="000B08D9" w:rsidP="00754230">
      <w:pPr>
        <w:spacing w:line="480" w:lineRule="auto"/>
        <w:rPr>
          <w:rFonts w:ascii="Times New Roman" w:hAnsi="Times New Roman" w:cs="Times New Roman"/>
          <w:sz w:val="24"/>
          <w:szCs w:val="24"/>
        </w:rPr>
      </w:pPr>
    </w:p>
    <w:p w14:paraId="5F7B7F8C" w14:textId="315AD412" w:rsidR="00754230" w:rsidRPr="000B08D9" w:rsidRDefault="00754230" w:rsidP="00754230">
      <w:pPr>
        <w:spacing w:line="480" w:lineRule="auto"/>
      </w:pPr>
      <w:r>
        <w:rPr>
          <w:rFonts w:ascii="Times New Roman" w:hAnsi="Times New Roman" w:cs="Times New Roman"/>
          <w:sz w:val="24"/>
          <w:szCs w:val="24"/>
        </w:rPr>
        <w:t xml:space="preserve">If Christ had set out merely to describe the two systems of conscription, the Katalogos as opposed to the </w:t>
      </w:r>
      <w:proofErr w:type="spellStart"/>
      <w:r>
        <w:rPr>
          <w:rFonts w:ascii="Times New Roman" w:hAnsi="Times New Roman" w:cs="Times New Roman"/>
          <w:sz w:val="24"/>
          <w:szCs w:val="24"/>
        </w:rPr>
        <w:t>ephebeian</w:t>
      </w:r>
      <w:proofErr w:type="spellEnd"/>
      <w:r>
        <w:rPr>
          <w:rFonts w:ascii="Times New Roman" w:hAnsi="Times New Roman" w:cs="Times New Roman"/>
          <w:sz w:val="24"/>
          <w:szCs w:val="24"/>
        </w:rPr>
        <w:t xml:space="preserve"> method, he would have fulfilled the purpose of his brief. He gives a detailed supported account of the operation of both systems. However, he specifically set himself questions all of which he does address but to varying degrees. He fails to put the systems fully into their historical and ideological context and does not provide a convincing argument that the introduction of the ephebic model of conscription was as sudden as he </w:t>
      </w:r>
      <w:r>
        <w:rPr>
          <w:rFonts w:ascii="Times New Roman" w:hAnsi="Times New Roman" w:cs="Times New Roman"/>
          <w:sz w:val="24"/>
          <w:szCs w:val="24"/>
        </w:rPr>
        <w:lastRenderedPageBreak/>
        <w:t xml:space="preserve">proposes. With every approach to history something is gained and something is lost – concentration on one aspect leads to the detriment of another but there is plenty of evidence between the Peloponnesian wars and Aristotle’s Athenian constitution that could form an argument for the gradual accretion of </w:t>
      </w:r>
      <w:proofErr w:type="spellStart"/>
      <w:r>
        <w:rPr>
          <w:rFonts w:ascii="Times New Roman" w:hAnsi="Times New Roman" w:cs="Times New Roman"/>
          <w:sz w:val="24"/>
          <w:szCs w:val="24"/>
        </w:rPr>
        <w:t>thetes</w:t>
      </w:r>
      <w:proofErr w:type="spellEnd"/>
      <w:r>
        <w:rPr>
          <w:rFonts w:ascii="Times New Roman" w:hAnsi="Times New Roman" w:cs="Times New Roman"/>
          <w:sz w:val="24"/>
          <w:szCs w:val="24"/>
        </w:rPr>
        <w:t xml:space="preserve"> into the hoplite ranks through a number of routes as the manner of fighting and the nature of the enemy changed. </w:t>
      </w:r>
    </w:p>
    <w:p w14:paraId="1FD90D5B" w14:textId="77777777" w:rsidR="00754230" w:rsidRDefault="00754230" w:rsidP="00754230">
      <w:pPr>
        <w:spacing w:line="480" w:lineRule="auto"/>
        <w:rPr>
          <w:rFonts w:ascii="Times New Roman" w:hAnsi="Times New Roman" w:cs="Times New Roman"/>
          <w:sz w:val="24"/>
          <w:szCs w:val="24"/>
        </w:rPr>
      </w:pPr>
    </w:p>
    <w:p w14:paraId="64E225C9" w14:textId="77777777" w:rsidR="00754230" w:rsidRDefault="00754230" w:rsidP="00754230">
      <w:pPr>
        <w:spacing w:line="480" w:lineRule="auto"/>
        <w:rPr>
          <w:rFonts w:ascii="Times New Roman" w:hAnsi="Times New Roman" w:cs="Times New Roman"/>
          <w:sz w:val="24"/>
          <w:szCs w:val="24"/>
        </w:rPr>
      </w:pPr>
    </w:p>
    <w:p w14:paraId="52D08608" w14:textId="77777777" w:rsidR="00754230" w:rsidRDefault="00754230" w:rsidP="00754230">
      <w:pPr>
        <w:spacing w:line="480" w:lineRule="auto"/>
        <w:rPr>
          <w:rFonts w:ascii="Times New Roman" w:hAnsi="Times New Roman" w:cs="Times New Roman"/>
          <w:sz w:val="24"/>
          <w:szCs w:val="24"/>
        </w:rPr>
      </w:pPr>
    </w:p>
    <w:p w14:paraId="24B2BDF8" w14:textId="77777777" w:rsidR="00754230" w:rsidRDefault="00754230" w:rsidP="00754230">
      <w:pPr>
        <w:spacing w:line="480" w:lineRule="auto"/>
        <w:rPr>
          <w:rFonts w:ascii="Times New Roman" w:hAnsi="Times New Roman" w:cs="Times New Roman"/>
          <w:sz w:val="24"/>
          <w:szCs w:val="24"/>
        </w:rPr>
      </w:pPr>
    </w:p>
    <w:p w14:paraId="782E9D7F" w14:textId="77777777" w:rsidR="00754230" w:rsidRDefault="00754230" w:rsidP="00754230">
      <w:pPr>
        <w:spacing w:line="480" w:lineRule="auto"/>
        <w:rPr>
          <w:rFonts w:ascii="Times New Roman" w:hAnsi="Times New Roman" w:cs="Times New Roman"/>
          <w:sz w:val="24"/>
          <w:szCs w:val="24"/>
        </w:rPr>
      </w:pPr>
    </w:p>
    <w:p w14:paraId="2F5CF923" w14:textId="77777777" w:rsidR="00754230" w:rsidRDefault="00754230" w:rsidP="00754230">
      <w:pPr>
        <w:spacing w:line="480" w:lineRule="auto"/>
        <w:rPr>
          <w:rFonts w:ascii="Times New Roman" w:hAnsi="Times New Roman" w:cs="Times New Roman"/>
          <w:sz w:val="24"/>
          <w:szCs w:val="24"/>
        </w:rPr>
      </w:pPr>
    </w:p>
    <w:p w14:paraId="1CCE920D" w14:textId="77777777" w:rsidR="00754230" w:rsidRDefault="00754230" w:rsidP="00754230">
      <w:pPr>
        <w:spacing w:line="480" w:lineRule="auto"/>
        <w:rPr>
          <w:rFonts w:ascii="Times New Roman" w:hAnsi="Times New Roman" w:cs="Times New Roman"/>
          <w:sz w:val="24"/>
          <w:szCs w:val="24"/>
        </w:rPr>
      </w:pPr>
    </w:p>
    <w:p w14:paraId="3BC5CA80" w14:textId="77777777" w:rsidR="00754230" w:rsidRDefault="00754230" w:rsidP="00754230">
      <w:pPr>
        <w:spacing w:line="480" w:lineRule="auto"/>
        <w:rPr>
          <w:rFonts w:ascii="Times New Roman" w:hAnsi="Times New Roman" w:cs="Times New Roman"/>
          <w:sz w:val="24"/>
          <w:szCs w:val="24"/>
        </w:rPr>
      </w:pPr>
    </w:p>
    <w:p w14:paraId="2DF658CF" w14:textId="77777777" w:rsidR="00754230" w:rsidRDefault="00754230" w:rsidP="00754230">
      <w:pPr>
        <w:spacing w:line="480" w:lineRule="auto"/>
        <w:rPr>
          <w:rFonts w:ascii="Times New Roman" w:hAnsi="Times New Roman" w:cs="Times New Roman"/>
          <w:sz w:val="24"/>
          <w:szCs w:val="24"/>
        </w:rPr>
      </w:pPr>
    </w:p>
    <w:p w14:paraId="012FEED0" w14:textId="77777777" w:rsidR="000B08D9" w:rsidRDefault="000B08D9" w:rsidP="00754230">
      <w:pPr>
        <w:spacing w:line="480" w:lineRule="auto"/>
        <w:rPr>
          <w:rFonts w:ascii="Times New Roman" w:hAnsi="Times New Roman" w:cs="Times New Roman"/>
          <w:sz w:val="24"/>
          <w:szCs w:val="24"/>
        </w:rPr>
      </w:pPr>
    </w:p>
    <w:p w14:paraId="5F875CC8" w14:textId="77777777" w:rsidR="000B08D9" w:rsidRDefault="000B08D9" w:rsidP="00754230">
      <w:pPr>
        <w:spacing w:line="480" w:lineRule="auto"/>
        <w:rPr>
          <w:rFonts w:ascii="Times New Roman" w:hAnsi="Times New Roman" w:cs="Times New Roman"/>
          <w:b/>
          <w:sz w:val="24"/>
          <w:szCs w:val="24"/>
        </w:rPr>
      </w:pPr>
    </w:p>
    <w:p w14:paraId="68FD907B" w14:textId="77777777" w:rsidR="000B08D9" w:rsidRDefault="000B08D9" w:rsidP="00754230">
      <w:pPr>
        <w:spacing w:line="480" w:lineRule="auto"/>
        <w:rPr>
          <w:rFonts w:ascii="Times New Roman" w:hAnsi="Times New Roman" w:cs="Times New Roman"/>
          <w:b/>
          <w:sz w:val="24"/>
          <w:szCs w:val="24"/>
        </w:rPr>
      </w:pPr>
    </w:p>
    <w:p w14:paraId="2F62BE05" w14:textId="77777777" w:rsidR="000B08D9" w:rsidRDefault="000B08D9" w:rsidP="00754230">
      <w:pPr>
        <w:spacing w:line="480" w:lineRule="auto"/>
        <w:rPr>
          <w:rFonts w:ascii="Times New Roman" w:hAnsi="Times New Roman" w:cs="Times New Roman"/>
          <w:b/>
          <w:sz w:val="24"/>
          <w:szCs w:val="24"/>
        </w:rPr>
      </w:pPr>
    </w:p>
    <w:p w14:paraId="515D38E9" w14:textId="77777777" w:rsidR="000B08D9" w:rsidRDefault="000B08D9" w:rsidP="00754230">
      <w:pPr>
        <w:spacing w:line="480" w:lineRule="auto"/>
        <w:rPr>
          <w:rFonts w:ascii="Times New Roman" w:hAnsi="Times New Roman" w:cs="Times New Roman"/>
          <w:b/>
          <w:sz w:val="24"/>
          <w:szCs w:val="24"/>
        </w:rPr>
      </w:pPr>
    </w:p>
    <w:p w14:paraId="0D4EA76A" w14:textId="77777777" w:rsidR="000B08D9" w:rsidRDefault="000B08D9" w:rsidP="00754230">
      <w:pPr>
        <w:spacing w:line="480" w:lineRule="auto"/>
        <w:rPr>
          <w:rFonts w:ascii="Times New Roman" w:hAnsi="Times New Roman" w:cs="Times New Roman"/>
          <w:b/>
          <w:sz w:val="24"/>
          <w:szCs w:val="24"/>
        </w:rPr>
      </w:pPr>
    </w:p>
    <w:p w14:paraId="50C197F5" w14:textId="77777777" w:rsidR="000B08D9" w:rsidRDefault="000B08D9" w:rsidP="00754230">
      <w:pPr>
        <w:spacing w:line="480" w:lineRule="auto"/>
        <w:rPr>
          <w:rFonts w:ascii="Times New Roman" w:hAnsi="Times New Roman" w:cs="Times New Roman"/>
          <w:b/>
          <w:sz w:val="24"/>
          <w:szCs w:val="24"/>
        </w:rPr>
      </w:pPr>
    </w:p>
    <w:p w14:paraId="7504F7D9" w14:textId="1D7947BB" w:rsidR="00754230" w:rsidRDefault="00754230" w:rsidP="00754230">
      <w:pPr>
        <w:spacing w:line="480" w:lineRule="auto"/>
        <w:rPr>
          <w:rFonts w:ascii="Times New Roman" w:hAnsi="Times New Roman" w:cs="Times New Roman"/>
          <w:b/>
          <w:sz w:val="24"/>
          <w:szCs w:val="24"/>
        </w:rPr>
      </w:pPr>
      <w:r w:rsidRPr="00B34D7B">
        <w:rPr>
          <w:rFonts w:ascii="Times New Roman" w:hAnsi="Times New Roman" w:cs="Times New Roman"/>
          <w:b/>
          <w:sz w:val="24"/>
          <w:szCs w:val="24"/>
        </w:rPr>
        <w:lastRenderedPageBreak/>
        <w:t>Bibliography</w:t>
      </w:r>
    </w:p>
    <w:p w14:paraId="5AA54461" w14:textId="77777777" w:rsidR="00754230" w:rsidRDefault="00754230" w:rsidP="00754230">
      <w:pPr>
        <w:spacing w:line="480" w:lineRule="auto"/>
        <w:rPr>
          <w:rFonts w:ascii="Times New Roman" w:hAnsi="Times New Roman" w:cs="Times New Roman"/>
          <w:b/>
          <w:sz w:val="24"/>
          <w:szCs w:val="24"/>
        </w:rPr>
      </w:pPr>
      <w:r>
        <w:rPr>
          <w:rFonts w:ascii="Times New Roman" w:hAnsi="Times New Roman" w:cs="Times New Roman"/>
          <w:b/>
          <w:sz w:val="24"/>
          <w:szCs w:val="24"/>
        </w:rPr>
        <w:t>Ancient Sources</w:t>
      </w:r>
    </w:p>
    <w:p w14:paraId="113D2385" w14:textId="2EB4FBC6" w:rsidR="00754230" w:rsidRPr="000F7A53" w:rsidRDefault="000B08D9" w:rsidP="00754230">
      <w:pPr>
        <w:spacing w:line="480" w:lineRule="auto"/>
        <w:rPr>
          <w:rFonts w:ascii="Times New Roman" w:hAnsi="Times New Roman" w:cs="Times New Roman"/>
          <w:sz w:val="24"/>
          <w:szCs w:val="24"/>
        </w:rPr>
      </w:pPr>
      <w:r w:rsidRPr="00B15571">
        <w:rPr>
          <w:rFonts w:ascii="Times New Roman" w:hAnsi="Times New Roman" w:cs="Times New Roman"/>
          <w:sz w:val="24"/>
          <w:szCs w:val="24"/>
        </w:rPr>
        <w:t>Aristotle, Politics www-loebclassics-com.ezproxy.uwtsd.ac.uk/view/aris</w:t>
      </w:r>
      <w:r>
        <w:rPr>
          <w:rFonts w:ascii="Times New Roman" w:hAnsi="Times New Roman" w:cs="Times New Roman"/>
          <w:sz w:val="24"/>
          <w:szCs w:val="24"/>
        </w:rPr>
        <w:t>totle-politics/1932/pb_LCL264</w:t>
      </w:r>
    </w:p>
    <w:p w14:paraId="71885677" w14:textId="50A6F481" w:rsidR="00754230" w:rsidRDefault="004D5613" w:rsidP="00754230">
      <w:pPr>
        <w:shd w:val="clear" w:color="auto" w:fill="FFFFFF"/>
        <w:spacing w:after="0" w:line="480" w:lineRule="auto"/>
        <w:outlineLvl w:val="2"/>
        <w:rPr>
          <w:rFonts w:ascii="Times New Roman" w:eastAsia="Times New Roman" w:hAnsi="Times New Roman" w:cs="Times New Roman"/>
          <w:sz w:val="24"/>
          <w:szCs w:val="24"/>
          <w:lang w:eastAsia="en-GB"/>
        </w:rPr>
      </w:pPr>
      <w:hyperlink r:id="rId7" w:history="1">
        <w:proofErr w:type="spellStart"/>
        <w:r w:rsidR="00754230" w:rsidRPr="00E7249E">
          <w:rPr>
            <w:rFonts w:ascii="Times New Roman" w:eastAsia="Times New Roman" w:hAnsi="Times New Roman" w:cs="Times New Roman"/>
            <w:sz w:val="24"/>
            <w:szCs w:val="24"/>
            <w:lang w:eastAsia="en-GB"/>
          </w:rPr>
          <w:t>Aeschines</w:t>
        </w:r>
        <w:proofErr w:type="spellEnd"/>
      </w:hyperlink>
      <w:r w:rsidR="000F7A53">
        <w:rPr>
          <w:rFonts w:ascii="Times New Roman" w:eastAsia="Times New Roman" w:hAnsi="Times New Roman" w:cs="Times New Roman"/>
          <w:sz w:val="24"/>
          <w:szCs w:val="24"/>
          <w:lang w:eastAsia="en-GB"/>
        </w:rPr>
        <w:t xml:space="preserve">. </w:t>
      </w:r>
      <w:r w:rsidR="00754230">
        <w:rPr>
          <w:rFonts w:ascii="Times New Roman" w:eastAsia="Times New Roman" w:hAnsi="Times New Roman" w:cs="Times New Roman"/>
          <w:i/>
          <w:sz w:val="24"/>
          <w:szCs w:val="24"/>
          <w:lang w:eastAsia="en-GB"/>
        </w:rPr>
        <w:t>Speeches</w:t>
      </w:r>
      <w:r w:rsidR="00754230">
        <w:rPr>
          <w:rFonts w:ascii="Times New Roman" w:eastAsia="Times New Roman" w:hAnsi="Times New Roman" w:cs="Times New Roman"/>
          <w:sz w:val="24"/>
          <w:szCs w:val="24"/>
          <w:lang w:eastAsia="en-GB"/>
        </w:rPr>
        <w:t xml:space="preserve"> C.D. Adams (trans.) 1919: Cambridge, MA</w:t>
      </w:r>
      <w:r w:rsidR="000F7A53">
        <w:rPr>
          <w:rFonts w:ascii="Times New Roman" w:eastAsia="Times New Roman" w:hAnsi="Times New Roman" w:cs="Times New Roman"/>
          <w:sz w:val="24"/>
          <w:szCs w:val="24"/>
          <w:lang w:eastAsia="en-GB"/>
        </w:rPr>
        <w:t>: Loeb, Harvard University Press</w:t>
      </w:r>
    </w:p>
    <w:p w14:paraId="03D7191C" w14:textId="77777777" w:rsidR="000B08D9" w:rsidRPr="002D420A" w:rsidRDefault="000B08D9" w:rsidP="000B08D9">
      <w:pPr>
        <w:spacing w:line="480" w:lineRule="auto"/>
        <w:rPr>
          <w:rFonts w:ascii="Times New Roman" w:hAnsi="Times New Roman" w:cs="Times New Roman"/>
          <w:sz w:val="24"/>
          <w:szCs w:val="24"/>
        </w:rPr>
      </w:pPr>
      <w:r w:rsidRPr="002D420A">
        <w:rPr>
          <w:rFonts w:ascii="Times New Roman" w:hAnsi="Times New Roman" w:cs="Times New Roman"/>
          <w:sz w:val="24"/>
          <w:szCs w:val="24"/>
        </w:rPr>
        <w:t xml:space="preserve">Plutarch, </w:t>
      </w:r>
      <w:r w:rsidRPr="002D420A">
        <w:rPr>
          <w:rFonts w:ascii="Times New Roman" w:hAnsi="Times New Roman" w:cs="Times New Roman"/>
          <w:i/>
          <w:sz w:val="24"/>
          <w:szCs w:val="24"/>
        </w:rPr>
        <w:t>Great Lives: A selection of nine Greek Lives.</w:t>
      </w:r>
      <w:r w:rsidRPr="002D420A">
        <w:rPr>
          <w:rFonts w:ascii="Times New Roman" w:hAnsi="Times New Roman" w:cs="Times New Roman"/>
          <w:sz w:val="24"/>
          <w:szCs w:val="24"/>
        </w:rPr>
        <w:t xml:space="preserve"> R. Waterfield (trans.). 1998. Oxford: Oxford University Press</w:t>
      </w:r>
    </w:p>
    <w:p w14:paraId="58374DC6" w14:textId="628EA475" w:rsidR="000B08D9" w:rsidRPr="00B15571" w:rsidRDefault="000B08D9" w:rsidP="000B08D9">
      <w:pPr>
        <w:spacing w:line="360" w:lineRule="auto"/>
        <w:rPr>
          <w:rFonts w:ascii="Times New Roman" w:hAnsi="Times New Roman" w:cs="Times New Roman"/>
          <w:sz w:val="24"/>
          <w:szCs w:val="24"/>
        </w:rPr>
      </w:pPr>
      <w:r w:rsidRPr="00B15571">
        <w:rPr>
          <w:rFonts w:ascii="Times New Roman" w:hAnsi="Times New Roman" w:cs="Times New Roman"/>
          <w:sz w:val="24"/>
          <w:szCs w:val="24"/>
        </w:rPr>
        <w:t xml:space="preserve">Thucydides, The </w:t>
      </w:r>
      <w:proofErr w:type="spellStart"/>
      <w:r w:rsidRPr="00B15571">
        <w:rPr>
          <w:rFonts w:ascii="Times New Roman" w:hAnsi="Times New Roman" w:cs="Times New Roman"/>
          <w:sz w:val="24"/>
          <w:szCs w:val="24"/>
        </w:rPr>
        <w:t>Pelponnesian</w:t>
      </w:r>
      <w:proofErr w:type="spellEnd"/>
      <w:r w:rsidRPr="00B15571">
        <w:rPr>
          <w:rFonts w:ascii="Times New Roman" w:hAnsi="Times New Roman" w:cs="Times New Roman"/>
          <w:sz w:val="24"/>
          <w:szCs w:val="24"/>
        </w:rPr>
        <w:t xml:space="preserve"> War. M. Hammond (trans.). 2009. Oxford: Oxford University </w:t>
      </w:r>
      <w:bookmarkStart w:id="0" w:name="_GoBack"/>
      <w:r w:rsidRPr="00B15571">
        <w:rPr>
          <w:rFonts w:ascii="Times New Roman" w:hAnsi="Times New Roman" w:cs="Times New Roman"/>
          <w:sz w:val="24"/>
          <w:szCs w:val="24"/>
        </w:rPr>
        <w:t>Press.</w:t>
      </w:r>
    </w:p>
    <w:bookmarkEnd w:id="0"/>
    <w:p w14:paraId="7F5E50B9" w14:textId="6204EE8B" w:rsidR="00754230" w:rsidRDefault="00754230" w:rsidP="00754230">
      <w:pPr>
        <w:spacing w:line="480" w:lineRule="auto"/>
        <w:rPr>
          <w:rFonts w:ascii="Times New Roman" w:hAnsi="Times New Roman" w:cs="Times New Roman"/>
          <w:sz w:val="24"/>
          <w:szCs w:val="24"/>
        </w:rPr>
      </w:pPr>
    </w:p>
    <w:p w14:paraId="604BB926" w14:textId="77777777" w:rsidR="00754230" w:rsidRDefault="00754230" w:rsidP="00754230">
      <w:pPr>
        <w:spacing w:line="480" w:lineRule="auto"/>
        <w:rPr>
          <w:rFonts w:ascii="Times New Roman" w:hAnsi="Times New Roman" w:cs="Times New Roman"/>
          <w:b/>
          <w:sz w:val="24"/>
          <w:szCs w:val="24"/>
        </w:rPr>
      </w:pPr>
      <w:r w:rsidRPr="00034955">
        <w:rPr>
          <w:rFonts w:ascii="Times New Roman" w:hAnsi="Times New Roman" w:cs="Times New Roman"/>
          <w:b/>
          <w:sz w:val="24"/>
          <w:szCs w:val="24"/>
        </w:rPr>
        <w:t>Modern Sources</w:t>
      </w:r>
    </w:p>
    <w:p w14:paraId="540ACF07" w14:textId="77777777" w:rsidR="00754230" w:rsidRPr="008D0B16" w:rsidRDefault="00754230" w:rsidP="00754230">
      <w:pPr>
        <w:spacing w:line="480" w:lineRule="auto"/>
        <w:rPr>
          <w:rFonts w:ascii="Times New Roman" w:hAnsi="Times New Roman" w:cs="Times New Roman"/>
          <w:color w:val="000000"/>
          <w:sz w:val="24"/>
          <w:szCs w:val="24"/>
          <w:shd w:val="clear" w:color="auto" w:fill="FFFFFF"/>
        </w:rPr>
      </w:pPr>
      <w:proofErr w:type="spellStart"/>
      <w:r w:rsidRPr="008D0B16">
        <w:rPr>
          <w:rFonts w:ascii="Times New Roman" w:hAnsi="Times New Roman" w:cs="Times New Roman"/>
          <w:color w:val="000000"/>
          <w:sz w:val="24"/>
          <w:szCs w:val="24"/>
          <w:shd w:val="clear" w:color="auto" w:fill="FFFFFF"/>
        </w:rPr>
        <w:t>Bertosa</w:t>
      </w:r>
      <w:proofErr w:type="spellEnd"/>
      <w:r w:rsidRPr="008D0B16">
        <w:rPr>
          <w:rFonts w:ascii="Times New Roman" w:hAnsi="Times New Roman" w:cs="Times New Roman"/>
          <w:color w:val="000000"/>
          <w:sz w:val="24"/>
          <w:szCs w:val="24"/>
          <w:shd w:val="clear" w:color="auto" w:fill="FFFFFF"/>
        </w:rPr>
        <w:t xml:space="preserve">, Brian, 2003. ‘The Supply of Hoplite Equipment by the Athenian State Down to the </w:t>
      </w:r>
      <w:proofErr w:type="spellStart"/>
      <w:r w:rsidRPr="008D0B16">
        <w:rPr>
          <w:rFonts w:ascii="Times New Roman" w:hAnsi="Times New Roman" w:cs="Times New Roman"/>
          <w:color w:val="000000"/>
          <w:sz w:val="24"/>
          <w:szCs w:val="24"/>
          <w:shd w:val="clear" w:color="auto" w:fill="FFFFFF"/>
        </w:rPr>
        <w:t>Lamian</w:t>
      </w:r>
      <w:proofErr w:type="spellEnd"/>
      <w:r w:rsidRPr="008D0B16">
        <w:rPr>
          <w:rFonts w:ascii="Times New Roman" w:hAnsi="Times New Roman" w:cs="Times New Roman"/>
          <w:color w:val="000000"/>
          <w:sz w:val="24"/>
          <w:szCs w:val="24"/>
          <w:shd w:val="clear" w:color="auto" w:fill="FFFFFF"/>
        </w:rPr>
        <w:t xml:space="preserve"> War’. </w:t>
      </w:r>
      <w:r w:rsidRPr="008D0B16">
        <w:rPr>
          <w:rFonts w:ascii="Times New Roman" w:hAnsi="Times New Roman" w:cs="Times New Roman"/>
          <w:i/>
          <w:iCs/>
          <w:color w:val="000000"/>
          <w:sz w:val="24"/>
          <w:szCs w:val="24"/>
          <w:bdr w:val="none" w:sz="0" w:space="0" w:color="auto" w:frame="1"/>
          <w:shd w:val="clear" w:color="auto" w:fill="FFFFFF"/>
        </w:rPr>
        <w:t>Journal of Military History</w:t>
      </w:r>
      <w:r w:rsidRPr="008D0B16">
        <w:rPr>
          <w:rFonts w:ascii="Times New Roman" w:hAnsi="Times New Roman" w:cs="Times New Roman"/>
          <w:color w:val="000000"/>
          <w:sz w:val="24"/>
          <w:szCs w:val="24"/>
          <w:shd w:val="clear" w:color="auto" w:fill="FFFFFF"/>
        </w:rPr>
        <w:t>, 67,2, 361–380.</w:t>
      </w:r>
    </w:p>
    <w:p w14:paraId="3DB532C8" w14:textId="77777777" w:rsidR="00754230" w:rsidRPr="008D0B16" w:rsidRDefault="00754230" w:rsidP="00754230">
      <w:pPr>
        <w:spacing w:line="480" w:lineRule="auto"/>
        <w:rPr>
          <w:rFonts w:ascii="Times New Roman" w:hAnsi="Times New Roman" w:cs="Times New Roman"/>
          <w:sz w:val="24"/>
          <w:szCs w:val="24"/>
        </w:rPr>
      </w:pPr>
      <w:r w:rsidRPr="008D0B16">
        <w:rPr>
          <w:rFonts w:ascii="Times New Roman" w:hAnsi="Times New Roman" w:cs="Times New Roman"/>
          <w:color w:val="000000"/>
          <w:sz w:val="24"/>
          <w:szCs w:val="24"/>
          <w:shd w:val="clear" w:color="auto" w:fill="FFFFFF"/>
        </w:rPr>
        <w:t>Christ, Matthew R., 2001. ‘Conscription of hoplites in classical Athens.’ </w:t>
      </w:r>
      <w:r w:rsidRPr="008D0B16">
        <w:rPr>
          <w:rFonts w:ascii="Times New Roman" w:hAnsi="Times New Roman" w:cs="Times New Roman"/>
          <w:i/>
          <w:iCs/>
          <w:color w:val="000000"/>
          <w:sz w:val="24"/>
          <w:szCs w:val="24"/>
          <w:bdr w:val="none" w:sz="0" w:space="0" w:color="auto" w:frame="1"/>
          <w:shd w:val="clear" w:color="auto" w:fill="FFFFFF"/>
        </w:rPr>
        <w:t>Classical Quarterly</w:t>
      </w:r>
      <w:r w:rsidRPr="008D0B16">
        <w:rPr>
          <w:rFonts w:ascii="Times New Roman" w:hAnsi="Times New Roman" w:cs="Times New Roman"/>
          <w:color w:val="000000"/>
          <w:sz w:val="24"/>
          <w:szCs w:val="24"/>
          <w:shd w:val="clear" w:color="auto" w:fill="FFFFFF"/>
        </w:rPr>
        <w:t>, 51,2, 398–423.</w:t>
      </w:r>
    </w:p>
    <w:p w14:paraId="6B6A0A6E" w14:textId="77777777" w:rsidR="00754230" w:rsidRPr="008D0B16" w:rsidRDefault="00754230" w:rsidP="00754230">
      <w:pPr>
        <w:spacing w:line="480" w:lineRule="auto"/>
        <w:rPr>
          <w:rFonts w:ascii="Times New Roman" w:hAnsi="Times New Roman" w:cs="Times New Roman"/>
          <w:color w:val="000000"/>
          <w:sz w:val="24"/>
          <w:szCs w:val="24"/>
          <w:shd w:val="clear" w:color="auto" w:fill="FFFFFF"/>
        </w:rPr>
      </w:pPr>
      <w:r w:rsidRPr="008D0B16">
        <w:rPr>
          <w:rFonts w:ascii="Times New Roman" w:hAnsi="Times New Roman" w:cs="Times New Roman"/>
          <w:color w:val="000000"/>
          <w:sz w:val="24"/>
          <w:szCs w:val="24"/>
          <w:shd w:val="clear" w:color="auto" w:fill="FFFFFF"/>
        </w:rPr>
        <w:t>Crowley, J. 2012. </w:t>
      </w:r>
      <w:r w:rsidRPr="008D0B16">
        <w:rPr>
          <w:rFonts w:ascii="Times New Roman" w:hAnsi="Times New Roman" w:cs="Times New Roman"/>
          <w:i/>
          <w:iCs/>
          <w:color w:val="000000"/>
          <w:sz w:val="24"/>
          <w:szCs w:val="24"/>
          <w:bdr w:val="none" w:sz="0" w:space="0" w:color="auto" w:frame="1"/>
          <w:shd w:val="clear" w:color="auto" w:fill="FFFFFF"/>
        </w:rPr>
        <w:t>The psychology of the Athenian hoplite the culture of combat in classical Athens</w:t>
      </w:r>
      <w:r w:rsidRPr="008D0B16">
        <w:rPr>
          <w:rFonts w:ascii="Times New Roman" w:hAnsi="Times New Roman" w:cs="Times New Roman"/>
          <w:color w:val="000000"/>
          <w:sz w:val="24"/>
          <w:szCs w:val="24"/>
          <w:shd w:val="clear" w:color="auto" w:fill="FFFFFF"/>
        </w:rPr>
        <w:t>, Cambridge: Cambridge University Press</w:t>
      </w:r>
    </w:p>
    <w:p w14:paraId="5E1F0DC1" w14:textId="77777777" w:rsidR="00754230" w:rsidRPr="008D0B16" w:rsidRDefault="00754230" w:rsidP="00754230">
      <w:pPr>
        <w:spacing w:line="480" w:lineRule="auto"/>
        <w:rPr>
          <w:rFonts w:ascii="Times New Roman" w:hAnsi="Times New Roman" w:cs="Times New Roman"/>
          <w:color w:val="000000"/>
          <w:sz w:val="24"/>
          <w:szCs w:val="24"/>
          <w:shd w:val="clear" w:color="auto" w:fill="FFFFFF"/>
        </w:rPr>
      </w:pPr>
      <w:r w:rsidRPr="008D0B16">
        <w:rPr>
          <w:rFonts w:ascii="Times New Roman" w:hAnsi="Times New Roman" w:cs="Times New Roman"/>
          <w:color w:val="000000"/>
          <w:sz w:val="24"/>
          <w:szCs w:val="24"/>
          <w:shd w:val="clear" w:color="auto" w:fill="FFFFFF"/>
        </w:rPr>
        <w:t>Hanson, V.D., 1991.’The Ideology of Hoplite Battle, Ancient and Modern’ in V.D. Hanson (ed.). </w:t>
      </w:r>
      <w:r w:rsidRPr="008D0B16">
        <w:rPr>
          <w:rFonts w:ascii="Times New Roman" w:hAnsi="Times New Roman" w:cs="Times New Roman"/>
          <w:i/>
          <w:iCs/>
          <w:color w:val="000000"/>
          <w:sz w:val="24"/>
          <w:szCs w:val="24"/>
          <w:bdr w:val="none" w:sz="0" w:space="0" w:color="auto" w:frame="1"/>
          <w:shd w:val="clear" w:color="auto" w:fill="FFFFFF"/>
        </w:rPr>
        <w:t>Hoplites the classical Greek battle experience</w:t>
      </w:r>
      <w:r w:rsidRPr="008D0B16">
        <w:rPr>
          <w:rFonts w:ascii="Times New Roman" w:hAnsi="Times New Roman" w:cs="Times New Roman"/>
          <w:color w:val="000000"/>
          <w:sz w:val="24"/>
          <w:szCs w:val="24"/>
          <w:shd w:val="clear" w:color="auto" w:fill="FFFFFF"/>
        </w:rPr>
        <w:t>, London: Routledge, 3-14</w:t>
      </w:r>
    </w:p>
    <w:p w14:paraId="685F7F40" w14:textId="77777777" w:rsidR="00754230" w:rsidRPr="008D0B16" w:rsidRDefault="00754230" w:rsidP="00754230">
      <w:pPr>
        <w:spacing w:line="480" w:lineRule="auto"/>
        <w:rPr>
          <w:rFonts w:ascii="Times New Roman" w:hAnsi="Times New Roman" w:cs="Times New Roman"/>
          <w:color w:val="000000"/>
          <w:sz w:val="24"/>
          <w:szCs w:val="24"/>
          <w:shd w:val="clear" w:color="auto" w:fill="FFFFFF"/>
        </w:rPr>
      </w:pPr>
      <w:r w:rsidRPr="008D0B16">
        <w:rPr>
          <w:rFonts w:ascii="Times New Roman" w:hAnsi="Times New Roman" w:cs="Times New Roman"/>
          <w:color w:val="000000"/>
          <w:sz w:val="24"/>
          <w:szCs w:val="24"/>
          <w:shd w:val="clear" w:color="auto" w:fill="FFFFFF"/>
        </w:rPr>
        <w:t>Hanson, V.D., 1991.’The Future of Greek Military History’ in V.D. Hanson (ed.). </w:t>
      </w:r>
      <w:r w:rsidRPr="008D0B16">
        <w:rPr>
          <w:rFonts w:ascii="Times New Roman" w:hAnsi="Times New Roman" w:cs="Times New Roman"/>
          <w:i/>
          <w:iCs/>
          <w:color w:val="000000"/>
          <w:sz w:val="24"/>
          <w:szCs w:val="24"/>
          <w:bdr w:val="none" w:sz="0" w:space="0" w:color="auto" w:frame="1"/>
          <w:shd w:val="clear" w:color="auto" w:fill="FFFFFF"/>
        </w:rPr>
        <w:t>Hoplites the classical Greek battle experience</w:t>
      </w:r>
      <w:r w:rsidRPr="008D0B16">
        <w:rPr>
          <w:rFonts w:ascii="Times New Roman" w:hAnsi="Times New Roman" w:cs="Times New Roman"/>
          <w:color w:val="000000"/>
          <w:sz w:val="24"/>
          <w:szCs w:val="24"/>
          <w:shd w:val="clear" w:color="auto" w:fill="FFFFFF"/>
        </w:rPr>
        <w:t>, London: Routledge, 253-256</w:t>
      </w:r>
    </w:p>
    <w:p w14:paraId="32A1A7CC" w14:textId="77777777" w:rsidR="00754230" w:rsidRPr="008D0B16" w:rsidRDefault="00754230" w:rsidP="00754230">
      <w:pPr>
        <w:spacing w:line="480" w:lineRule="auto"/>
        <w:rPr>
          <w:rFonts w:ascii="Times New Roman" w:hAnsi="Times New Roman" w:cs="Times New Roman"/>
          <w:color w:val="000000"/>
          <w:sz w:val="24"/>
          <w:szCs w:val="24"/>
          <w:shd w:val="clear" w:color="auto" w:fill="FFFFFF"/>
        </w:rPr>
      </w:pPr>
      <w:r w:rsidRPr="008D0B16">
        <w:rPr>
          <w:rFonts w:ascii="Times New Roman" w:hAnsi="Times New Roman" w:cs="Times New Roman"/>
          <w:color w:val="000000"/>
          <w:sz w:val="24"/>
          <w:szCs w:val="24"/>
          <w:shd w:val="clear" w:color="auto" w:fill="FFFFFF"/>
        </w:rPr>
        <w:lastRenderedPageBreak/>
        <w:t>Holladay, A.J., 1982.’ Hoplites and Heresies.’ </w:t>
      </w:r>
      <w:r w:rsidRPr="008D0B16">
        <w:rPr>
          <w:rFonts w:ascii="Times New Roman" w:hAnsi="Times New Roman" w:cs="Times New Roman"/>
          <w:i/>
          <w:iCs/>
          <w:color w:val="000000"/>
          <w:sz w:val="24"/>
          <w:szCs w:val="24"/>
          <w:bdr w:val="none" w:sz="0" w:space="0" w:color="auto" w:frame="1"/>
          <w:shd w:val="clear" w:color="auto" w:fill="FFFFFF"/>
        </w:rPr>
        <w:t>The Journal of Hellenic Studies</w:t>
      </w:r>
      <w:r w:rsidRPr="008D0B16">
        <w:rPr>
          <w:rFonts w:ascii="Times New Roman" w:hAnsi="Times New Roman" w:cs="Times New Roman"/>
          <w:color w:val="000000"/>
          <w:sz w:val="24"/>
          <w:szCs w:val="24"/>
          <w:shd w:val="clear" w:color="auto" w:fill="FFFFFF"/>
        </w:rPr>
        <w:t>, 102, 94–103.</w:t>
      </w:r>
    </w:p>
    <w:p w14:paraId="7EAF0603" w14:textId="77777777" w:rsidR="00754230" w:rsidRPr="008D0B16" w:rsidRDefault="00754230" w:rsidP="00754230">
      <w:pPr>
        <w:spacing w:line="480" w:lineRule="auto"/>
        <w:rPr>
          <w:rFonts w:ascii="Times New Roman" w:hAnsi="Times New Roman" w:cs="Times New Roman"/>
          <w:color w:val="000000"/>
          <w:sz w:val="24"/>
          <w:szCs w:val="24"/>
          <w:shd w:val="clear" w:color="auto" w:fill="FFFFFF"/>
        </w:rPr>
      </w:pPr>
      <w:proofErr w:type="spellStart"/>
      <w:r w:rsidRPr="008D0B16">
        <w:rPr>
          <w:rFonts w:ascii="Times New Roman" w:hAnsi="Times New Roman" w:cs="Times New Roman"/>
          <w:color w:val="000000"/>
          <w:sz w:val="24"/>
          <w:szCs w:val="24"/>
          <w:shd w:val="clear" w:color="auto" w:fill="FFFFFF"/>
        </w:rPr>
        <w:t>Kagan</w:t>
      </w:r>
      <w:proofErr w:type="spellEnd"/>
      <w:r w:rsidRPr="008D0B16">
        <w:rPr>
          <w:rFonts w:ascii="Times New Roman" w:hAnsi="Times New Roman" w:cs="Times New Roman"/>
          <w:color w:val="000000"/>
          <w:sz w:val="24"/>
          <w:szCs w:val="24"/>
          <w:shd w:val="clear" w:color="auto" w:fill="FFFFFF"/>
        </w:rPr>
        <w:t xml:space="preserve">, D. &amp; </w:t>
      </w:r>
      <w:proofErr w:type="spellStart"/>
      <w:r w:rsidRPr="008D0B16">
        <w:rPr>
          <w:rFonts w:ascii="Times New Roman" w:hAnsi="Times New Roman" w:cs="Times New Roman"/>
          <w:color w:val="000000"/>
          <w:sz w:val="24"/>
          <w:szCs w:val="24"/>
          <w:shd w:val="clear" w:color="auto" w:fill="FFFFFF"/>
        </w:rPr>
        <w:t>Viggiano</w:t>
      </w:r>
      <w:proofErr w:type="spellEnd"/>
      <w:r w:rsidRPr="008D0B16">
        <w:rPr>
          <w:rFonts w:ascii="Times New Roman" w:hAnsi="Times New Roman" w:cs="Times New Roman"/>
          <w:color w:val="000000"/>
          <w:sz w:val="24"/>
          <w:szCs w:val="24"/>
          <w:shd w:val="clear" w:color="auto" w:fill="FFFFFF"/>
        </w:rPr>
        <w:t xml:space="preserve">, G. 2013. ‘The Hoplite Debate’ in D. </w:t>
      </w:r>
      <w:proofErr w:type="spellStart"/>
      <w:r w:rsidRPr="008D0B16">
        <w:rPr>
          <w:rFonts w:ascii="Times New Roman" w:hAnsi="Times New Roman" w:cs="Times New Roman"/>
          <w:color w:val="000000"/>
          <w:sz w:val="24"/>
          <w:szCs w:val="24"/>
          <w:shd w:val="clear" w:color="auto" w:fill="FFFFFF"/>
        </w:rPr>
        <w:t>Kagan</w:t>
      </w:r>
      <w:proofErr w:type="spellEnd"/>
      <w:r w:rsidRPr="008D0B16">
        <w:rPr>
          <w:rFonts w:ascii="Times New Roman" w:hAnsi="Times New Roman" w:cs="Times New Roman"/>
          <w:color w:val="000000"/>
          <w:sz w:val="24"/>
          <w:szCs w:val="24"/>
          <w:shd w:val="clear" w:color="auto" w:fill="FFFFFF"/>
        </w:rPr>
        <w:t xml:space="preserve">, G. </w:t>
      </w:r>
      <w:proofErr w:type="spellStart"/>
      <w:r w:rsidRPr="008D0B16">
        <w:rPr>
          <w:rFonts w:ascii="Times New Roman" w:hAnsi="Times New Roman" w:cs="Times New Roman"/>
          <w:color w:val="000000"/>
          <w:sz w:val="24"/>
          <w:szCs w:val="24"/>
          <w:shd w:val="clear" w:color="auto" w:fill="FFFFFF"/>
        </w:rPr>
        <w:t>Viggiano</w:t>
      </w:r>
      <w:proofErr w:type="spellEnd"/>
      <w:r w:rsidRPr="008D0B16">
        <w:rPr>
          <w:rFonts w:ascii="Times New Roman" w:hAnsi="Times New Roman" w:cs="Times New Roman"/>
          <w:color w:val="000000"/>
          <w:sz w:val="24"/>
          <w:szCs w:val="24"/>
          <w:shd w:val="clear" w:color="auto" w:fill="FFFFFF"/>
        </w:rPr>
        <w:t xml:space="preserve"> (eds.). </w:t>
      </w:r>
      <w:r w:rsidRPr="008D0B16">
        <w:rPr>
          <w:rFonts w:ascii="Times New Roman" w:hAnsi="Times New Roman" w:cs="Times New Roman"/>
          <w:i/>
          <w:iCs/>
          <w:color w:val="000000"/>
          <w:sz w:val="24"/>
          <w:szCs w:val="24"/>
          <w:bdr w:val="none" w:sz="0" w:space="0" w:color="auto" w:frame="1"/>
          <w:shd w:val="clear" w:color="auto" w:fill="FFFFFF"/>
        </w:rPr>
        <w:t>Men of bronze hoplite warfare in ancient Greece</w:t>
      </w:r>
      <w:r w:rsidRPr="008D0B16">
        <w:rPr>
          <w:rFonts w:ascii="Times New Roman" w:hAnsi="Times New Roman" w:cs="Times New Roman"/>
          <w:color w:val="000000"/>
          <w:sz w:val="24"/>
          <w:szCs w:val="24"/>
          <w:shd w:val="clear" w:color="auto" w:fill="FFFFFF"/>
        </w:rPr>
        <w:t>. Princeton: Princeton University Press,1-56</w:t>
      </w:r>
    </w:p>
    <w:p w14:paraId="1B86972E" w14:textId="77777777" w:rsidR="00754230" w:rsidRDefault="00754230" w:rsidP="00754230">
      <w:pPr>
        <w:spacing w:line="480" w:lineRule="auto"/>
      </w:pPr>
    </w:p>
    <w:p w14:paraId="6DCAAFE5" w14:textId="2473692D" w:rsidR="005E54F8" w:rsidRPr="005E54F8" w:rsidRDefault="00EB5CF9" w:rsidP="00754230">
      <w:pPr>
        <w:spacing w:line="480" w:lineRule="auto"/>
        <w:rPr>
          <w:rFonts w:ascii="Times New Roman" w:hAnsi="Times New Roman" w:cs="Times New Roman"/>
          <w:sz w:val="24"/>
          <w:szCs w:val="28"/>
        </w:rPr>
      </w:pPr>
      <w:r>
        <w:rPr>
          <w:rFonts w:ascii="Times New Roman" w:hAnsi="Times New Roman" w:cs="Times New Roman"/>
          <w:sz w:val="24"/>
          <w:szCs w:val="28"/>
        </w:rPr>
        <w:t xml:space="preserve"> </w:t>
      </w:r>
      <w:r w:rsidR="003B42F1">
        <w:rPr>
          <w:rFonts w:ascii="Times New Roman" w:hAnsi="Times New Roman" w:cs="Times New Roman"/>
          <w:sz w:val="24"/>
          <w:szCs w:val="28"/>
        </w:rPr>
        <w:t xml:space="preserve">  </w:t>
      </w:r>
      <w:r w:rsidR="005E54F8">
        <w:rPr>
          <w:rFonts w:ascii="Times New Roman" w:hAnsi="Times New Roman" w:cs="Times New Roman"/>
          <w:sz w:val="24"/>
          <w:szCs w:val="28"/>
        </w:rPr>
        <w:t xml:space="preserve">  </w:t>
      </w:r>
      <w:r w:rsidR="005E54F8">
        <w:rPr>
          <w:rFonts w:ascii="Times New Roman" w:hAnsi="Times New Roman" w:cs="Times New Roman"/>
          <w:i/>
          <w:sz w:val="24"/>
          <w:szCs w:val="28"/>
        </w:rPr>
        <w:t xml:space="preserve"> </w:t>
      </w:r>
    </w:p>
    <w:p w14:paraId="15627D61" w14:textId="77777777" w:rsidR="00754230" w:rsidRPr="005E54F8" w:rsidRDefault="00754230">
      <w:pPr>
        <w:rPr>
          <w:rFonts w:ascii="Times New Roman" w:hAnsi="Times New Roman" w:cs="Times New Roman"/>
          <w:sz w:val="24"/>
          <w:szCs w:val="28"/>
        </w:rPr>
      </w:pPr>
    </w:p>
    <w:sectPr w:rsidR="00754230" w:rsidRPr="005E54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967E0" w14:textId="77777777" w:rsidR="004D5613" w:rsidRDefault="004D5613" w:rsidP="00736725">
      <w:pPr>
        <w:spacing w:after="0" w:line="240" w:lineRule="auto"/>
      </w:pPr>
      <w:r>
        <w:separator/>
      </w:r>
    </w:p>
  </w:endnote>
  <w:endnote w:type="continuationSeparator" w:id="0">
    <w:p w14:paraId="24A59F0A" w14:textId="77777777" w:rsidR="004D5613" w:rsidRDefault="004D5613" w:rsidP="00736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DEFCDE" w14:textId="77777777" w:rsidR="004D5613" w:rsidRDefault="004D5613" w:rsidP="00736725">
      <w:pPr>
        <w:spacing w:after="0" w:line="240" w:lineRule="auto"/>
      </w:pPr>
      <w:r>
        <w:separator/>
      </w:r>
    </w:p>
  </w:footnote>
  <w:footnote w:type="continuationSeparator" w:id="0">
    <w:p w14:paraId="1C379AC8" w14:textId="77777777" w:rsidR="004D5613" w:rsidRDefault="004D5613" w:rsidP="00736725">
      <w:pPr>
        <w:spacing w:after="0" w:line="240" w:lineRule="auto"/>
      </w:pPr>
      <w:r>
        <w:continuationSeparator/>
      </w:r>
    </w:p>
  </w:footnote>
  <w:footnote w:id="1">
    <w:p w14:paraId="034F1F8C" w14:textId="21B959DB" w:rsidR="00C9126C" w:rsidRDefault="00C9126C" w:rsidP="00C9126C">
      <w:pPr>
        <w:pStyle w:val="FootnoteText"/>
      </w:pPr>
      <w:r>
        <w:rPr>
          <w:rStyle w:val="FootnoteReference"/>
        </w:rPr>
        <w:footnoteRef/>
      </w:r>
      <w:r>
        <w:t xml:space="preserve"> </w:t>
      </w:r>
      <w:proofErr w:type="spellStart"/>
      <w:r>
        <w:t>Bertosa</w:t>
      </w:r>
      <w:proofErr w:type="spellEnd"/>
      <w:r>
        <w:t xml:space="preserve"> </w:t>
      </w:r>
      <w:r w:rsidR="004834E0">
        <w:t>2003</w:t>
      </w:r>
      <w:r>
        <w:t>: 362</w:t>
      </w:r>
    </w:p>
  </w:footnote>
  <w:footnote w:id="2">
    <w:p w14:paraId="122F61FB" w14:textId="5B9BCE3B" w:rsidR="00C9126C" w:rsidRDefault="00C9126C">
      <w:pPr>
        <w:pStyle w:val="FootnoteText"/>
      </w:pPr>
      <w:r>
        <w:rPr>
          <w:rStyle w:val="FootnoteReference"/>
        </w:rPr>
        <w:footnoteRef/>
      </w:r>
      <w:r w:rsidR="00150D0F">
        <w:t xml:space="preserve"> </w:t>
      </w:r>
      <w:proofErr w:type="spellStart"/>
      <w:r w:rsidR="00150D0F">
        <w:t>Bertosa</w:t>
      </w:r>
      <w:proofErr w:type="spellEnd"/>
      <w:r w:rsidR="00150D0F">
        <w:t xml:space="preserve"> 2003</w:t>
      </w:r>
      <w:r>
        <w:t>: n.7.362</w:t>
      </w:r>
    </w:p>
  </w:footnote>
  <w:footnote w:id="3">
    <w:p w14:paraId="5727659D" w14:textId="5EB8F84E" w:rsidR="00150D0F" w:rsidRDefault="00150D0F">
      <w:pPr>
        <w:pStyle w:val="FootnoteText"/>
      </w:pPr>
      <w:r>
        <w:rPr>
          <w:rStyle w:val="FootnoteReference"/>
        </w:rPr>
        <w:footnoteRef/>
      </w:r>
      <w:r>
        <w:t xml:space="preserve"> Crowley 201</w:t>
      </w:r>
      <w:r w:rsidR="004834E0">
        <w:t>2: 23</w:t>
      </w:r>
    </w:p>
  </w:footnote>
  <w:footnote w:id="4">
    <w:p w14:paraId="5F356865" w14:textId="3647AACD" w:rsidR="006669CD" w:rsidRDefault="006669CD">
      <w:pPr>
        <w:pStyle w:val="FootnoteText"/>
      </w:pPr>
      <w:r>
        <w:rPr>
          <w:rStyle w:val="FootnoteReference"/>
        </w:rPr>
        <w:footnoteRef/>
      </w:r>
      <w:r>
        <w:t xml:space="preserve"> Crowley 2012: 23</w:t>
      </w:r>
    </w:p>
  </w:footnote>
  <w:footnote w:id="5">
    <w:p w14:paraId="799A90E4" w14:textId="78C6C67D" w:rsidR="007B0116" w:rsidRDefault="007B0116">
      <w:pPr>
        <w:pStyle w:val="FootnoteText"/>
      </w:pPr>
      <w:r>
        <w:rPr>
          <w:rStyle w:val="FootnoteReference"/>
        </w:rPr>
        <w:footnoteRef/>
      </w:r>
      <w:r>
        <w:t xml:space="preserve"> Christ 2002: 401</w:t>
      </w:r>
    </w:p>
  </w:footnote>
  <w:footnote w:id="6">
    <w:p w14:paraId="6349C966" w14:textId="63EA605D" w:rsidR="00D0063A" w:rsidRDefault="00D0063A">
      <w:pPr>
        <w:pStyle w:val="FootnoteText"/>
      </w:pPr>
      <w:r>
        <w:rPr>
          <w:rStyle w:val="FootnoteReference"/>
        </w:rPr>
        <w:footnoteRef/>
      </w:r>
      <w:r>
        <w:t xml:space="preserve"> Christ 2002: 402</w:t>
      </w:r>
    </w:p>
  </w:footnote>
  <w:footnote w:id="7">
    <w:p w14:paraId="30879F22" w14:textId="64D65684" w:rsidR="00D25495" w:rsidRDefault="00D25495">
      <w:pPr>
        <w:pStyle w:val="FootnoteText"/>
      </w:pPr>
      <w:r>
        <w:rPr>
          <w:rStyle w:val="FootnoteReference"/>
        </w:rPr>
        <w:footnoteRef/>
      </w:r>
      <w:r>
        <w:t xml:space="preserve"> Christ 2002: 401-402</w:t>
      </w:r>
    </w:p>
  </w:footnote>
  <w:footnote w:id="8">
    <w:p w14:paraId="2C7A7C6C" w14:textId="0D4566F6" w:rsidR="002074F9" w:rsidRDefault="002074F9">
      <w:pPr>
        <w:pStyle w:val="FootnoteText"/>
      </w:pPr>
      <w:r>
        <w:rPr>
          <w:rStyle w:val="FootnoteReference"/>
        </w:rPr>
        <w:footnoteRef/>
      </w:r>
      <w:r>
        <w:t xml:space="preserve"> Crowley 2012: 29</w:t>
      </w:r>
    </w:p>
  </w:footnote>
  <w:footnote w:id="9">
    <w:p w14:paraId="0181F7F0" w14:textId="4BE1A713" w:rsidR="00B064DE" w:rsidRDefault="00B064DE">
      <w:pPr>
        <w:pStyle w:val="FootnoteText"/>
      </w:pPr>
      <w:r>
        <w:rPr>
          <w:rStyle w:val="FootnoteReference"/>
        </w:rPr>
        <w:footnoteRef/>
      </w:r>
      <w:r>
        <w:t xml:space="preserve"> Crowley 2002: 29-32</w:t>
      </w:r>
    </w:p>
  </w:footnote>
  <w:footnote w:id="10">
    <w:p w14:paraId="7EF84D36" w14:textId="119A423B" w:rsidR="00943D61" w:rsidRDefault="00943D61">
      <w:pPr>
        <w:pStyle w:val="FootnoteText"/>
      </w:pPr>
      <w:r>
        <w:rPr>
          <w:rStyle w:val="FootnoteReference"/>
        </w:rPr>
        <w:footnoteRef/>
      </w:r>
      <w:r>
        <w:t xml:space="preserve"> Hanson 1993: 5</w:t>
      </w:r>
    </w:p>
  </w:footnote>
  <w:footnote w:id="11">
    <w:p w14:paraId="373471E5" w14:textId="77777777" w:rsidR="00943D61" w:rsidRDefault="00943D61" w:rsidP="00943D61">
      <w:pPr>
        <w:pStyle w:val="FootnoteText"/>
      </w:pPr>
      <w:r>
        <w:rPr>
          <w:rStyle w:val="FootnoteReference"/>
        </w:rPr>
        <w:footnoteRef/>
      </w:r>
      <w:r>
        <w:t xml:space="preserve"> Holladay 1982: 95</w:t>
      </w:r>
    </w:p>
  </w:footnote>
  <w:footnote w:id="12">
    <w:p w14:paraId="48726347" w14:textId="67576964" w:rsidR="00A65E5F" w:rsidRDefault="00A65E5F" w:rsidP="00A65E5F">
      <w:pPr>
        <w:pStyle w:val="FootnoteText"/>
      </w:pPr>
      <w:r>
        <w:rPr>
          <w:rStyle w:val="FootnoteReference"/>
        </w:rPr>
        <w:footnoteRef/>
      </w:r>
      <w:r>
        <w:t xml:space="preserve"> Holladay 1982: 97-98</w:t>
      </w:r>
    </w:p>
  </w:footnote>
  <w:footnote w:id="13">
    <w:p w14:paraId="70BE8B5F" w14:textId="496E49F2" w:rsidR="00A65E5F" w:rsidRDefault="00A65E5F">
      <w:pPr>
        <w:pStyle w:val="FootnoteText"/>
      </w:pPr>
      <w:r>
        <w:rPr>
          <w:rStyle w:val="FootnoteReference"/>
        </w:rPr>
        <w:footnoteRef/>
      </w:r>
      <w:r>
        <w:t xml:space="preserve"> Crowley 2012: 34 -35</w:t>
      </w:r>
    </w:p>
  </w:footnote>
  <w:footnote w:id="14">
    <w:p w14:paraId="6411F374" w14:textId="6F0CC273" w:rsidR="003E11A0" w:rsidRDefault="003E11A0" w:rsidP="003E11A0">
      <w:pPr>
        <w:pStyle w:val="FootnoteText"/>
      </w:pPr>
      <w:r>
        <w:rPr>
          <w:rStyle w:val="FootnoteReference"/>
        </w:rPr>
        <w:footnoteRef/>
      </w:r>
      <w:r>
        <w:t xml:space="preserve"> Christ 2002: 404-409</w:t>
      </w:r>
    </w:p>
  </w:footnote>
  <w:footnote w:id="15">
    <w:p w14:paraId="166AEF70" w14:textId="578C95D6" w:rsidR="003E11A0" w:rsidRDefault="003E11A0">
      <w:pPr>
        <w:pStyle w:val="FootnoteText"/>
      </w:pPr>
      <w:r>
        <w:rPr>
          <w:rStyle w:val="FootnoteReference"/>
        </w:rPr>
        <w:footnoteRef/>
      </w:r>
      <w:r>
        <w:t xml:space="preserve"> Thuc:6.26</w:t>
      </w:r>
    </w:p>
  </w:footnote>
  <w:footnote w:id="16">
    <w:p w14:paraId="1B304D5C" w14:textId="1C065F9C" w:rsidR="00CF5A67" w:rsidRDefault="00CF5A67">
      <w:pPr>
        <w:pStyle w:val="FootnoteText"/>
      </w:pPr>
      <w:r>
        <w:rPr>
          <w:rStyle w:val="FootnoteReference"/>
        </w:rPr>
        <w:footnoteRef/>
      </w:r>
      <w:r>
        <w:t xml:space="preserve"> Crowley 2012: 25</w:t>
      </w:r>
    </w:p>
  </w:footnote>
  <w:footnote w:id="17">
    <w:p w14:paraId="75001335" w14:textId="12AFBCC1" w:rsidR="00C82183" w:rsidRDefault="00C82183">
      <w:pPr>
        <w:pStyle w:val="FootnoteText"/>
      </w:pPr>
      <w:r>
        <w:rPr>
          <w:rStyle w:val="FootnoteReference"/>
        </w:rPr>
        <w:footnoteRef/>
      </w:r>
      <w:r>
        <w:t xml:space="preserve"> </w:t>
      </w:r>
      <w:proofErr w:type="spellStart"/>
      <w:r>
        <w:t>Plut</w:t>
      </w:r>
      <w:r w:rsidR="005A7FDA">
        <w:t>.</w:t>
      </w:r>
      <w:r w:rsidR="005A7FDA" w:rsidRPr="005A7FDA">
        <w:rPr>
          <w:i/>
        </w:rPr>
        <w:t>Alc</w:t>
      </w:r>
      <w:proofErr w:type="spellEnd"/>
      <w:r>
        <w:t>:</w:t>
      </w:r>
      <w:r w:rsidR="005A7FDA">
        <w:t xml:space="preserve"> </w:t>
      </w:r>
      <w:r>
        <w:t>7</w:t>
      </w:r>
    </w:p>
  </w:footnote>
  <w:footnote w:id="18">
    <w:p w14:paraId="6B490C7C" w14:textId="1A059984" w:rsidR="005A7FDA" w:rsidRPr="005A7FDA" w:rsidRDefault="005A7FDA">
      <w:pPr>
        <w:pStyle w:val="FootnoteText"/>
      </w:pPr>
      <w:r>
        <w:rPr>
          <w:rStyle w:val="FootnoteReference"/>
        </w:rPr>
        <w:footnoteRef/>
      </w:r>
      <w:r>
        <w:t xml:space="preserve"> Aesch</w:t>
      </w:r>
      <w:r w:rsidR="00A765A3">
        <w:t>in</w:t>
      </w:r>
      <w:r>
        <w:t>.</w:t>
      </w:r>
      <w:r w:rsidR="00A765A3">
        <w:rPr>
          <w:i/>
        </w:rPr>
        <w:t>in Ctes</w:t>
      </w:r>
      <w:r>
        <w:t>.3.154</w:t>
      </w:r>
    </w:p>
  </w:footnote>
  <w:footnote w:id="19">
    <w:p w14:paraId="7FB18828" w14:textId="559D4D5C" w:rsidR="005A7FDA" w:rsidRDefault="005A7FDA">
      <w:pPr>
        <w:pStyle w:val="FootnoteText"/>
      </w:pPr>
      <w:r>
        <w:rPr>
          <w:rStyle w:val="FootnoteReference"/>
        </w:rPr>
        <w:footnoteRef/>
      </w:r>
      <w:r>
        <w:t xml:space="preserve"> </w:t>
      </w:r>
      <w:proofErr w:type="spellStart"/>
      <w:r>
        <w:t>Bertosa</w:t>
      </w:r>
      <w:proofErr w:type="spellEnd"/>
      <w:r>
        <w:t xml:space="preserve"> 2002: 368</w:t>
      </w:r>
    </w:p>
  </w:footnote>
  <w:footnote w:id="20">
    <w:p w14:paraId="079F786F" w14:textId="72B59A31" w:rsidR="00DA4B73" w:rsidRDefault="00DA4B73">
      <w:pPr>
        <w:pStyle w:val="FootnoteText"/>
      </w:pPr>
      <w:r>
        <w:rPr>
          <w:rStyle w:val="FootnoteReference"/>
        </w:rPr>
        <w:footnoteRef/>
      </w:r>
      <w:r>
        <w:t xml:space="preserve"> </w:t>
      </w:r>
      <w:proofErr w:type="spellStart"/>
      <w:r>
        <w:t>Hrist</w:t>
      </w:r>
      <w:proofErr w:type="spellEnd"/>
      <w:r>
        <w:t xml:space="preserve"> 2002: 412 - </w:t>
      </w:r>
      <w:r w:rsidR="00CF5A67">
        <w:t>416</w:t>
      </w:r>
    </w:p>
  </w:footnote>
  <w:footnote w:id="21">
    <w:p w14:paraId="538A24E3" w14:textId="4E255ADB" w:rsidR="00FC4612" w:rsidRDefault="00FC4612">
      <w:pPr>
        <w:pStyle w:val="FootnoteText"/>
      </w:pPr>
      <w:r>
        <w:rPr>
          <w:rStyle w:val="FootnoteReference"/>
        </w:rPr>
        <w:footnoteRef/>
      </w:r>
      <w:r>
        <w:t xml:space="preserve"> Crowley 2012: 23-24</w:t>
      </w:r>
    </w:p>
  </w:footnote>
  <w:footnote w:id="22">
    <w:p w14:paraId="30B1D33C" w14:textId="4B03C2D3" w:rsidR="00EF76B1" w:rsidRDefault="00EF76B1">
      <w:pPr>
        <w:pStyle w:val="FootnoteText"/>
      </w:pPr>
      <w:r>
        <w:rPr>
          <w:rStyle w:val="FootnoteReference"/>
        </w:rPr>
        <w:footnoteRef/>
      </w:r>
      <w:r>
        <w:t xml:space="preserve"> </w:t>
      </w:r>
      <w:proofErr w:type="spellStart"/>
      <w:r>
        <w:t>Thuc</w:t>
      </w:r>
      <w:proofErr w:type="spellEnd"/>
      <w:r>
        <w:t>. 6.43</w:t>
      </w:r>
    </w:p>
  </w:footnote>
  <w:footnote w:id="23">
    <w:p w14:paraId="7D75A6C1" w14:textId="4E299448" w:rsidR="00EF76B1" w:rsidRDefault="00EF76B1">
      <w:pPr>
        <w:pStyle w:val="FootnoteText"/>
      </w:pPr>
      <w:r>
        <w:rPr>
          <w:rStyle w:val="FootnoteReference"/>
        </w:rPr>
        <w:footnoteRef/>
      </w:r>
      <w:r>
        <w:t xml:space="preserve"> </w:t>
      </w:r>
      <w:proofErr w:type="spellStart"/>
      <w:r>
        <w:t>Bertosa</w:t>
      </w:r>
      <w:proofErr w:type="spellEnd"/>
      <w:r>
        <w:t xml:space="preserve"> 2002: 368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54F8"/>
    <w:rsid w:val="00087373"/>
    <w:rsid w:val="000B08D9"/>
    <w:rsid w:val="000F7A53"/>
    <w:rsid w:val="00150D0F"/>
    <w:rsid w:val="001C296A"/>
    <w:rsid w:val="002074F9"/>
    <w:rsid w:val="00297460"/>
    <w:rsid w:val="00325803"/>
    <w:rsid w:val="003B42F1"/>
    <w:rsid w:val="003E11A0"/>
    <w:rsid w:val="004834E0"/>
    <w:rsid w:val="004D5613"/>
    <w:rsid w:val="00502C42"/>
    <w:rsid w:val="005A7FDA"/>
    <w:rsid w:val="005E54F8"/>
    <w:rsid w:val="00647C59"/>
    <w:rsid w:val="006669CD"/>
    <w:rsid w:val="00667E31"/>
    <w:rsid w:val="006B78B4"/>
    <w:rsid w:val="00727784"/>
    <w:rsid w:val="00736725"/>
    <w:rsid w:val="00754230"/>
    <w:rsid w:val="007B0116"/>
    <w:rsid w:val="00803149"/>
    <w:rsid w:val="00814F22"/>
    <w:rsid w:val="00830095"/>
    <w:rsid w:val="008961E0"/>
    <w:rsid w:val="008C2F5F"/>
    <w:rsid w:val="008D0B16"/>
    <w:rsid w:val="00943D61"/>
    <w:rsid w:val="009531C2"/>
    <w:rsid w:val="009A5B84"/>
    <w:rsid w:val="00A65E5F"/>
    <w:rsid w:val="00A75EEA"/>
    <w:rsid w:val="00A765A3"/>
    <w:rsid w:val="00AE316C"/>
    <w:rsid w:val="00B064DE"/>
    <w:rsid w:val="00C82183"/>
    <w:rsid w:val="00C87FF3"/>
    <w:rsid w:val="00C9126C"/>
    <w:rsid w:val="00CA64F1"/>
    <w:rsid w:val="00CB170A"/>
    <w:rsid w:val="00CF5A67"/>
    <w:rsid w:val="00D00050"/>
    <w:rsid w:val="00D0063A"/>
    <w:rsid w:val="00D25495"/>
    <w:rsid w:val="00D40604"/>
    <w:rsid w:val="00DA4B73"/>
    <w:rsid w:val="00E30BED"/>
    <w:rsid w:val="00E755D7"/>
    <w:rsid w:val="00EB0CF4"/>
    <w:rsid w:val="00EB5CF9"/>
    <w:rsid w:val="00EF76B1"/>
    <w:rsid w:val="00F90970"/>
    <w:rsid w:val="00FC4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917D3"/>
  <w15:chartTrackingRefBased/>
  <w15:docId w15:val="{9E6C6DE0-49AE-4609-91EC-F27DC446C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367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6725"/>
    <w:rPr>
      <w:sz w:val="20"/>
      <w:szCs w:val="20"/>
    </w:rPr>
  </w:style>
  <w:style w:type="character" w:styleId="FootnoteReference">
    <w:name w:val="footnote reference"/>
    <w:basedOn w:val="DefaultParagraphFont"/>
    <w:uiPriority w:val="99"/>
    <w:semiHidden/>
    <w:unhideWhenUsed/>
    <w:rsid w:val="0073672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hup.harvard.edu.ezproxy.uwtsd.ac.uk/results-list.php?author=346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4EFDC4-3804-4527-940E-3570D42AE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1986</Words>
  <Characters>11325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Hudson</dc:creator>
  <cp:keywords/>
  <dc:description/>
  <cp:lastModifiedBy>Izzy Hudson</cp:lastModifiedBy>
  <cp:revision>3</cp:revision>
  <dcterms:created xsi:type="dcterms:W3CDTF">2018-03-22T23:55:00Z</dcterms:created>
  <dcterms:modified xsi:type="dcterms:W3CDTF">2018-03-22T23:56:00Z</dcterms:modified>
</cp:coreProperties>
</file>