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1456FE79" w:rsidR="00E6780D" w:rsidRPr="00DA65E5"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r w:rsidR="00C12FAD" w:rsidRPr="00DA65E5">
        <w:rPr>
          <w:rFonts w:asciiTheme="minorBidi" w:hAnsiTheme="minorBidi"/>
          <w:sz w:val="48"/>
          <w:szCs w:val="48"/>
        </w:rPr>
        <w:t>Reflective Essay</w:t>
      </w:r>
    </w:p>
    <w:p w14:paraId="14F1CDB2" w14:textId="4CA97AC4"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DA65E5">
        <w:rPr>
          <w:rFonts w:asciiTheme="minorBidi" w:hAnsiTheme="minorBidi"/>
          <w:b/>
          <w:sz w:val="48"/>
          <w:szCs w:val="48"/>
        </w:rPr>
        <w:t xml:space="preserve"> Carmen Tutu</w:t>
      </w:r>
    </w:p>
    <w:p w14:paraId="1B6CEBE0" w14:textId="58989C73"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DA65E5">
        <w:rPr>
          <w:rFonts w:asciiTheme="minorBidi" w:hAnsiTheme="minorBidi"/>
          <w:b/>
          <w:sz w:val="48"/>
          <w:szCs w:val="48"/>
        </w:rPr>
        <w:t xml:space="preserve"> 2207381</w:t>
      </w:r>
    </w:p>
    <w:p w14:paraId="3CA1AB6B" w14:textId="13B6FCBB"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DA65E5">
        <w:rPr>
          <w:rFonts w:asciiTheme="minorBidi" w:hAnsiTheme="minorBidi"/>
          <w:b/>
          <w:sz w:val="48"/>
          <w:szCs w:val="48"/>
        </w:rPr>
        <w:t xml:space="preserve">Christopher </w:t>
      </w:r>
      <w:r w:rsidR="00424FDA">
        <w:rPr>
          <w:rFonts w:asciiTheme="minorBidi" w:hAnsiTheme="minorBidi"/>
          <w:b/>
          <w:sz w:val="48"/>
          <w:szCs w:val="48"/>
        </w:rPr>
        <w:t>Wilkin</w:t>
      </w:r>
      <w:r w:rsidRPr="0040098D">
        <w:rPr>
          <w:rFonts w:asciiTheme="minorBidi" w:hAnsiTheme="minorBidi"/>
          <w:b/>
          <w:sz w:val="48"/>
          <w:szCs w:val="48"/>
        </w:rPr>
        <w:br/>
        <w:t xml:space="preserve">Deadline: </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7E9F54E7" w14:textId="77777777" w:rsidR="00D95C9F" w:rsidRPr="003965FE" w:rsidRDefault="00D95C9F" w:rsidP="00D95C9F">
      <w:pPr>
        <w:rPr>
          <w:rFonts w:ascii="Arial" w:hAnsi="Arial" w:cs="Arial"/>
          <w:b/>
          <w:bCs/>
        </w:rPr>
      </w:pPr>
    </w:p>
    <w:p w14:paraId="2B072CCD" w14:textId="77777777" w:rsidR="00D95C9F" w:rsidRPr="003965FE" w:rsidRDefault="00D95C9F" w:rsidP="00D95C9F">
      <w:pPr>
        <w:rPr>
          <w:rFonts w:ascii="Arial" w:hAnsi="Arial" w:cs="Arial"/>
          <w:b/>
          <w:bCs/>
        </w:rPr>
      </w:pPr>
    </w:p>
    <w:p w14:paraId="5A0E1554" w14:textId="77777777" w:rsidR="00470161" w:rsidRPr="002A2ACC" w:rsidRDefault="00470161" w:rsidP="00AC5463">
      <w:pPr>
        <w:spacing w:before="200"/>
        <w:rPr>
          <w:rFonts w:ascii="Arial" w:eastAsia="Arial" w:hAnsi="Arial" w:cs="Arial"/>
        </w:rPr>
      </w:pPr>
      <w:r w:rsidRPr="002A2ACC">
        <w:rPr>
          <w:rFonts w:ascii="Arial" w:eastAsia="Arial" w:hAnsi="Arial" w:cs="Arial"/>
        </w:rPr>
        <w:lastRenderedPageBreak/>
        <w:t>Acquiring good digital skills provides the opportunity to achieve success in university and future employability. Hence, learning Excel is essential in data management and analysis, and it helps to increase the digital skills among students. The thesis statement of this essay will analyse the Reflective Cycle by Gibbs to critically reflect on the classroom learning experience of learning Excel with the lecturer</w:t>
      </w:r>
      <w:r>
        <w:rPr>
          <w:rFonts w:ascii="Arial" w:eastAsia="Arial" w:hAnsi="Arial" w:cs="Arial"/>
        </w:rPr>
        <w:t xml:space="preserve"> Philippa and Pasha</w:t>
      </w:r>
      <w:r w:rsidRPr="002A2ACC">
        <w:rPr>
          <w:rFonts w:ascii="Arial" w:eastAsia="Arial" w:hAnsi="Arial" w:cs="Arial"/>
        </w:rPr>
        <w:t xml:space="preserve"> and fellow learners</w:t>
      </w:r>
      <w:r>
        <w:rPr>
          <w:rFonts w:ascii="Arial" w:eastAsia="Arial" w:hAnsi="Arial" w:cs="Arial"/>
        </w:rPr>
        <w:t>: Aisha, Alina, Stefan, Oana, Lyndy and Jarrod,</w:t>
      </w:r>
      <w:r w:rsidRPr="002A2ACC">
        <w:rPr>
          <w:rFonts w:ascii="Arial" w:eastAsia="Arial" w:hAnsi="Arial" w:cs="Arial"/>
        </w:rPr>
        <w:t xml:space="preserve"> as well as the focus on personal growth and challenges.</w:t>
      </w:r>
    </w:p>
    <w:p w14:paraId="69552668" w14:textId="77777777" w:rsidR="00470161" w:rsidRPr="002A2ACC" w:rsidRDefault="00470161" w:rsidP="00AC5463">
      <w:pPr>
        <w:spacing w:before="200"/>
        <w:rPr>
          <w:rFonts w:ascii="Arial" w:eastAsia="Arial" w:hAnsi="Arial" w:cs="Arial"/>
        </w:rPr>
      </w:pPr>
      <w:r w:rsidRPr="002A2ACC">
        <w:rPr>
          <w:rFonts w:ascii="Arial" w:eastAsia="Arial" w:hAnsi="Arial" w:cs="Arial"/>
        </w:rPr>
        <w:t>During my first term in the university, I was attending</w:t>
      </w:r>
      <w:r>
        <w:rPr>
          <w:rFonts w:ascii="Arial" w:eastAsia="Arial" w:hAnsi="Arial" w:cs="Arial"/>
        </w:rPr>
        <w:t xml:space="preserve"> the</w:t>
      </w:r>
      <w:r w:rsidRPr="002A2ACC">
        <w:rPr>
          <w:rFonts w:ascii="Arial" w:eastAsia="Arial" w:hAnsi="Arial" w:cs="Arial"/>
        </w:rPr>
        <w:t xml:space="preserve"> classroom</w:t>
      </w:r>
      <w:r>
        <w:rPr>
          <w:rFonts w:ascii="Arial" w:eastAsia="Arial" w:hAnsi="Arial" w:cs="Arial"/>
        </w:rPr>
        <w:t xml:space="preserve"> iq002b sa1 campus </w:t>
      </w:r>
      <w:r w:rsidRPr="002A2ACC">
        <w:rPr>
          <w:rFonts w:ascii="Arial" w:eastAsia="Arial" w:hAnsi="Arial" w:cs="Arial"/>
        </w:rPr>
        <w:t xml:space="preserve">session and it covered the learning of Excel. In the process, the lecturer </w:t>
      </w:r>
      <w:r>
        <w:rPr>
          <w:rFonts w:ascii="Arial" w:eastAsia="Arial" w:hAnsi="Arial" w:cs="Arial"/>
        </w:rPr>
        <w:t xml:space="preserve">Philippa and Pasha </w:t>
      </w:r>
      <w:r w:rsidRPr="002A2ACC">
        <w:rPr>
          <w:rFonts w:ascii="Arial" w:eastAsia="Arial" w:hAnsi="Arial" w:cs="Arial"/>
        </w:rPr>
        <w:t>presented the basics of the Excel program, including the interface, inputting data and simple operations of the program. Also, the lecturer</w:t>
      </w:r>
      <w:r>
        <w:rPr>
          <w:rFonts w:ascii="Arial" w:eastAsia="Arial" w:hAnsi="Arial" w:cs="Arial"/>
        </w:rPr>
        <w:t xml:space="preserve"> Phillipa </w:t>
      </w:r>
      <w:r w:rsidRPr="002A2ACC">
        <w:rPr>
          <w:rFonts w:ascii="Arial" w:eastAsia="Arial" w:hAnsi="Arial" w:cs="Arial"/>
        </w:rPr>
        <w:t xml:space="preserve">demonstrated how to work with such Excel formulas as SUM or AVERAGE that are primarily used in the quick addition and analysis of numerical data in a spreadsheet. As per the views of Grealis </w:t>
      </w:r>
      <w:r w:rsidRPr="002A2ACC">
        <w:rPr>
          <w:rFonts w:ascii="Arial" w:eastAsia="Arial" w:hAnsi="Arial" w:cs="Arial"/>
          <w:i/>
          <w:iCs/>
        </w:rPr>
        <w:t xml:space="preserve">et al. </w:t>
      </w:r>
      <w:r w:rsidRPr="002A2ACC">
        <w:rPr>
          <w:rFonts w:ascii="Arial" w:eastAsia="Arial" w:hAnsi="Arial" w:cs="Arial"/>
        </w:rPr>
        <w:t>(2024), professionals in the industry were not as concerned with business majors having particular statistical software knowledge beyond intermediate use of Excel. Therefore, students were provided with practical tasks individually after the demonstration. This involved creating simple spreadsheets, data entry and application of formulas to locate totals and averages. Thus, to acquire the skill, I tried to use step-by-step guidelines of the lecturer when completing my given tasks. The level of interaction amongst the classmates was also a factor to an extent since the students occasionally discussed the task or explained to each other in the process. I was also engaged in the session by listening to the lecturer actively, trying to complete the exercises, and using the discussed functions to complete the given tasks. As one of the opinions voiced by Paramole et al. (2024), one of the core competencies in learning is active listening, which leads to the positive interaction between the teacher and the students. However, I could not follow the learning process and even attempt to independently understand and apply the new knowledge.</w:t>
      </w:r>
    </w:p>
    <w:p w14:paraId="02AF5D65" w14:textId="77777777" w:rsidR="00470161" w:rsidRPr="002A2ACC" w:rsidRDefault="00470161" w:rsidP="00AC5463">
      <w:pPr>
        <w:spacing w:before="200"/>
        <w:rPr>
          <w:rFonts w:ascii="Arial" w:eastAsia="Arial" w:hAnsi="Arial" w:cs="Arial"/>
        </w:rPr>
      </w:pPr>
      <w:r w:rsidRPr="002A2ACC">
        <w:rPr>
          <w:rFonts w:ascii="Arial" w:eastAsia="Arial" w:hAnsi="Arial" w:cs="Arial"/>
        </w:rPr>
        <w:t xml:space="preserve">Nevertheless, in this session I was highly overwhelmed and a bit scared seeing that I was not conversant with the use of Excel in an academic setting at the beginning of the session. I was also not confident in such a skill, which I could know how to use the software, and worrying about making any mistakes during the work. Nevertheless, the fear of failure also had the consequence of me being more closed and not being willing to fully invest in the activities, which is common among the students with the anxiety in new learning environments. As explained by Ayuningtyas </w:t>
      </w:r>
      <w:r w:rsidRPr="002A2ACC">
        <w:rPr>
          <w:rFonts w:ascii="Arial" w:eastAsia="Arial" w:hAnsi="Arial" w:cs="Arial"/>
          <w:i/>
          <w:iCs/>
        </w:rPr>
        <w:t xml:space="preserve">et al. </w:t>
      </w:r>
      <w:r w:rsidRPr="002A2ACC">
        <w:rPr>
          <w:rFonts w:ascii="Arial" w:eastAsia="Arial" w:hAnsi="Arial" w:cs="Arial"/>
        </w:rPr>
        <w:t xml:space="preserve">(2022), the limited amount of experience is one of the major causes of students’ struggles in developing their digital skills and creating an impact on other performance. I also formed a comparison with my peers and a majority of them seemed to be able to accomplish the tasks faster and this contributed to decreased self-confidence. However, I communicated with my lecturer and colleagues in the session, and this motivated me to advance my self-esteem. As Tiu et al. (2023) explain, efficient and meaningful communication abilities, specifically, speaking </w:t>
      </w:r>
      <w:r w:rsidRPr="002A2ACC">
        <w:rPr>
          <w:rFonts w:ascii="Arial" w:eastAsia="Arial" w:hAnsi="Arial" w:cs="Arial"/>
        </w:rPr>
        <w:lastRenderedPageBreak/>
        <w:t>proficiency is one of the factors the individuals should be equipped with to achieve success in any lie, both personal and professional. Thus, I felt quite relieved at the end of the session as I became more conversant with the basic operations with practice. My confidence started to grow with the help of peer support and multiple attempts, which demonstrates that the initial anxiety can be reduced with familiarity with digital tools.</w:t>
      </w:r>
    </w:p>
    <w:p w14:paraId="1C9E979A" w14:textId="13755EEE" w:rsidR="00470161" w:rsidRPr="002A2ACC" w:rsidRDefault="00470161" w:rsidP="00AC5463">
      <w:pPr>
        <w:spacing w:before="200"/>
        <w:rPr>
          <w:rFonts w:ascii="Arial" w:eastAsia="Arial" w:hAnsi="Arial" w:cs="Arial"/>
        </w:rPr>
      </w:pPr>
      <w:r w:rsidRPr="002A2ACC">
        <w:rPr>
          <w:rFonts w:ascii="Arial" w:eastAsia="Arial" w:hAnsi="Arial" w:cs="Arial"/>
        </w:rPr>
        <w:t>In this case, it can be stated that both positive and negative elements influenced the process of learning Excel in the classroom. The teaching style of the lecturer was one of the major strengths because it comprised obvious demonstrations and instructions. This assisted in the development of an organised learning process and was a basis for knowing Excel functions. Moreover, the practice was also helpful and practical, as I could work on the tasks instead of listening. As described by Abidin and Muhammad (2024), the practical utilisation of functions in the classroom by professors to facilitate the successful achievement of learning objectives is recognised as classroom management functions. This practice is useful as it makes a significant contribution and is more effective for learning and memory of knowledge with the use of active participation. The positive learning experience was also contributed to by peer interaction, which helped to share the work with classmates and learn together. The teaching process was quite high and due to this, I could not understand every concept in detail before proceeding. This challenge was also caused by the factor that I had no experience with Excel before and could not learn formulas and functions. Also, anxiety and the lack of confidence adversely impacted my active participation in the session.</w:t>
      </w:r>
    </w:p>
    <w:p w14:paraId="0B2AB35C" w14:textId="77777777" w:rsidR="00470161" w:rsidRPr="002A2ACC" w:rsidRDefault="00470161" w:rsidP="00AC5463">
      <w:pPr>
        <w:spacing w:before="200"/>
        <w:rPr>
          <w:rFonts w:ascii="Arial" w:eastAsia="Arial" w:hAnsi="Arial" w:cs="Arial"/>
        </w:rPr>
      </w:pPr>
      <w:r w:rsidRPr="002A2ACC">
        <w:rPr>
          <w:rFonts w:ascii="Arial" w:eastAsia="Arial" w:hAnsi="Arial" w:cs="Arial"/>
        </w:rPr>
        <w:t>My learning environment and personal background have some underlying factors that can explain the challenges that I encountered. To begin with, I had no prior experience with Excel, which led to my early experiences of confusion and being overwhelmed. There was also a replacement of school with university, whereby the learning process was more independent, and students were expected to take charge of their own development. Such a transformation can bring difficulties to the learners who are yet to overcome the new academic demands. Furthermore, the classroom environment was centred around active and practical learning, which is synonymous with the principle of experiential learning. In this approach, students are engaged directly in assignments, express their knowledge, and solve problems independently, and this kind of work gives a better understanding. As suggested by Afzal and Rafiq (2022), learners' classroom involvement can be enhanced while teachers utilise optimal teaching techniques. The support which was provided by the lecturer as well as my other classmates played a very big role in helping me contain my anxiety as time elapsed. Learning in groups results in communication and group problem-solving that could contribute to the increase of confidence and knowledge (Wei, 2024). Also, the growing significance of digital literacy in contemporary education implies the need to use such learning tools as Excel, although the initial learning experience might be challenging.</w:t>
      </w:r>
    </w:p>
    <w:p w14:paraId="002F94B0" w14:textId="77777777" w:rsidR="00470161" w:rsidRPr="002A2ACC" w:rsidRDefault="00470161" w:rsidP="00AC5463">
      <w:pPr>
        <w:spacing w:before="200"/>
        <w:rPr>
          <w:rFonts w:ascii="Arial" w:eastAsia="Arial" w:hAnsi="Arial" w:cs="Arial"/>
        </w:rPr>
      </w:pPr>
      <w:r w:rsidRPr="002A2ACC">
        <w:rPr>
          <w:rFonts w:ascii="Arial" w:eastAsia="Arial" w:hAnsi="Arial" w:cs="Arial"/>
        </w:rPr>
        <w:lastRenderedPageBreak/>
        <w:t>Based on the above information, it can be concluded that I can plan ahead and train myself on the fundamental capabilities of Excel by going through online tutorials or taking practice tests. This would have contributed to my lessening initial confusion and made me better able to follow the session. Moreover, I would have done post-class practice to bring my knowledge together because the repetition is the most important aspect of acquiring digital skills. I should also have been more aggressive in questioning during the session. It might have been better to be more active, talking to the lecturer and asking him to provide immediate feedback. Additionally, it would have been better to work with more classmates, since, with their help, the learning process may be more effective due to mutual knowledge and alternative views. There were certain background factors in my learning environment and personal background that could be used to explain the challenges that I encountered. First of all, I did not use Excel before, and this is why my initial experiences were of confusion and overwhelming. The school was also replaced with university whereby learning process was more autonomous and students were supposed to be independent in taking care of their own development. This kind of change may pose challenges to the students who are still struggling to cope with the new educational requirements. Moreover, active and practical learning was the central focus of the classroom setting, and it is equivalent to the principle of experiential learning. In this style, students are set in direct involvement in assignment, share their knowledge and problem solving and this type of work is more understanding.</w:t>
      </w:r>
    </w:p>
    <w:p w14:paraId="3C67C342" w14:textId="77777777" w:rsidR="00470161" w:rsidRDefault="00470161" w:rsidP="00AC5463">
      <w:pPr>
        <w:spacing w:before="200"/>
        <w:rPr>
          <w:rFonts w:ascii="Arial" w:eastAsia="Arial" w:hAnsi="Arial" w:cs="Arial"/>
        </w:rPr>
      </w:pPr>
      <w:r w:rsidRPr="002A2ACC">
        <w:rPr>
          <w:rFonts w:ascii="Arial" w:eastAsia="Arial" w:hAnsi="Arial" w:cs="Arial"/>
        </w:rPr>
        <w:t>I will be more active and organised in terms of building my Excel skills in future learning contexts. I will be able to attend every session with more attention and participation that will encompass actively following the instructions and trying every task in real time. I will also make sure that I am using Excel on a regular basis outside of the classroom because practice is the only way to become more digital and confident. Also, utilising online learning tools like tutorial videos and guided exercises that may assist in strengthening classroom instruction and offer step-by-step guidance with own pace (Huggett, 2024). I will also take a deliberate effort of posing questions during the sessions without fearing to do so because I understand that seeking clarification is an essential aspect of the learning process.</w:t>
      </w:r>
    </w:p>
    <w:p w14:paraId="4911B5C9" w14:textId="77777777" w:rsidR="00AC5463" w:rsidRDefault="00AC5463" w:rsidP="00AC5463">
      <w:pPr>
        <w:spacing w:before="200"/>
        <w:rPr>
          <w:rFonts w:ascii="Arial" w:eastAsia="Arial" w:hAnsi="Arial" w:cs="Arial"/>
        </w:rPr>
      </w:pPr>
    </w:p>
    <w:p w14:paraId="5A217C10" w14:textId="77777777" w:rsidR="00AC5463" w:rsidRDefault="00AC5463" w:rsidP="00AC5463">
      <w:pPr>
        <w:spacing w:before="200"/>
        <w:rPr>
          <w:rFonts w:ascii="Arial" w:eastAsia="Arial" w:hAnsi="Arial" w:cs="Arial"/>
        </w:rPr>
      </w:pPr>
    </w:p>
    <w:p w14:paraId="35A36309" w14:textId="77777777" w:rsidR="00AC5463" w:rsidRDefault="00AC5463" w:rsidP="00AC5463">
      <w:pPr>
        <w:spacing w:before="200"/>
        <w:rPr>
          <w:rFonts w:ascii="Arial" w:eastAsia="Arial" w:hAnsi="Arial" w:cs="Arial"/>
        </w:rPr>
      </w:pPr>
    </w:p>
    <w:p w14:paraId="25E05DB3" w14:textId="77777777" w:rsidR="00AC5463" w:rsidRDefault="00AC5463" w:rsidP="00AC5463">
      <w:pPr>
        <w:spacing w:before="200"/>
        <w:rPr>
          <w:rFonts w:ascii="Arial" w:eastAsia="Arial" w:hAnsi="Arial" w:cs="Arial"/>
        </w:rPr>
      </w:pPr>
    </w:p>
    <w:p w14:paraId="1C76AAEC" w14:textId="77777777" w:rsidR="00AC5463" w:rsidRDefault="00AC5463" w:rsidP="00AC5463">
      <w:pPr>
        <w:spacing w:before="200"/>
        <w:rPr>
          <w:rFonts w:ascii="Arial" w:eastAsia="Arial" w:hAnsi="Arial" w:cs="Arial"/>
        </w:rPr>
      </w:pPr>
    </w:p>
    <w:p w14:paraId="6DA0F808" w14:textId="77777777" w:rsidR="00AC5463" w:rsidRPr="002A2ACC" w:rsidRDefault="00AC5463" w:rsidP="00AC5463">
      <w:pPr>
        <w:spacing w:before="200"/>
        <w:rPr>
          <w:rFonts w:ascii="Arial" w:eastAsia="Arial" w:hAnsi="Arial" w:cs="Arial"/>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30"/>
        <w:gridCol w:w="6930"/>
      </w:tblGrid>
      <w:tr w:rsidR="00470161" w:rsidRPr="002A2ACC" w14:paraId="577EBAE6" w14:textId="77777777" w:rsidTr="00DA1C06">
        <w:trPr>
          <w:trHeight w:val="470"/>
        </w:trPr>
        <w:tc>
          <w:tcPr>
            <w:tcW w:w="9360" w:type="dxa"/>
            <w:gridSpan w:val="2"/>
            <w:tcMar>
              <w:top w:w="100" w:type="dxa"/>
              <w:left w:w="100" w:type="dxa"/>
              <w:bottom w:w="100" w:type="dxa"/>
              <w:right w:w="100" w:type="dxa"/>
            </w:tcMar>
          </w:tcPr>
          <w:p w14:paraId="73BA91F8" w14:textId="18C79792" w:rsidR="00470161" w:rsidRPr="002A2ACC" w:rsidRDefault="00470161" w:rsidP="00AC5463">
            <w:pPr>
              <w:widowControl w:val="0"/>
              <w:pBdr>
                <w:top w:val="nil"/>
                <w:left w:val="nil"/>
                <w:bottom w:val="nil"/>
                <w:right w:val="nil"/>
                <w:between w:val="nil"/>
              </w:pBdr>
              <w:rPr>
                <w:rFonts w:ascii="Arial" w:eastAsia="Arial" w:hAnsi="Arial" w:cs="Arial"/>
              </w:rPr>
            </w:pPr>
            <w:r w:rsidRPr="002A2ACC">
              <w:rPr>
                <w:rFonts w:ascii="Arial" w:eastAsia="Arial" w:hAnsi="Arial" w:cs="Arial"/>
                <w:b/>
                <w:bCs/>
                <w:i/>
                <w:iCs/>
              </w:rPr>
              <w:lastRenderedPageBreak/>
              <w:t>Goal: Achieve digital skills through learning Excel and enhance the employability skills</w:t>
            </w:r>
          </w:p>
        </w:tc>
      </w:tr>
      <w:tr w:rsidR="00470161" w:rsidRPr="002A2ACC" w14:paraId="4584133C" w14:textId="77777777" w:rsidTr="00DA1C06">
        <w:tc>
          <w:tcPr>
            <w:tcW w:w="2430" w:type="dxa"/>
            <w:tcMar>
              <w:top w:w="100" w:type="dxa"/>
              <w:left w:w="100" w:type="dxa"/>
              <w:bottom w:w="100" w:type="dxa"/>
              <w:right w:w="100" w:type="dxa"/>
            </w:tcMar>
          </w:tcPr>
          <w:p w14:paraId="33D4E14C" w14:textId="3C0E7DFA" w:rsidR="00470161" w:rsidRPr="002A2ACC" w:rsidRDefault="00470161" w:rsidP="00AC5463">
            <w:pPr>
              <w:widowControl w:val="0"/>
              <w:pBdr>
                <w:top w:val="nil"/>
                <w:left w:val="nil"/>
                <w:bottom w:val="nil"/>
                <w:right w:val="nil"/>
                <w:between w:val="nil"/>
              </w:pBdr>
              <w:rPr>
                <w:rFonts w:ascii="Arial" w:eastAsia="Arial" w:hAnsi="Arial" w:cs="Arial"/>
                <w:b/>
                <w:bCs/>
                <w:i/>
                <w:iCs/>
              </w:rPr>
            </w:pPr>
            <w:r w:rsidRPr="002A2ACC">
              <w:rPr>
                <w:rFonts w:ascii="Arial" w:eastAsia="Arial" w:hAnsi="Arial" w:cs="Arial"/>
                <w:b/>
                <w:bCs/>
                <w:i/>
                <w:iCs/>
              </w:rPr>
              <w:t>Specific</w:t>
            </w:r>
          </w:p>
        </w:tc>
        <w:tc>
          <w:tcPr>
            <w:tcW w:w="6930" w:type="dxa"/>
            <w:tcMar>
              <w:top w:w="100" w:type="dxa"/>
              <w:left w:w="100" w:type="dxa"/>
              <w:bottom w:w="100" w:type="dxa"/>
              <w:right w:w="100" w:type="dxa"/>
            </w:tcMar>
          </w:tcPr>
          <w:p w14:paraId="08D3EEFD" w14:textId="77777777" w:rsidR="00470161" w:rsidRPr="002A2ACC" w:rsidRDefault="00470161" w:rsidP="00AC5463">
            <w:pPr>
              <w:widowControl w:val="0"/>
              <w:pBdr>
                <w:top w:val="nil"/>
                <w:left w:val="nil"/>
                <w:bottom w:val="nil"/>
                <w:right w:val="nil"/>
                <w:between w:val="nil"/>
              </w:pBdr>
              <w:rPr>
                <w:rFonts w:ascii="Arial" w:eastAsia="Arial" w:hAnsi="Arial" w:cs="Arial"/>
              </w:rPr>
            </w:pPr>
            <w:r w:rsidRPr="002A2ACC">
              <w:rPr>
                <w:rFonts w:ascii="Arial" w:eastAsia="Arial" w:hAnsi="Arial" w:cs="Arial"/>
              </w:rPr>
              <w:t>Learn to use Excel by rehearsing the formulas, functions and simple data analysis methods.</w:t>
            </w:r>
          </w:p>
        </w:tc>
      </w:tr>
      <w:tr w:rsidR="00470161" w:rsidRPr="002A2ACC" w14:paraId="78E75433" w14:textId="77777777" w:rsidTr="00DA1C06">
        <w:tc>
          <w:tcPr>
            <w:tcW w:w="2430" w:type="dxa"/>
            <w:tcMar>
              <w:top w:w="100" w:type="dxa"/>
              <w:left w:w="100" w:type="dxa"/>
              <w:bottom w:w="100" w:type="dxa"/>
              <w:right w:w="100" w:type="dxa"/>
            </w:tcMar>
          </w:tcPr>
          <w:p w14:paraId="76E2CEE4" w14:textId="77777777" w:rsidR="00470161" w:rsidRPr="002A2ACC" w:rsidRDefault="00470161" w:rsidP="00AC5463">
            <w:pPr>
              <w:widowControl w:val="0"/>
              <w:pBdr>
                <w:top w:val="nil"/>
                <w:left w:val="nil"/>
                <w:bottom w:val="nil"/>
                <w:right w:val="nil"/>
                <w:between w:val="nil"/>
              </w:pBdr>
              <w:rPr>
                <w:rFonts w:ascii="Arial" w:eastAsia="Arial" w:hAnsi="Arial" w:cs="Arial"/>
                <w:b/>
                <w:bCs/>
                <w:i/>
                <w:iCs/>
              </w:rPr>
            </w:pPr>
            <w:r w:rsidRPr="002A2ACC">
              <w:rPr>
                <w:rFonts w:ascii="Arial" w:eastAsia="Arial" w:hAnsi="Arial" w:cs="Arial"/>
                <w:b/>
                <w:bCs/>
                <w:i/>
                <w:iCs/>
              </w:rPr>
              <w:t>Measurable</w:t>
            </w:r>
          </w:p>
        </w:tc>
        <w:tc>
          <w:tcPr>
            <w:tcW w:w="6930" w:type="dxa"/>
            <w:tcMar>
              <w:top w:w="100" w:type="dxa"/>
              <w:left w:w="100" w:type="dxa"/>
              <w:bottom w:w="100" w:type="dxa"/>
              <w:right w:w="100" w:type="dxa"/>
            </w:tcMar>
          </w:tcPr>
          <w:p w14:paraId="762808D2" w14:textId="77777777" w:rsidR="00470161" w:rsidRPr="002A2ACC" w:rsidRDefault="00470161" w:rsidP="00AC5463">
            <w:pPr>
              <w:widowControl w:val="0"/>
              <w:pBdr>
                <w:top w:val="nil"/>
                <w:left w:val="nil"/>
                <w:bottom w:val="nil"/>
                <w:right w:val="nil"/>
                <w:between w:val="nil"/>
              </w:pBdr>
              <w:rPr>
                <w:rFonts w:ascii="Arial" w:eastAsia="Arial" w:hAnsi="Arial" w:cs="Arial"/>
              </w:rPr>
            </w:pPr>
            <w:r w:rsidRPr="002A2ACC">
              <w:rPr>
                <w:rFonts w:ascii="Arial" w:eastAsia="Arial" w:hAnsi="Arial" w:cs="Arial"/>
              </w:rPr>
              <w:t>Finish at least 2-3 exercises and tasks in Excel per week and keep a record of the progress by completed worksheets.</w:t>
            </w:r>
          </w:p>
        </w:tc>
      </w:tr>
      <w:tr w:rsidR="00470161" w:rsidRPr="002A2ACC" w14:paraId="37547692" w14:textId="77777777" w:rsidTr="00DA1C06">
        <w:tc>
          <w:tcPr>
            <w:tcW w:w="2430" w:type="dxa"/>
            <w:tcMar>
              <w:top w:w="100" w:type="dxa"/>
              <w:left w:w="100" w:type="dxa"/>
              <w:bottom w:w="100" w:type="dxa"/>
              <w:right w:w="100" w:type="dxa"/>
            </w:tcMar>
          </w:tcPr>
          <w:p w14:paraId="5D9628BA" w14:textId="77777777" w:rsidR="00470161" w:rsidRPr="002A2ACC" w:rsidRDefault="00470161" w:rsidP="00AC5463">
            <w:pPr>
              <w:widowControl w:val="0"/>
              <w:pBdr>
                <w:top w:val="nil"/>
                <w:left w:val="nil"/>
                <w:bottom w:val="nil"/>
                <w:right w:val="nil"/>
                <w:between w:val="nil"/>
              </w:pBdr>
              <w:rPr>
                <w:rFonts w:ascii="Arial" w:eastAsia="Arial" w:hAnsi="Arial" w:cs="Arial"/>
                <w:b/>
                <w:bCs/>
                <w:i/>
                <w:iCs/>
              </w:rPr>
            </w:pPr>
            <w:r w:rsidRPr="002A2ACC">
              <w:rPr>
                <w:rFonts w:ascii="Arial" w:eastAsia="Arial" w:hAnsi="Arial" w:cs="Arial"/>
                <w:b/>
                <w:bCs/>
                <w:i/>
                <w:iCs/>
              </w:rPr>
              <w:t>Achievable</w:t>
            </w:r>
          </w:p>
        </w:tc>
        <w:tc>
          <w:tcPr>
            <w:tcW w:w="6930" w:type="dxa"/>
            <w:tcMar>
              <w:top w:w="100" w:type="dxa"/>
              <w:left w:w="100" w:type="dxa"/>
              <w:bottom w:w="100" w:type="dxa"/>
              <w:right w:w="100" w:type="dxa"/>
            </w:tcMar>
          </w:tcPr>
          <w:p w14:paraId="64A55FAE" w14:textId="77777777" w:rsidR="00470161" w:rsidRPr="002A2ACC" w:rsidRDefault="00470161" w:rsidP="00AC5463">
            <w:pPr>
              <w:widowControl w:val="0"/>
              <w:pBdr>
                <w:top w:val="nil"/>
                <w:left w:val="nil"/>
                <w:bottom w:val="nil"/>
                <w:right w:val="nil"/>
                <w:between w:val="nil"/>
              </w:pBdr>
              <w:rPr>
                <w:rFonts w:ascii="Arial" w:eastAsia="Arial" w:hAnsi="Arial" w:cs="Arial"/>
              </w:rPr>
            </w:pPr>
            <w:r w:rsidRPr="002A2ACC">
              <w:rPr>
                <w:rFonts w:ascii="Arial" w:eastAsia="Arial" w:hAnsi="Arial" w:cs="Arial"/>
              </w:rPr>
              <w:t xml:space="preserve">Access college materials, lecture notes, and online guidelines like YouTube and conduct practical tests (Jamleh </w:t>
            </w:r>
            <w:r w:rsidRPr="002A2ACC">
              <w:rPr>
                <w:rFonts w:ascii="Arial" w:eastAsia="Arial" w:hAnsi="Arial" w:cs="Arial"/>
                <w:i/>
                <w:iCs/>
              </w:rPr>
              <w:t xml:space="preserve">et al. </w:t>
            </w:r>
            <w:r w:rsidRPr="002A2ACC">
              <w:rPr>
                <w:rFonts w:ascii="Arial" w:eastAsia="Arial" w:hAnsi="Arial" w:cs="Arial"/>
              </w:rPr>
              <w:t>2022).</w:t>
            </w:r>
          </w:p>
        </w:tc>
      </w:tr>
      <w:tr w:rsidR="00470161" w:rsidRPr="002A2ACC" w14:paraId="7803D57E" w14:textId="77777777" w:rsidTr="00DA1C06">
        <w:tc>
          <w:tcPr>
            <w:tcW w:w="2430" w:type="dxa"/>
            <w:tcMar>
              <w:top w:w="100" w:type="dxa"/>
              <w:left w:w="100" w:type="dxa"/>
              <w:bottom w:w="100" w:type="dxa"/>
              <w:right w:w="100" w:type="dxa"/>
            </w:tcMar>
          </w:tcPr>
          <w:p w14:paraId="3E558925" w14:textId="77777777" w:rsidR="00470161" w:rsidRPr="002A2ACC" w:rsidRDefault="00470161" w:rsidP="00AC5463">
            <w:pPr>
              <w:widowControl w:val="0"/>
              <w:pBdr>
                <w:top w:val="nil"/>
                <w:left w:val="nil"/>
                <w:bottom w:val="nil"/>
                <w:right w:val="nil"/>
                <w:between w:val="nil"/>
              </w:pBdr>
              <w:rPr>
                <w:rFonts w:ascii="Arial" w:eastAsia="Arial" w:hAnsi="Arial" w:cs="Arial"/>
                <w:b/>
                <w:bCs/>
                <w:i/>
                <w:iCs/>
              </w:rPr>
            </w:pPr>
            <w:r w:rsidRPr="002A2ACC">
              <w:rPr>
                <w:rFonts w:ascii="Arial" w:eastAsia="Arial" w:hAnsi="Arial" w:cs="Arial"/>
                <w:b/>
                <w:bCs/>
                <w:i/>
                <w:iCs/>
              </w:rPr>
              <w:t>Relevant</w:t>
            </w:r>
          </w:p>
        </w:tc>
        <w:tc>
          <w:tcPr>
            <w:tcW w:w="6930" w:type="dxa"/>
            <w:tcMar>
              <w:top w:w="100" w:type="dxa"/>
              <w:left w:w="100" w:type="dxa"/>
              <w:bottom w:w="100" w:type="dxa"/>
              <w:right w:w="100" w:type="dxa"/>
            </w:tcMar>
          </w:tcPr>
          <w:p w14:paraId="727B1C91" w14:textId="77777777" w:rsidR="00470161" w:rsidRPr="002A2ACC" w:rsidRDefault="00470161" w:rsidP="00AC5463">
            <w:pPr>
              <w:widowControl w:val="0"/>
              <w:pBdr>
                <w:top w:val="nil"/>
                <w:left w:val="nil"/>
                <w:bottom w:val="nil"/>
                <w:right w:val="nil"/>
                <w:between w:val="nil"/>
              </w:pBdr>
              <w:rPr>
                <w:rFonts w:ascii="Arial" w:eastAsia="Arial" w:hAnsi="Arial" w:cs="Arial"/>
              </w:rPr>
            </w:pPr>
            <w:r w:rsidRPr="002A2ACC">
              <w:rPr>
                <w:rFonts w:ascii="Arial" w:eastAsia="Arial" w:hAnsi="Arial" w:cs="Arial"/>
              </w:rPr>
              <w:t xml:space="preserve">Academic performance improvement, coursework, and essential digital skills development to be more employable in the future (Rodríguez </w:t>
            </w:r>
            <w:r w:rsidRPr="002A2ACC">
              <w:rPr>
                <w:rFonts w:ascii="Arial" w:eastAsia="Arial" w:hAnsi="Arial" w:cs="Arial"/>
                <w:i/>
                <w:iCs/>
              </w:rPr>
              <w:t xml:space="preserve">et al. </w:t>
            </w:r>
            <w:r w:rsidRPr="002A2ACC">
              <w:rPr>
                <w:rFonts w:ascii="Arial" w:eastAsia="Arial" w:hAnsi="Arial" w:cs="Arial"/>
              </w:rPr>
              <w:t>2024).</w:t>
            </w:r>
          </w:p>
        </w:tc>
      </w:tr>
      <w:tr w:rsidR="00470161" w:rsidRPr="002A2ACC" w14:paraId="033420B8" w14:textId="77777777" w:rsidTr="00DA1C06">
        <w:tc>
          <w:tcPr>
            <w:tcW w:w="2430" w:type="dxa"/>
            <w:tcMar>
              <w:top w:w="100" w:type="dxa"/>
              <w:left w:w="100" w:type="dxa"/>
              <w:bottom w:w="100" w:type="dxa"/>
              <w:right w:w="100" w:type="dxa"/>
            </w:tcMar>
          </w:tcPr>
          <w:p w14:paraId="4622357D" w14:textId="77777777" w:rsidR="00470161" w:rsidRPr="002A2ACC" w:rsidRDefault="00470161" w:rsidP="00AC5463">
            <w:pPr>
              <w:widowControl w:val="0"/>
              <w:pBdr>
                <w:top w:val="nil"/>
                <w:left w:val="nil"/>
                <w:bottom w:val="nil"/>
                <w:right w:val="nil"/>
                <w:between w:val="nil"/>
              </w:pBdr>
              <w:rPr>
                <w:rFonts w:ascii="Arial" w:eastAsia="Arial" w:hAnsi="Arial" w:cs="Arial"/>
                <w:b/>
                <w:bCs/>
                <w:i/>
                <w:iCs/>
              </w:rPr>
            </w:pPr>
            <w:r w:rsidRPr="002A2ACC">
              <w:rPr>
                <w:rFonts w:ascii="Arial" w:eastAsia="Arial" w:hAnsi="Arial" w:cs="Arial"/>
                <w:b/>
                <w:bCs/>
                <w:i/>
                <w:iCs/>
              </w:rPr>
              <w:t>Time-bound</w:t>
            </w:r>
          </w:p>
        </w:tc>
        <w:tc>
          <w:tcPr>
            <w:tcW w:w="6930" w:type="dxa"/>
            <w:tcMar>
              <w:top w:w="100" w:type="dxa"/>
              <w:left w:w="100" w:type="dxa"/>
              <w:bottom w:w="100" w:type="dxa"/>
              <w:right w:w="100" w:type="dxa"/>
            </w:tcMar>
          </w:tcPr>
          <w:p w14:paraId="296AD9D9" w14:textId="1303B3AB" w:rsidR="00470161" w:rsidRPr="002A2ACC" w:rsidRDefault="00470161" w:rsidP="00AC5463">
            <w:pPr>
              <w:widowControl w:val="0"/>
              <w:pBdr>
                <w:top w:val="nil"/>
                <w:left w:val="nil"/>
                <w:bottom w:val="nil"/>
                <w:right w:val="nil"/>
                <w:between w:val="nil"/>
              </w:pBdr>
              <w:rPr>
                <w:rFonts w:ascii="Arial" w:eastAsia="Arial" w:hAnsi="Arial" w:cs="Arial"/>
              </w:rPr>
            </w:pPr>
            <w:r w:rsidRPr="002A2ACC">
              <w:rPr>
                <w:rFonts w:ascii="Arial" w:eastAsia="Arial" w:hAnsi="Arial" w:cs="Arial"/>
              </w:rPr>
              <w:t>2 - 3 months</w:t>
            </w:r>
          </w:p>
        </w:tc>
      </w:tr>
    </w:tbl>
    <w:p w14:paraId="01D7DFE1" w14:textId="77777777" w:rsidR="00470161" w:rsidRPr="002A2ACC" w:rsidRDefault="00470161" w:rsidP="00AC5463">
      <w:pPr>
        <w:spacing w:before="200"/>
        <w:rPr>
          <w:rFonts w:ascii="Arial" w:eastAsia="Arial" w:hAnsi="Arial" w:cs="Arial"/>
        </w:rPr>
      </w:pPr>
      <w:r w:rsidRPr="002A2ACC">
        <w:br w:type="page"/>
      </w:r>
    </w:p>
    <w:p w14:paraId="51B47496" w14:textId="1010646A" w:rsidR="00470161" w:rsidRPr="002A2ACC" w:rsidRDefault="00470161" w:rsidP="00AC5463">
      <w:pPr>
        <w:pStyle w:val="Heading1"/>
        <w:spacing w:before="200"/>
        <w:rPr>
          <w:rFonts w:ascii="Arial" w:eastAsia="Arial" w:hAnsi="Arial" w:cs="Arial"/>
        </w:rPr>
      </w:pPr>
      <w:bookmarkStart w:id="0" w:name="_74g6udhpifcv" w:colFirst="0" w:colLast="0"/>
      <w:bookmarkEnd w:id="0"/>
      <w:r w:rsidRPr="002A2ACC">
        <w:rPr>
          <w:rFonts w:ascii="Arial" w:eastAsia="Arial" w:hAnsi="Arial" w:cs="Arial"/>
        </w:rPr>
        <w:lastRenderedPageBreak/>
        <w:t>References</w:t>
      </w:r>
    </w:p>
    <w:p w14:paraId="12E971A9" w14:textId="77777777" w:rsidR="00470161" w:rsidRPr="002A2ACC" w:rsidRDefault="00470161" w:rsidP="00AC5463">
      <w:pPr>
        <w:spacing w:before="200"/>
        <w:rPr>
          <w:rFonts w:ascii="Arial" w:eastAsia="Arial" w:hAnsi="Arial" w:cs="Arial"/>
        </w:rPr>
      </w:pPr>
      <w:r w:rsidRPr="002A2ACC">
        <w:rPr>
          <w:rFonts w:ascii="Arial" w:eastAsia="Arial" w:hAnsi="Arial" w:cs="Arial"/>
        </w:rPr>
        <w:t xml:space="preserve">Abidin, Z. and Muhammad, N., 2024. Effective classroom management as a quick solution to improve student participation and motivation in the learning process. </w:t>
      </w:r>
      <w:r w:rsidRPr="002A2ACC">
        <w:rPr>
          <w:rFonts w:ascii="Arial" w:eastAsia="Arial" w:hAnsi="Arial" w:cs="Arial"/>
          <w:i/>
          <w:iCs/>
        </w:rPr>
        <w:t>Zabags International Journal of Education</w:t>
      </w:r>
      <w:r w:rsidRPr="002A2ACC">
        <w:rPr>
          <w:rFonts w:ascii="Arial" w:eastAsia="Arial" w:hAnsi="Arial" w:cs="Arial"/>
        </w:rPr>
        <w:t xml:space="preserve">, </w:t>
      </w:r>
      <w:r w:rsidRPr="002A2ACC">
        <w:rPr>
          <w:rFonts w:ascii="Arial" w:eastAsia="Arial" w:hAnsi="Arial" w:cs="Arial"/>
          <w:i/>
          <w:iCs/>
        </w:rPr>
        <w:t>2</w:t>
      </w:r>
      <w:r w:rsidRPr="002A2ACC">
        <w:rPr>
          <w:rFonts w:ascii="Arial" w:eastAsia="Arial" w:hAnsi="Arial" w:cs="Arial"/>
        </w:rPr>
        <w:t>(2), pp.88-104.</w:t>
      </w:r>
    </w:p>
    <w:p w14:paraId="20BA240F" w14:textId="77777777" w:rsidR="00470161" w:rsidRPr="002A2ACC" w:rsidRDefault="00470161" w:rsidP="00AC5463">
      <w:pPr>
        <w:spacing w:before="200"/>
        <w:rPr>
          <w:rFonts w:ascii="Arial" w:eastAsia="Arial" w:hAnsi="Arial" w:cs="Arial"/>
        </w:rPr>
      </w:pPr>
      <w:r w:rsidRPr="002A2ACC">
        <w:rPr>
          <w:rFonts w:ascii="Arial" w:eastAsia="Arial" w:hAnsi="Arial" w:cs="Arial"/>
        </w:rPr>
        <w:t xml:space="preserve">Afzal, A. and Rafiq, S., 2022. Impact of teachers' instructional techniques on student involvement in class: A Case study. </w:t>
      </w:r>
      <w:r w:rsidRPr="002A2ACC">
        <w:rPr>
          <w:rFonts w:ascii="Arial" w:eastAsia="Arial" w:hAnsi="Arial" w:cs="Arial"/>
          <w:i/>
          <w:iCs/>
        </w:rPr>
        <w:t>UMT Education Review</w:t>
      </w:r>
      <w:r w:rsidRPr="002A2ACC">
        <w:rPr>
          <w:rFonts w:ascii="Arial" w:eastAsia="Arial" w:hAnsi="Arial" w:cs="Arial"/>
        </w:rPr>
        <w:t xml:space="preserve">, </w:t>
      </w:r>
      <w:r w:rsidRPr="002A2ACC">
        <w:rPr>
          <w:rFonts w:ascii="Arial" w:eastAsia="Arial" w:hAnsi="Arial" w:cs="Arial"/>
          <w:i/>
          <w:iCs/>
        </w:rPr>
        <w:t>5</w:t>
      </w:r>
      <w:r w:rsidRPr="002A2ACC">
        <w:rPr>
          <w:rFonts w:ascii="Arial" w:eastAsia="Arial" w:hAnsi="Arial" w:cs="Arial"/>
        </w:rPr>
        <w:t>(2), pp.184-204.</w:t>
      </w:r>
    </w:p>
    <w:p w14:paraId="200607C0" w14:textId="77777777" w:rsidR="00470161" w:rsidRPr="002A2ACC" w:rsidRDefault="00470161" w:rsidP="00AC5463">
      <w:pPr>
        <w:spacing w:before="200"/>
        <w:rPr>
          <w:rFonts w:ascii="Arial" w:eastAsia="Arial" w:hAnsi="Arial" w:cs="Arial"/>
        </w:rPr>
      </w:pPr>
      <w:r w:rsidRPr="002A2ACC">
        <w:rPr>
          <w:rFonts w:ascii="Arial" w:eastAsia="Arial" w:hAnsi="Arial" w:cs="Arial"/>
        </w:rPr>
        <w:t xml:space="preserve">Ayuningtyas, P., Mauludin, L.A. and Prasetyo, G., 2022. Investigating the Anxiety Factors among English for Specific Purposes Students in a Vocational Education setting. </w:t>
      </w:r>
      <w:r w:rsidRPr="002A2ACC">
        <w:rPr>
          <w:rFonts w:ascii="Arial" w:eastAsia="Arial" w:hAnsi="Arial" w:cs="Arial"/>
          <w:i/>
          <w:iCs/>
        </w:rPr>
        <w:t>Language Related Research</w:t>
      </w:r>
      <w:r w:rsidRPr="002A2ACC">
        <w:rPr>
          <w:rFonts w:ascii="Arial" w:eastAsia="Arial" w:hAnsi="Arial" w:cs="Arial"/>
        </w:rPr>
        <w:t xml:space="preserve">, </w:t>
      </w:r>
      <w:r w:rsidRPr="002A2ACC">
        <w:rPr>
          <w:rFonts w:ascii="Arial" w:eastAsia="Arial" w:hAnsi="Arial" w:cs="Arial"/>
          <w:i/>
          <w:iCs/>
        </w:rPr>
        <w:t>13</w:t>
      </w:r>
      <w:r w:rsidRPr="002A2ACC">
        <w:rPr>
          <w:rFonts w:ascii="Arial" w:eastAsia="Arial" w:hAnsi="Arial" w:cs="Arial"/>
        </w:rPr>
        <w:t>(3).</w:t>
      </w:r>
    </w:p>
    <w:p w14:paraId="22642259" w14:textId="77777777" w:rsidR="00470161" w:rsidRPr="002A2ACC" w:rsidRDefault="00470161" w:rsidP="00AC5463">
      <w:pPr>
        <w:spacing w:before="200"/>
        <w:rPr>
          <w:rFonts w:ascii="Arial" w:eastAsia="Arial" w:hAnsi="Arial" w:cs="Arial"/>
        </w:rPr>
      </w:pPr>
      <w:r w:rsidRPr="002A2ACC">
        <w:rPr>
          <w:rFonts w:ascii="Arial" w:eastAsia="Arial" w:hAnsi="Arial" w:cs="Arial"/>
        </w:rPr>
        <w:t xml:space="preserve">Grealis, T., Harmon, O., Patterson, A. and Tomolonis, P., 2024. Excel Literacy In The Classroom. </w:t>
      </w:r>
      <w:r w:rsidRPr="002A2ACC">
        <w:rPr>
          <w:rFonts w:ascii="Arial" w:eastAsia="Arial" w:hAnsi="Arial" w:cs="Arial"/>
          <w:i/>
          <w:iCs/>
        </w:rPr>
        <w:t>Business Education Innovation Journal VOLUME 16 NUMBER 2 December 2024</w:t>
      </w:r>
      <w:r w:rsidRPr="002A2ACC">
        <w:rPr>
          <w:rFonts w:ascii="Arial" w:eastAsia="Arial" w:hAnsi="Arial" w:cs="Arial"/>
        </w:rPr>
        <w:t>, p.173.</w:t>
      </w:r>
    </w:p>
    <w:p w14:paraId="768682C0" w14:textId="77777777" w:rsidR="00470161" w:rsidRPr="002A2ACC" w:rsidRDefault="00470161" w:rsidP="00AC5463">
      <w:pPr>
        <w:spacing w:before="200"/>
        <w:rPr>
          <w:rFonts w:ascii="Arial" w:eastAsia="Arial" w:hAnsi="Arial" w:cs="Arial"/>
        </w:rPr>
      </w:pPr>
      <w:r w:rsidRPr="002A2ACC">
        <w:rPr>
          <w:rFonts w:ascii="Arial" w:eastAsia="Arial" w:hAnsi="Arial" w:cs="Arial"/>
        </w:rPr>
        <w:t xml:space="preserve">Huggett, C., 2024. </w:t>
      </w:r>
      <w:r w:rsidRPr="002A2ACC">
        <w:rPr>
          <w:rFonts w:ascii="Arial" w:eastAsia="Arial" w:hAnsi="Arial" w:cs="Arial"/>
          <w:i/>
          <w:iCs/>
        </w:rPr>
        <w:t>Virtual training tools and templates: An action guide to live online learning</w:t>
      </w:r>
      <w:r w:rsidRPr="002A2ACC">
        <w:rPr>
          <w:rFonts w:ascii="Arial" w:eastAsia="Arial" w:hAnsi="Arial" w:cs="Arial"/>
        </w:rPr>
        <w:t>. American Society for Training and Development.</w:t>
      </w:r>
    </w:p>
    <w:p w14:paraId="2152F876" w14:textId="77777777" w:rsidR="00470161" w:rsidRPr="002A2ACC" w:rsidRDefault="00470161" w:rsidP="00AC5463">
      <w:pPr>
        <w:spacing w:before="200"/>
        <w:rPr>
          <w:rFonts w:ascii="Arial" w:eastAsia="Arial" w:hAnsi="Arial" w:cs="Arial"/>
        </w:rPr>
      </w:pPr>
      <w:r w:rsidRPr="002A2ACC">
        <w:rPr>
          <w:rFonts w:ascii="Arial" w:eastAsia="Arial" w:hAnsi="Arial" w:cs="Arial"/>
        </w:rPr>
        <w:t xml:space="preserve">Jamleh, A., Aljohani, S.M., Alzamil, F.F., Aljuhayyim, S.M., Alsubaei, M.N., Alali, S.R., Alotaibi, N.M. and Nassar, M., 2022. Assessment of the educational value of endodontic access cavity preparation YouTube video as a learning resource for students. </w:t>
      </w:r>
      <w:r w:rsidRPr="002A2ACC">
        <w:rPr>
          <w:rFonts w:ascii="Arial" w:eastAsia="Arial" w:hAnsi="Arial" w:cs="Arial"/>
          <w:i/>
          <w:iCs/>
        </w:rPr>
        <w:t>PLoS One</w:t>
      </w:r>
      <w:r w:rsidRPr="002A2ACC">
        <w:rPr>
          <w:rFonts w:ascii="Arial" w:eastAsia="Arial" w:hAnsi="Arial" w:cs="Arial"/>
        </w:rPr>
        <w:t xml:space="preserve">, </w:t>
      </w:r>
      <w:r w:rsidRPr="002A2ACC">
        <w:rPr>
          <w:rFonts w:ascii="Arial" w:eastAsia="Arial" w:hAnsi="Arial" w:cs="Arial"/>
          <w:i/>
          <w:iCs/>
        </w:rPr>
        <w:t>17</w:t>
      </w:r>
      <w:r w:rsidRPr="002A2ACC">
        <w:rPr>
          <w:rFonts w:ascii="Arial" w:eastAsia="Arial" w:hAnsi="Arial" w:cs="Arial"/>
        </w:rPr>
        <w:t>(8), p.e0272765.</w:t>
      </w:r>
    </w:p>
    <w:p w14:paraId="07129253" w14:textId="77777777" w:rsidR="00470161" w:rsidRPr="002A2ACC" w:rsidRDefault="00470161" w:rsidP="00AC5463">
      <w:pPr>
        <w:spacing w:before="200"/>
        <w:rPr>
          <w:rFonts w:ascii="Arial" w:eastAsia="Arial" w:hAnsi="Arial" w:cs="Arial"/>
        </w:rPr>
      </w:pPr>
      <w:r w:rsidRPr="002A2ACC">
        <w:rPr>
          <w:rFonts w:ascii="Arial" w:eastAsia="Arial" w:hAnsi="Arial" w:cs="Arial"/>
        </w:rPr>
        <w:t xml:space="preserve">Paramole, O.C., Adeoye, M.A., Arowosaye, S.A. and Ibikunle, Y.A., 2024. The impact of active listening on student engagement and learning outcomes in educational settings. </w:t>
      </w:r>
      <w:r w:rsidRPr="002A2ACC">
        <w:rPr>
          <w:rFonts w:ascii="Arial" w:eastAsia="Arial" w:hAnsi="Arial" w:cs="Arial"/>
          <w:i/>
          <w:iCs/>
        </w:rPr>
        <w:t>International Journal of Universal Education</w:t>
      </w:r>
      <w:r w:rsidRPr="002A2ACC">
        <w:rPr>
          <w:rFonts w:ascii="Arial" w:eastAsia="Arial" w:hAnsi="Arial" w:cs="Arial"/>
        </w:rPr>
        <w:t xml:space="preserve">, </w:t>
      </w:r>
      <w:r w:rsidRPr="002A2ACC">
        <w:rPr>
          <w:rFonts w:ascii="Arial" w:eastAsia="Arial" w:hAnsi="Arial" w:cs="Arial"/>
          <w:i/>
          <w:iCs/>
        </w:rPr>
        <w:t>2</w:t>
      </w:r>
      <w:r w:rsidRPr="002A2ACC">
        <w:rPr>
          <w:rFonts w:ascii="Arial" w:eastAsia="Arial" w:hAnsi="Arial" w:cs="Arial"/>
        </w:rPr>
        <w:t>(2), pp.77-89.</w:t>
      </w:r>
    </w:p>
    <w:p w14:paraId="6E842A41" w14:textId="77777777" w:rsidR="00470161" w:rsidRPr="002A2ACC" w:rsidRDefault="00470161" w:rsidP="00AC5463">
      <w:pPr>
        <w:spacing w:before="200"/>
      </w:pPr>
      <w:r w:rsidRPr="002A2ACC">
        <w:rPr>
          <w:rFonts w:ascii="Arial" w:eastAsia="Arial" w:hAnsi="Arial" w:cs="Arial"/>
        </w:rPr>
        <w:t xml:space="preserve">Rodríguez, R.F., Horna, R.F.C., Placido, J.M.M. and Barbuda, J.J.M., 2024. Influence of digital skills on the academic performance of university students: A socioeconomic approach. </w:t>
      </w:r>
      <w:r w:rsidRPr="002A2ACC">
        <w:rPr>
          <w:rFonts w:ascii="Arial" w:eastAsia="Arial" w:hAnsi="Arial" w:cs="Arial"/>
          <w:i/>
          <w:iCs/>
        </w:rPr>
        <w:t>Revista de Gestão Social e Ambiental</w:t>
      </w:r>
      <w:r w:rsidRPr="002A2ACC">
        <w:rPr>
          <w:rFonts w:ascii="Arial" w:eastAsia="Arial" w:hAnsi="Arial" w:cs="Arial"/>
        </w:rPr>
        <w:t xml:space="preserve">, </w:t>
      </w:r>
      <w:r w:rsidRPr="002A2ACC">
        <w:rPr>
          <w:rFonts w:ascii="Arial" w:eastAsia="Arial" w:hAnsi="Arial" w:cs="Arial"/>
          <w:i/>
          <w:iCs/>
        </w:rPr>
        <w:t>18</w:t>
      </w:r>
      <w:r w:rsidRPr="002A2ACC">
        <w:rPr>
          <w:rFonts w:ascii="Arial" w:eastAsia="Arial" w:hAnsi="Arial" w:cs="Arial"/>
        </w:rPr>
        <w:t>(2), pp.1-14.</w:t>
      </w:r>
    </w:p>
    <w:p w14:paraId="5F55F0FA" w14:textId="77777777" w:rsidR="00470161" w:rsidRPr="002A2ACC" w:rsidRDefault="00470161" w:rsidP="00AC5463">
      <w:pPr>
        <w:spacing w:before="200"/>
        <w:rPr>
          <w:rFonts w:ascii="Arial" w:eastAsia="Arial" w:hAnsi="Arial" w:cs="Arial"/>
        </w:rPr>
      </w:pPr>
      <w:r w:rsidRPr="002A2ACC">
        <w:rPr>
          <w:rFonts w:ascii="Arial" w:eastAsia="Arial" w:hAnsi="Arial" w:cs="Arial"/>
        </w:rPr>
        <w:t xml:space="preserve">Tiu, J., Groenewald, E., Kilag, O.K., Balicoco, R., Wenceslao, S. and Asentado, D., 2023. Enhancing oral proficiency: Effective strategies for teaching speaking skills in communication classrooms. </w:t>
      </w:r>
      <w:r w:rsidRPr="002A2ACC">
        <w:rPr>
          <w:rFonts w:ascii="Arial" w:eastAsia="Arial" w:hAnsi="Arial" w:cs="Arial"/>
          <w:i/>
          <w:iCs/>
        </w:rPr>
        <w:t>Excellencia: International Multi-disciplinary Journal of Education (2994-9521)</w:t>
      </w:r>
      <w:r w:rsidRPr="002A2ACC">
        <w:rPr>
          <w:rFonts w:ascii="Arial" w:eastAsia="Arial" w:hAnsi="Arial" w:cs="Arial"/>
        </w:rPr>
        <w:t xml:space="preserve">, </w:t>
      </w:r>
      <w:r w:rsidRPr="002A2ACC">
        <w:rPr>
          <w:rFonts w:ascii="Arial" w:eastAsia="Arial" w:hAnsi="Arial" w:cs="Arial"/>
          <w:i/>
          <w:iCs/>
        </w:rPr>
        <w:t>1</w:t>
      </w:r>
      <w:r w:rsidRPr="002A2ACC">
        <w:rPr>
          <w:rFonts w:ascii="Arial" w:eastAsia="Arial" w:hAnsi="Arial" w:cs="Arial"/>
        </w:rPr>
        <w:t>(6), pp.343-354.</w:t>
      </w:r>
    </w:p>
    <w:p w14:paraId="7F0AA047" w14:textId="77777777" w:rsidR="00470161" w:rsidRPr="002A2ACC" w:rsidRDefault="00470161" w:rsidP="00AC5463">
      <w:pPr>
        <w:spacing w:before="200"/>
        <w:rPr>
          <w:rFonts w:ascii="Arial" w:eastAsia="Arial" w:hAnsi="Arial" w:cs="Arial"/>
        </w:rPr>
      </w:pPr>
      <w:r w:rsidRPr="002A2ACC">
        <w:rPr>
          <w:rFonts w:ascii="Arial" w:eastAsia="Arial" w:hAnsi="Arial" w:cs="Arial"/>
        </w:rPr>
        <w:t xml:space="preserve">Wei, W., 2024. The Effect of Group Cooperation on College Students’ Learning Motivation. </w:t>
      </w:r>
      <w:r w:rsidRPr="002A2ACC">
        <w:rPr>
          <w:rFonts w:ascii="Arial" w:eastAsia="Arial" w:hAnsi="Arial" w:cs="Arial"/>
          <w:i/>
          <w:iCs/>
        </w:rPr>
        <w:t>Journal of Education, Humanities and Social Sciences</w:t>
      </w:r>
      <w:r w:rsidRPr="002A2ACC">
        <w:rPr>
          <w:rFonts w:ascii="Arial" w:eastAsia="Arial" w:hAnsi="Arial" w:cs="Arial"/>
        </w:rPr>
        <w:t>.</w:t>
      </w:r>
    </w:p>
    <w:p w14:paraId="71B8EB4E" w14:textId="77777777" w:rsidR="00E6780D" w:rsidRPr="00E6780D" w:rsidRDefault="00E6780D" w:rsidP="00AC5463"/>
    <w:sectPr w:rsidR="00E6780D" w:rsidRPr="00E6780D" w:rsidSect="007F1DE3">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906DAD" w14:textId="77777777" w:rsidR="003E236A" w:rsidRDefault="003E236A" w:rsidP="006D4055">
      <w:pPr>
        <w:spacing w:after="0" w:line="240" w:lineRule="auto"/>
      </w:pPr>
      <w:r>
        <w:separator/>
      </w:r>
    </w:p>
  </w:endnote>
  <w:endnote w:type="continuationSeparator" w:id="0">
    <w:p w14:paraId="5C8211F3" w14:textId="77777777" w:rsidR="003E236A" w:rsidRDefault="003E236A"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1134441"/>
      <w:docPartObj>
        <w:docPartGallery w:val="Page Numbers (Bottom of Page)"/>
        <w:docPartUnique/>
      </w:docPartObj>
    </w:sdtPr>
    <w:sdtContent>
      <w:p w14:paraId="03F2FBD3" w14:textId="4017172E" w:rsidR="007F1DE3" w:rsidRDefault="007F1DE3">
        <w:pPr>
          <w:pStyle w:val="Footer"/>
          <w:jc w:val="center"/>
        </w:pPr>
        <w:r>
          <w:fldChar w:fldCharType="begin"/>
        </w:r>
        <w:r>
          <w:instrText>PAGE   \* MERGEFORMAT</w:instrText>
        </w:r>
        <w:r>
          <w:fldChar w:fldCharType="separate"/>
        </w:r>
        <w:r>
          <w:t>2</w:t>
        </w:r>
        <w:r>
          <w:fldChar w:fldCharType="end"/>
        </w:r>
      </w:p>
    </w:sdtContent>
  </w:sdt>
  <w:p w14:paraId="7242B00E" w14:textId="77777777" w:rsidR="002243CC" w:rsidRDefault="002243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21F587" w14:textId="77777777" w:rsidR="003E236A" w:rsidRDefault="003E236A" w:rsidP="006D4055">
      <w:pPr>
        <w:spacing w:after="0" w:line="240" w:lineRule="auto"/>
      </w:pPr>
      <w:r>
        <w:separator/>
      </w:r>
    </w:p>
  </w:footnote>
  <w:footnote w:type="continuationSeparator" w:id="0">
    <w:p w14:paraId="14F76DCD" w14:textId="77777777" w:rsidR="003E236A" w:rsidRDefault="003E236A"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19149B"/>
    <w:rsid w:val="002243CC"/>
    <w:rsid w:val="002D1900"/>
    <w:rsid w:val="00307CD3"/>
    <w:rsid w:val="003965FE"/>
    <w:rsid w:val="003B1399"/>
    <w:rsid w:val="003C3B5F"/>
    <w:rsid w:val="003E236A"/>
    <w:rsid w:val="00424FDA"/>
    <w:rsid w:val="00434A22"/>
    <w:rsid w:val="00470161"/>
    <w:rsid w:val="004B3716"/>
    <w:rsid w:val="004F185F"/>
    <w:rsid w:val="005F54BA"/>
    <w:rsid w:val="006206F2"/>
    <w:rsid w:val="006D4055"/>
    <w:rsid w:val="006F18EA"/>
    <w:rsid w:val="006F4817"/>
    <w:rsid w:val="007421E0"/>
    <w:rsid w:val="00742574"/>
    <w:rsid w:val="007533FC"/>
    <w:rsid w:val="007631B4"/>
    <w:rsid w:val="007946CC"/>
    <w:rsid w:val="007F172E"/>
    <w:rsid w:val="007F1DE3"/>
    <w:rsid w:val="00895E11"/>
    <w:rsid w:val="008C248E"/>
    <w:rsid w:val="0097469F"/>
    <w:rsid w:val="009A41CE"/>
    <w:rsid w:val="00A85354"/>
    <w:rsid w:val="00AC5463"/>
    <w:rsid w:val="00BA34E0"/>
    <w:rsid w:val="00C12FAD"/>
    <w:rsid w:val="00D14056"/>
    <w:rsid w:val="00D8134F"/>
    <w:rsid w:val="00D95C9F"/>
    <w:rsid w:val="00DA65E5"/>
    <w:rsid w:val="00DB3AE7"/>
    <w:rsid w:val="00DE22B3"/>
    <w:rsid w:val="00E6780D"/>
    <w:rsid w:val="00E918D4"/>
    <w:rsid w:val="00EC2CD8"/>
    <w:rsid w:val="00EF669D"/>
    <w:rsid w:val="00F80D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1817</Words>
  <Characters>10362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Mihaela Carmen Tutu</cp:lastModifiedBy>
  <cp:revision>32</cp:revision>
  <dcterms:created xsi:type="dcterms:W3CDTF">2025-11-19T11:14:00Z</dcterms:created>
  <dcterms:modified xsi:type="dcterms:W3CDTF">2026-03-20T13:54:00Z</dcterms:modified>
</cp:coreProperties>
</file>