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8D08A" w14:textId="77777777" w:rsidR="008D40E8" w:rsidRDefault="001B4B06" w:rsidP="0019021C">
      <w:pPr>
        <w:spacing w:line="360" w:lineRule="auto"/>
      </w:pPr>
      <w:r>
        <w:t xml:space="preserve">This essay will critically discuss one learning theory and how it can be implemented and applied in the classroom setting will </w:t>
      </w:r>
      <w:r w:rsidR="00F93F82">
        <w:t xml:space="preserve">also </w:t>
      </w:r>
      <w:r>
        <w:t xml:space="preserve">be explored. In order to achieve this, empirical evidence and the relevant existing literature will also be appraised. </w:t>
      </w:r>
      <w:r w:rsidR="001E6A56">
        <w:t>Learning in humans is</w:t>
      </w:r>
      <w:r w:rsidR="009838E2">
        <w:t xml:space="preserve"> a unique and</w:t>
      </w:r>
      <w:r w:rsidR="001E6A56">
        <w:t xml:space="preserve"> highly complicated </w:t>
      </w:r>
      <w:r w:rsidR="009838E2">
        <w:t xml:space="preserve">cognitive process concerning memory, attention, emotion and problem solving (Tyng et al., 2017). </w:t>
      </w:r>
      <w:r w:rsidR="00072EC8">
        <w:t>Whist i</w:t>
      </w:r>
      <w:r w:rsidR="00881911">
        <w:t xml:space="preserve">t </w:t>
      </w:r>
      <w:r>
        <w:t>is recognised that</w:t>
      </w:r>
      <w:r w:rsidR="00072EC8">
        <w:t xml:space="preserve"> there are several</w:t>
      </w:r>
      <w:r>
        <w:t xml:space="preserve"> learning </w:t>
      </w:r>
      <w:r w:rsidR="00072EC8">
        <w:t>and educational</w:t>
      </w:r>
      <w:r>
        <w:t xml:space="preserve"> theories </w:t>
      </w:r>
      <w:r w:rsidR="00072EC8">
        <w:t xml:space="preserve">within </w:t>
      </w:r>
    </w:p>
    <w:p w14:paraId="54395A6B" w14:textId="0A553A98" w:rsidR="006D6A16" w:rsidRDefault="00072EC8" w:rsidP="0019021C">
      <w:pPr>
        <w:spacing w:line="360" w:lineRule="auto"/>
      </w:pPr>
      <w:r>
        <w:t>psychology</w:t>
      </w:r>
      <w:r w:rsidR="009838E2">
        <w:t xml:space="preserve"> to explain the learning process, for instance</w:t>
      </w:r>
      <w:r>
        <w:t xml:space="preserve"> behaviourist, cognitivist and social learning theory, this assignment will focus</w:t>
      </w:r>
      <w:r w:rsidR="009838E2">
        <w:t xml:space="preserve"> only</w:t>
      </w:r>
      <w:r>
        <w:t xml:space="preserve"> on behaviourism</w:t>
      </w:r>
      <w:r w:rsidR="009838E2">
        <w:t xml:space="preserve">, specifically operant conditioning. </w:t>
      </w:r>
      <w:r w:rsidR="006D6A16">
        <w:t xml:space="preserve"> </w:t>
      </w:r>
    </w:p>
    <w:p w14:paraId="5E274AB7" w14:textId="77777777" w:rsidR="006D6A16" w:rsidRDefault="006D6A16" w:rsidP="001B4B06">
      <w:pPr>
        <w:spacing w:line="360" w:lineRule="auto"/>
      </w:pPr>
    </w:p>
    <w:p w14:paraId="771E822D" w14:textId="6E47437C" w:rsidR="00D30FFB" w:rsidRDefault="00072EC8" w:rsidP="001B4B06">
      <w:pPr>
        <w:spacing w:line="360" w:lineRule="auto"/>
      </w:pPr>
      <w:r>
        <w:t xml:space="preserve"> Key research by seminal author B.F. Skinner</w:t>
      </w:r>
      <w:r w:rsidR="00D30FFB">
        <w:t xml:space="preserve"> </w:t>
      </w:r>
      <w:r w:rsidR="009F5453">
        <w:t xml:space="preserve">will be considered surrounding his influential research on operant conditioning. Skinner adapted the work of early behaviourists </w:t>
      </w:r>
      <w:r w:rsidR="002F7544">
        <w:t>and their theories of learning by association</w:t>
      </w:r>
      <w:r w:rsidR="001073F4">
        <w:t xml:space="preserve"> and observable behaviours</w:t>
      </w:r>
      <w:r w:rsidR="002F7544">
        <w:t>, and applied</w:t>
      </w:r>
      <w:r w:rsidR="009F5453">
        <w:t xml:space="preserve"> operant conditioning to </w:t>
      </w:r>
      <w:r w:rsidR="00AF30A3">
        <w:t xml:space="preserve">explain how behaviour </w:t>
      </w:r>
      <w:r w:rsidR="002F7544">
        <w:t xml:space="preserve">is learnt and consequentially shaped by the consequences of </w:t>
      </w:r>
      <w:r w:rsidR="00D66997">
        <w:t xml:space="preserve">the </w:t>
      </w:r>
      <w:r w:rsidR="002F7544">
        <w:t>actions influencing a certain behaviour</w:t>
      </w:r>
      <w:r w:rsidR="0070226F">
        <w:t xml:space="preserve"> (Aubrey &amp; Riley, 2022)</w:t>
      </w:r>
      <w:r w:rsidR="002F7544">
        <w:t xml:space="preserve">. </w:t>
      </w:r>
      <w:r w:rsidR="001073F4">
        <w:t>Demonstrating this with experiments on animals as opposed to theory alone, he</w:t>
      </w:r>
      <w:r w:rsidR="002F7544">
        <w:t xml:space="preserve"> proposed </w:t>
      </w:r>
      <w:r w:rsidR="001073F4">
        <w:t>individuals demonstrated an element of free will, but ultimately are highly influenced by both p</w:t>
      </w:r>
      <w:r w:rsidR="002F7544">
        <w:t>ositive and negative reinforcers</w:t>
      </w:r>
      <w:r w:rsidR="001073F4">
        <w:t xml:space="preserve"> </w:t>
      </w:r>
      <w:r w:rsidR="002F7544">
        <w:t xml:space="preserve">in the shaping </w:t>
      </w:r>
      <w:r w:rsidR="001073F4">
        <w:t xml:space="preserve">and learning </w:t>
      </w:r>
      <w:r w:rsidR="002F7544">
        <w:t>of behaviours and the likelihood of those behaviours being repeated, or not</w:t>
      </w:r>
      <w:r w:rsidR="001073F4">
        <w:t xml:space="preserve"> (Howell, 2020)</w:t>
      </w:r>
      <w:r w:rsidR="002F7544">
        <w:t>.</w:t>
      </w:r>
      <w:r w:rsidR="00E029FC">
        <w:t xml:space="preserve"> Whilst Skinners animal experiments did receive criticism and disapproval from many, he believed it a necessary aspect of the theory as it demonstrated how the same, observable change in behaviours could be</w:t>
      </w:r>
      <w:r w:rsidR="005F58F3">
        <w:t xml:space="preserve"> seen and</w:t>
      </w:r>
      <w:r w:rsidR="00E029FC">
        <w:t xml:space="preserve"> applied to humans (Baars, 2003). </w:t>
      </w:r>
    </w:p>
    <w:p w14:paraId="3EF4D1F3" w14:textId="51273251" w:rsidR="00023165" w:rsidRDefault="00023165" w:rsidP="001B4B06">
      <w:pPr>
        <w:spacing w:line="360" w:lineRule="auto"/>
      </w:pPr>
    </w:p>
    <w:p w14:paraId="39E32B22" w14:textId="2463ACD9" w:rsidR="000041D9" w:rsidRDefault="00023165" w:rsidP="001B4B06">
      <w:pPr>
        <w:spacing w:line="360" w:lineRule="auto"/>
      </w:pPr>
      <w:r>
        <w:t xml:space="preserve">Reinforcement is a critical aspect of operant </w:t>
      </w:r>
      <w:r w:rsidR="00475E54">
        <w:t>conditioning and</w:t>
      </w:r>
      <w:r>
        <w:t xml:space="preserve"> is considered as any event that strengthens the behaviour it follows, therefore reinforced behaviours occur more frequently </w:t>
      </w:r>
      <w:r w:rsidR="007B730B">
        <w:t>and</w:t>
      </w:r>
      <w:r>
        <w:t xml:space="preserve"> will increase over time</w:t>
      </w:r>
      <w:r w:rsidR="00A120A1">
        <w:t xml:space="preserve"> (Shahan, 2017). </w:t>
      </w:r>
      <w:r w:rsidR="00405C81">
        <w:rPr>
          <w:rFonts w:cstheme="minorHAnsi"/>
          <w:shd w:val="clear" w:color="auto" w:fill="FFFFFF"/>
        </w:rPr>
        <w:t xml:space="preserve">According to </w:t>
      </w:r>
      <w:r w:rsidR="004701D9">
        <w:rPr>
          <w:rFonts w:cstheme="minorHAnsi"/>
          <w:shd w:val="clear" w:color="auto" w:fill="FFFFFF"/>
        </w:rPr>
        <w:t xml:space="preserve">current literature </w:t>
      </w:r>
      <w:r w:rsidR="00405C81">
        <w:rPr>
          <w:rFonts w:cstheme="minorHAnsi"/>
          <w:shd w:val="clear" w:color="auto" w:fill="FFFFFF"/>
        </w:rPr>
        <w:t>there are four main types of reinforcement: natural, social, tangible and token</w:t>
      </w:r>
      <w:r w:rsidR="004701D9">
        <w:rPr>
          <w:rFonts w:cstheme="minorHAnsi"/>
          <w:shd w:val="clear" w:color="auto" w:fill="FFFFFF"/>
        </w:rPr>
        <w:t xml:space="preserve"> (Aubrey &amp; Riley, 2022)</w:t>
      </w:r>
      <w:r w:rsidR="00405C81">
        <w:rPr>
          <w:rFonts w:cstheme="minorHAnsi"/>
          <w:shd w:val="clear" w:color="auto" w:fill="FFFFFF"/>
        </w:rPr>
        <w:t xml:space="preserve">. </w:t>
      </w:r>
      <w:r w:rsidR="007D1DE8">
        <w:t xml:space="preserve">Positive reinforcement occurs when a behaviour elicits a new, pleasurable stimulus, thus strengthening the desired behaviour. </w:t>
      </w:r>
      <w:r w:rsidR="002B13E9">
        <w:t>For example, a child who has been well behaved in class</w:t>
      </w:r>
      <w:r w:rsidR="009B36D9">
        <w:t xml:space="preserve"> can get </w:t>
      </w:r>
      <w:r w:rsidR="00405C81">
        <w:t xml:space="preserve">a tangible </w:t>
      </w:r>
      <w:r w:rsidR="009B36D9">
        <w:t xml:space="preserve">reward by way of a snack, extra break time or toy privileges. </w:t>
      </w:r>
      <w:r w:rsidR="000041D9">
        <w:t xml:space="preserve">Recent </w:t>
      </w:r>
      <w:r w:rsidR="00687EA3">
        <w:t xml:space="preserve">literature from Hardy and McLeod (2020) </w:t>
      </w:r>
      <w:r w:rsidR="004F773F">
        <w:t xml:space="preserve">explored elements necessary to positive reinforcement following national guidelines established from the National Association for the Education of Young Children (NAEYC, 2009). </w:t>
      </w:r>
      <w:r w:rsidR="00817404">
        <w:t>These guidelines can assist teachers in the following eight domains; determin</w:t>
      </w:r>
      <w:r w:rsidR="00363695">
        <w:t>ing</w:t>
      </w:r>
      <w:r w:rsidR="00817404">
        <w:t xml:space="preserve"> child preference, determine child’s strengths and needs, strategic use of reinforcement, embed reinforcement into routine activities, the role of the relationship, collaboration with families, evaluate effectiveness of the reinforcement.</w:t>
      </w:r>
      <w:r w:rsidR="00662F24">
        <w:t xml:space="preserve"> </w:t>
      </w:r>
      <w:r w:rsidR="00371C4A">
        <w:lastRenderedPageBreak/>
        <w:t>With consideration of</w:t>
      </w:r>
      <w:r w:rsidR="00662F24">
        <w:t xml:space="preserve"> the guidelines, teachers can be better equipped to offer reinforcement appropriate to the child. This can be done through utilisation of a choice board, where picture representations </w:t>
      </w:r>
      <w:r w:rsidR="00E3207E">
        <w:t>allow</w:t>
      </w:r>
      <w:r w:rsidR="00662F24">
        <w:t xml:space="preserve"> pupil</w:t>
      </w:r>
      <w:r w:rsidR="00E3207E">
        <w:t>s</w:t>
      </w:r>
      <w:r w:rsidR="00662F24">
        <w:t xml:space="preserve"> to choose one of their favourite activities, </w:t>
      </w:r>
      <w:r w:rsidR="00E3207E">
        <w:t xml:space="preserve">a token board where a set amount of tokens can be exchanged for a certain incentive and class or group points </w:t>
      </w:r>
      <w:r w:rsidR="00371C4A">
        <w:t xml:space="preserve">to </w:t>
      </w:r>
      <w:r w:rsidR="00E3207E">
        <w:t>encourage pupils to engage in cooperation with others</w:t>
      </w:r>
      <w:r w:rsidR="00371C4A">
        <w:t xml:space="preserve"> and team building skills</w:t>
      </w:r>
      <w:r w:rsidR="00E3207E">
        <w:t>, the latter being more suited to children of older age groups</w:t>
      </w:r>
      <w:r w:rsidR="008E764F">
        <w:t xml:space="preserve"> (Gray &amp; MacBlain, 2015)</w:t>
      </w:r>
      <w:r w:rsidR="00E3207E">
        <w:t xml:space="preserve">. </w:t>
      </w:r>
    </w:p>
    <w:p w14:paraId="59F9F276" w14:textId="77777777" w:rsidR="000041D9" w:rsidRDefault="000041D9" w:rsidP="001B4B06">
      <w:pPr>
        <w:spacing w:line="360" w:lineRule="auto"/>
      </w:pPr>
    </w:p>
    <w:p w14:paraId="152C5F6F" w14:textId="4F7F41F8" w:rsidR="009B36D9" w:rsidRDefault="00AE202C" w:rsidP="001B4B06">
      <w:pPr>
        <w:spacing w:line="360" w:lineRule="auto"/>
      </w:pPr>
      <w:r>
        <w:t>However, Hardy and McLeod (2020)</w:t>
      </w:r>
      <w:r w:rsidR="00F736CB">
        <w:t xml:space="preserve"> go on to </w:t>
      </w:r>
      <w:r>
        <w:t xml:space="preserve">criticise some elements of reinforcement, </w:t>
      </w:r>
      <w:r w:rsidR="00F736CB">
        <w:t>indicating</w:t>
      </w:r>
      <w:r>
        <w:t xml:space="preserve"> that teachers will often misunderstand and commonly make the mistake of reinforcing the pupil, rather than reinforcing the behaviour. Professionals now are being urged to offer praise as positive reinforcement, rather than tangible items or incentives.</w:t>
      </w:r>
      <w:r w:rsidR="000041D9">
        <w:t xml:space="preserve"> </w:t>
      </w:r>
      <w:r w:rsidR="00662F24">
        <w:t>Additionally, it is well supported in the literature that positive reinforcement is most effective when delivered immediately after or as close to the desired behaviour as possible. However, this cannot always be possible, especially when the reward includes activities around break time, something which the child must wait for with the rest of the class</w:t>
      </w:r>
      <w:r w:rsidR="00F736CB">
        <w:t xml:space="preserve"> (Jolstead et al., 2017)</w:t>
      </w:r>
      <w:r w:rsidR="00662F24">
        <w:t xml:space="preserve">. </w:t>
      </w:r>
    </w:p>
    <w:p w14:paraId="312E5056" w14:textId="58CCBC72" w:rsidR="00F736CB" w:rsidRDefault="00F736CB" w:rsidP="001B4B06">
      <w:pPr>
        <w:spacing w:line="360" w:lineRule="auto"/>
      </w:pPr>
    </w:p>
    <w:p w14:paraId="3E5EF7BD" w14:textId="25C33A61" w:rsidR="00CD1BE7" w:rsidRDefault="00F736CB" w:rsidP="001B4B06">
      <w:pPr>
        <w:spacing w:line="360" w:lineRule="auto"/>
        <w:rPr>
          <w:rFonts w:cstheme="minorHAnsi"/>
          <w:shd w:val="clear" w:color="auto" w:fill="FFFFFF"/>
        </w:rPr>
      </w:pPr>
      <w:r>
        <w:rPr>
          <w:rFonts w:cstheme="minorHAnsi"/>
          <w:shd w:val="clear" w:color="auto" w:fill="FFFFFF"/>
        </w:rPr>
        <w:t>Reinforcement schedules should also be considered to wean reinforcement over time</w:t>
      </w:r>
      <w:r w:rsidR="00CD1BE7">
        <w:rPr>
          <w:rFonts w:cstheme="minorHAnsi"/>
          <w:shd w:val="clear" w:color="auto" w:fill="FFFFFF"/>
        </w:rPr>
        <w:t xml:space="preserve"> until the behaviour occurs naturally to the child, rather than doing it for praise or approval</w:t>
      </w:r>
      <w:r>
        <w:rPr>
          <w:rFonts w:cstheme="minorHAnsi"/>
          <w:shd w:val="clear" w:color="auto" w:fill="FFFFFF"/>
        </w:rPr>
        <w:t xml:space="preserve">. </w:t>
      </w:r>
      <w:r w:rsidR="00CD1BE7">
        <w:rPr>
          <w:rFonts w:cstheme="minorHAnsi"/>
          <w:shd w:val="clear" w:color="auto" w:fill="FFFFFF"/>
        </w:rPr>
        <w:t>C</w:t>
      </w:r>
      <w:r>
        <w:rPr>
          <w:rFonts w:cstheme="minorHAnsi"/>
          <w:shd w:val="clear" w:color="auto" w:fill="FFFFFF"/>
        </w:rPr>
        <w:t>ontinuous</w:t>
      </w:r>
      <w:r w:rsidR="00CD1BE7">
        <w:rPr>
          <w:rFonts w:cstheme="minorHAnsi"/>
          <w:shd w:val="clear" w:color="auto" w:fill="FFFFFF"/>
        </w:rPr>
        <w:t xml:space="preserve"> reinforcement occurs each and every time a desired behaviour is performed, reinforcement in this way assures results and quick rates of learning. Fixed-interval reinforcement occurs after a behaviour is displayed a</w:t>
      </w:r>
      <w:r w:rsidR="00C00598">
        <w:rPr>
          <w:rFonts w:cstheme="minorHAnsi"/>
          <w:shd w:val="clear" w:color="auto" w:fill="FFFFFF"/>
        </w:rPr>
        <w:t xml:space="preserve">fter a set period </w:t>
      </w:r>
      <w:r w:rsidR="00CD1BE7">
        <w:rPr>
          <w:rFonts w:cstheme="minorHAnsi"/>
          <w:shd w:val="clear" w:color="auto" w:fill="FFFFFF"/>
        </w:rPr>
        <w:t>of time</w:t>
      </w:r>
      <w:r w:rsidR="00C00598">
        <w:rPr>
          <w:rFonts w:cstheme="minorHAnsi"/>
          <w:shd w:val="clear" w:color="auto" w:fill="FFFFFF"/>
        </w:rPr>
        <w:t>, t</w:t>
      </w:r>
      <w:r w:rsidR="00A673AD">
        <w:rPr>
          <w:rFonts w:cstheme="minorHAnsi"/>
          <w:shd w:val="clear" w:color="auto" w:fill="FFFFFF"/>
        </w:rPr>
        <w:t xml:space="preserve">his provides fair results in response rate, but this can dwindle if reinforcement is not given once the </w:t>
      </w:r>
      <w:r w:rsidR="00C00598">
        <w:rPr>
          <w:rFonts w:cstheme="minorHAnsi"/>
          <w:shd w:val="clear" w:color="auto" w:fill="FFFFFF"/>
        </w:rPr>
        <w:t>expected time</w:t>
      </w:r>
      <w:r w:rsidR="00A673AD">
        <w:rPr>
          <w:rFonts w:cstheme="minorHAnsi"/>
          <w:shd w:val="clear" w:color="auto" w:fill="FFFFFF"/>
        </w:rPr>
        <w:t xml:space="preserve"> </w:t>
      </w:r>
      <w:r w:rsidR="00C00598">
        <w:rPr>
          <w:rFonts w:cstheme="minorHAnsi"/>
          <w:shd w:val="clear" w:color="auto" w:fill="FFFFFF"/>
        </w:rPr>
        <w:t>has passed (Tanno, 2016)</w:t>
      </w:r>
      <w:r w:rsidR="00A673AD">
        <w:rPr>
          <w:rFonts w:cstheme="minorHAnsi"/>
          <w:shd w:val="clear" w:color="auto" w:fill="FFFFFF"/>
        </w:rPr>
        <w:t>. Variable-interval reinforcement occurs when reinforcement is given after an undetermined number of times</w:t>
      </w:r>
      <w:r w:rsidR="0054173A">
        <w:rPr>
          <w:rFonts w:cstheme="minorHAnsi"/>
          <w:shd w:val="clear" w:color="auto" w:fill="FFFFFF"/>
        </w:rPr>
        <w:t>, demonstrating a higher response rate and slower extinction</w:t>
      </w:r>
      <w:r w:rsidR="00E21A7A">
        <w:rPr>
          <w:rFonts w:cstheme="minorHAnsi"/>
          <w:shd w:val="clear" w:color="auto" w:fill="FFFFFF"/>
        </w:rPr>
        <w:t xml:space="preserve"> rates</w:t>
      </w:r>
      <w:r w:rsidR="0054173A">
        <w:rPr>
          <w:rFonts w:cstheme="minorHAnsi"/>
          <w:shd w:val="clear" w:color="auto" w:fill="FFFFFF"/>
        </w:rPr>
        <w:t xml:space="preserve"> </w:t>
      </w:r>
      <w:r w:rsidR="0054173A" w:rsidRPr="0054173A">
        <w:rPr>
          <w:rFonts w:cstheme="minorHAnsi"/>
          <w:shd w:val="clear" w:color="auto" w:fill="FFFFFF"/>
        </w:rPr>
        <w:t>(Woolfolk, 2016).</w:t>
      </w:r>
      <w:r w:rsidR="0054173A">
        <w:rPr>
          <w:rFonts w:cstheme="minorHAnsi"/>
          <w:shd w:val="clear" w:color="auto" w:fill="FFFFFF"/>
        </w:rPr>
        <w:t xml:space="preserve"> </w:t>
      </w:r>
      <w:r w:rsidR="00C00598">
        <w:rPr>
          <w:rFonts w:cstheme="minorHAnsi"/>
          <w:shd w:val="clear" w:color="auto" w:fill="FFFFFF"/>
        </w:rPr>
        <w:t xml:space="preserve">Fixed-ratio reinforcement offers reinforcement of a behaviour after it has been performed a set number of times, as in the example of a token board. </w:t>
      </w:r>
      <w:r w:rsidR="004D3514">
        <w:rPr>
          <w:rFonts w:cstheme="minorHAnsi"/>
          <w:shd w:val="clear" w:color="auto" w:fill="FFFFFF"/>
        </w:rPr>
        <w:t>This produces a rapid response rate, but also a rapid decline if the desired behaviour is performed for a certain amount of times but not rewarded. Variable-ratio reinforcement occurs when behaviour is performed after a varied number of times</w:t>
      </w:r>
      <w:r w:rsidR="00EB2DCE">
        <w:rPr>
          <w:rFonts w:cstheme="minorHAnsi"/>
          <w:shd w:val="clear" w:color="auto" w:fill="FFFFFF"/>
        </w:rPr>
        <w:t xml:space="preserve">, the element of not knowing when reinforcement is going to come produces high response rates and </w:t>
      </w:r>
      <w:r w:rsidR="00A4255C">
        <w:rPr>
          <w:rFonts w:cstheme="minorHAnsi"/>
          <w:shd w:val="clear" w:color="auto" w:fill="FFFFFF"/>
        </w:rPr>
        <w:t xml:space="preserve">slow elimination rates (Tanno &amp; Silberberg, 2015). </w:t>
      </w:r>
    </w:p>
    <w:p w14:paraId="5EC3C905" w14:textId="77777777" w:rsidR="00405C81" w:rsidRDefault="00405C81" w:rsidP="002756AE">
      <w:pPr>
        <w:spacing w:line="360" w:lineRule="auto"/>
        <w:rPr>
          <w:rFonts w:cstheme="minorHAnsi"/>
          <w:shd w:val="clear" w:color="auto" w:fill="FFFFFF"/>
        </w:rPr>
      </w:pPr>
    </w:p>
    <w:p w14:paraId="06C8CF56" w14:textId="7C40D8A2" w:rsidR="002756AE" w:rsidRDefault="002756AE" w:rsidP="002756AE">
      <w:pPr>
        <w:spacing w:line="360" w:lineRule="auto"/>
        <w:rPr>
          <w:rFonts w:cstheme="minorHAnsi"/>
          <w:shd w:val="clear" w:color="auto" w:fill="FFFFFF"/>
        </w:rPr>
      </w:pPr>
      <w:r>
        <w:rPr>
          <w:rFonts w:cstheme="minorHAnsi"/>
          <w:shd w:val="clear" w:color="auto" w:fill="FFFFFF"/>
        </w:rPr>
        <w:lastRenderedPageBreak/>
        <w:t xml:space="preserve">A recent study by Mantasiah et al. (2021) looked at the amount of positive reinforcement given by teachers and how teaching methods were affected when pupils were home schooled during the COVID-19 pandemic. By way of a mixed method study, 310 primary school teachers participated. Interestingly, this study revealed a general lack of understanding around positive reinforcement, stating the majority of teachers thought appropriate positive reinforcement was when the child would be rewarded with a physical object, be it a toy or a snack. Many teachers underestimated the importance of verbal positive reinforcement as equally essential, not only to reinforce the learning process, but also increase pupil motivation and self-esteem (Moyano et al., 2020). Aside from the obvious barriers noted of lack of face-to-face interaction, virtual classrooms and increased use of social media, teachers reported pandemic teaching methods prevented them from giving the same level of positive verbal reinforcement as they would in the conventional classroom setting. One possibility to explain this could be the increased pressure and expectations placed on teachers and education providers to quickly alter and adapt teaching delivery methods in unforeseen circumstances (Ratten, 2020). </w:t>
      </w:r>
    </w:p>
    <w:p w14:paraId="60C6BD0E" w14:textId="77777777" w:rsidR="002756AE" w:rsidRDefault="002756AE" w:rsidP="002756AE">
      <w:pPr>
        <w:spacing w:line="360" w:lineRule="auto"/>
        <w:rPr>
          <w:rFonts w:cstheme="minorHAnsi"/>
          <w:shd w:val="clear" w:color="auto" w:fill="FFFFFF"/>
        </w:rPr>
      </w:pPr>
    </w:p>
    <w:p w14:paraId="3DB93F93" w14:textId="5CF8B736" w:rsidR="002756AE" w:rsidRPr="00997914" w:rsidRDefault="002756AE" w:rsidP="001B4B06">
      <w:pPr>
        <w:spacing w:line="360" w:lineRule="auto"/>
        <w:rPr>
          <w:rFonts w:cstheme="minorHAnsi"/>
          <w:shd w:val="clear" w:color="auto" w:fill="FFFFFF"/>
        </w:rPr>
      </w:pPr>
      <w:r>
        <w:rPr>
          <w:rFonts w:cstheme="minorHAnsi"/>
          <w:shd w:val="clear" w:color="auto" w:fill="FFFFFF"/>
        </w:rPr>
        <w:t>This study also examined whether gender differences played a part in the type and amount of positive reinforcement given. Mantasiah et al. (2021) revealed female teachers overall gave more positive verbal reinforcement when compared to their male counterparts, likening this to the belief that females tend to build better relationships with pupils compared to males (Tench et al., 2017). On the other hand, research by Ozkan et al. (2014) and Hoon et al. (2017) argue that similar studies have presented no significant gender difference, and the amount of positive reinforcement given as the same for male and female teachers. Conversely, it is important to note that the above studies do not comment on the types of reinforcement given by male and female teachers, merely the frequency of. Going forward, this could offer a useful area to explore in future research to promote application of efficient and gold standard teaching practice</w:t>
      </w:r>
      <w:r w:rsidR="00405C81">
        <w:rPr>
          <w:rFonts w:cstheme="minorHAnsi"/>
          <w:shd w:val="clear" w:color="auto" w:fill="FFFFFF"/>
        </w:rPr>
        <w:t xml:space="preserve"> to eliminate challenging behaviours in the classroom. </w:t>
      </w:r>
    </w:p>
    <w:p w14:paraId="7E5E6757" w14:textId="06AF7C28" w:rsidR="009B36D9" w:rsidRDefault="009B36D9" w:rsidP="001B4B06">
      <w:pPr>
        <w:spacing w:line="360" w:lineRule="auto"/>
      </w:pPr>
    </w:p>
    <w:p w14:paraId="7829E0A7" w14:textId="35D08CE5" w:rsidR="00D7544D" w:rsidRDefault="007D1DE8" w:rsidP="001B4B06">
      <w:pPr>
        <w:spacing w:line="360" w:lineRule="auto"/>
      </w:pPr>
      <w:r>
        <w:t xml:space="preserve">Negative reinforcement occurs as an unpleasant response to a behaviour or removal of the unpleasant stimulus, thus discouraging undesired behaviours (Gray &amp; MacBlain, 2015). </w:t>
      </w:r>
      <w:r w:rsidR="001E5647">
        <w:t xml:space="preserve">According to Skinner, use of negative reinforcement is the most effective way of eliminating disruption and challenging classroom behaviours. For example, a child who shouts out in class and constantly gets out of their seat disturbing the rest of the class </w:t>
      </w:r>
      <w:r w:rsidR="00E21A7A">
        <w:t>can have</w:t>
      </w:r>
      <w:r w:rsidR="001E5647">
        <w:t xml:space="preserve"> a huge negative impact on the classroom as a whole. In this instance, the teacher can</w:t>
      </w:r>
      <w:r w:rsidR="00E21A7A">
        <w:t xml:space="preserve"> choose to</w:t>
      </w:r>
      <w:r w:rsidR="001E5647">
        <w:t xml:space="preserve"> ignore the child, not affording them the </w:t>
      </w:r>
      <w:r w:rsidR="001E5647">
        <w:lastRenderedPageBreak/>
        <w:t xml:space="preserve">attention they want and they should realise that this type of behaviour does not provoke the desired reaction (Aubrey &amp; Riley, 2022). </w:t>
      </w:r>
      <w:r w:rsidR="00E21A7A">
        <w:t>However,</w:t>
      </w:r>
      <w:r w:rsidR="00107521">
        <w:t xml:space="preserve"> this can be quite challenging and requires </w:t>
      </w:r>
      <w:r w:rsidR="00E21A7A">
        <w:t xml:space="preserve">a great deal of commitment from </w:t>
      </w:r>
      <w:r w:rsidR="00107521">
        <w:t>teachers to persevere</w:t>
      </w:r>
      <w:r w:rsidR="00247FDA">
        <w:t xml:space="preserve"> as individuals who disrupt the class not only hinder their own learning opportunities, but also other pupils in the class</w:t>
      </w:r>
      <w:r w:rsidR="00E21A7A">
        <w:t>. U</w:t>
      </w:r>
      <w:r w:rsidR="00247FDA">
        <w:t xml:space="preserve">nmanageable learning environments are evidenced to be futile for long term, effective learning experiences (Kelly &amp; Pohl, 2018). </w:t>
      </w:r>
      <w:r w:rsidR="00D7544D">
        <w:t>Other examples of how negative behaviour could be effective in this scenario is removal from a group or play activity, time out, not getting to play with their favourite game or toy, not getting to play outside at break time or removal of a star from a star chart</w:t>
      </w:r>
      <w:r w:rsidR="007E5ED2">
        <w:t xml:space="preserve">. Much of the existing literature surrounding this topic comments on the importance of establishing with the child the nature of the negative reinforcement and </w:t>
      </w:r>
      <w:r w:rsidR="00E21A7A">
        <w:t xml:space="preserve">this </w:t>
      </w:r>
      <w:r w:rsidR="007E5ED2">
        <w:t>should be implemented as something which would have a significant impact. For example, a child who does not enjoy playing outside, would not look to change their behaviour if that was the consequence.</w:t>
      </w:r>
      <w:r w:rsidR="0019021C">
        <w:t xml:space="preserve"> Teachers can also provide children with an </w:t>
      </w:r>
      <w:r w:rsidR="00E21A7A">
        <w:t xml:space="preserve">additional </w:t>
      </w:r>
      <w:r w:rsidR="0019021C">
        <w:t>element of choice, for example completion of a particular task in class mean</w:t>
      </w:r>
      <w:r w:rsidR="00E21A7A">
        <w:t>ing</w:t>
      </w:r>
      <w:r w:rsidR="0019021C">
        <w:t xml:space="preserve"> they don’t have to do it as homework </w:t>
      </w:r>
      <w:r w:rsidR="00E21A7A">
        <w:t>could</w:t>
      </w:r>
      <w:r w:rsidR="0019021C">
        <w:t xml:space="preserve"> incentivise children to get the work finished, thus escaping the negative consequence of having homework. Similarly, teachers could request that everything must be tidied and put away before they can leave for break time, the longer this takes the class, the less time they have for their break (</w:t>
      </w:r>
      <w:r w:rsidR="00BC565A">
        <w:t>Woolfolk, 2016).</w:t>
      </w:r>
      <w:r w:rsidR="007E5ED2">
        <w:t xml:space="preserve"> Likewise, determination of both positive and negative reinforcement are most beneficial when established among teacher, child and family members</w:t>
      </w:r>
      <w:r w:rsidR="00643501">
        <w:t xml:space="preserve">, giving all parties a sense of ownership and responsibility to continue to implement such interventions in the home environment (Chandra, 2015). </w:t>
      </w:r>
    </w:p>
    <w:p w14:paraId="7D6BAA0D" w14:textId="77777777" w:rsidR="00D7544D" w:rsidRDefault="00D7544D" w:rsidP="001B4B06">
      <w:pPr>
        <w:spacing w:line="360" w:lineRule="auto"/>
      </w:pPr>
    </w:p>
    <w:p w14:paraId="36A7857E" w14:textId="77777777" w:rsidR="003340CD" w:rsidRDefault="003340CD" w:rsidP="001B4B06">
      <w:pPr>
        <w:spacing w:line="360" w:lineRule="auto"/>
      </w:pPr>
    </w:p>
    <w:p w14:paraId="67C21B80" w14:textId="6B05D763" w:rsidR="00023165" w:rsidRPr="003340CD" w:rsidRDefault="006E3C76" w:rsidP="001B4B06">
      <w:pPr>
        <w:spacing w:line="360" w:lineRule="auto"/>
        <w:rPr>
          <w:color w:val="FF0000"/>
        </w:rPr>
      </w:pPr>
      <w:r>
        <w:t>Whilst both positive and negative reinforcement can strengthen behaviours</w:t>
      </w:r>
      <w:r w:rsidR="00E432A7">
        <w:t xml:space="preserve">, clear distinction should be made between negative reinforcement and </w:t>
      </w:r>
      <w:r w:rsidR="00E432A7" w:rsidRPr="00A30024">
        <w:t>punishment</w:t>
      </w:r>
      <w:r w:rsidR="00A30024">
        <w:t>. Punishment is predominantly designed to diminish a behaviour, associating it with an unpleasant consequence means likelihood of that behaviour being repeated becomes supressed</w:t>
      </w:r>
      <w:r w:rsidR="003C4E5E">
        <w:t>. According to Howell (2020) punishment can only be effective if given immediately after the undesired behaviour.</w:t>
      </w:r>
      <w:r w:rsidR="00EB501B">
        <w:t xml:space="preserve"> </w:t>
      </w:r>
      <w:r w:rsidR="00D104E8">
        <w:t>Also</w:t>
      </w:r>
      <w:r w:rsidR="00EB501B">
        <w:t>, for punishment to be effective it must be appropriate and relate to the context of the behaviour and not cause any due harm or distress (Howell, 2020).</w:t>
      </w:r>
      <w:r w:rsidR="003340CD">
        <w:rPr>
          <w:color w:val="FF0000"/>
        </w:rPr>
        <w:t xml:space="preserve"> </w:t>
      </w:r>
      <w:r w:rsidR="002E419A">
        <w:t>A criticism of punishment is highlighted by</w:t>
      </w:r>
      <w:r w:rsidR="00E432A7">
        <w:t xml:space="preserve"> (</w:t>
      </w:r>
      <w:r w:rsidR="00C079E1">
        <w:t>Saxena</w:t>
      </w:r>
      <w:r w:rsidR="00E4416E">
        <w:t xml:space="preserve"> et al.,</w:t>
      </w:r>
      <w:r w:rsidR="00C079E1">
        <w:t xml:space="preserve"> 2021</w:t>
      </w:r>
      <w:r w:rsidR="00E432A7">
        <w:t>)</w:t>
      </w:r>
      <w:r w:rsidR="002E419A">
        <w:t xml:space="preserve"> who states</w:t>
      </w:r>
      <w:r w:rsidR="00E432A7">
        <w:t xml:space="preserve"> punished behaviours may not be automatically forgotten, even when they are not actively demonstrated. Therein lies the possibility that once the punishment stops or is removed, the undesired behaviour can return. Many argue the effectiveness of punishment in this way as it does not guide towards desired behaviours, merely temporarily suppresses it</w:t>
      </w:r>
      <w:r w:rsidR="00457769">
        <w:t xml:space="preserve">. </w:t>
      </w:r>
      <w:r w:rsidR="008D40E8">
        <w:t xml:space="preserve">Important to note also is </w:t>
      </w:r>
      <w:r w:rsidR="008D40E8">
        <w:lastRenderedPageBreak/>
        <w:t>the context of the behaviour must be relevant and age appropriate to the child’s ability, asking a child to perform a task which is too advanced for their age</w:t>
      </w:r>
      <w:r w:rsidR="00534A15">
        <w:t xml:space="preserve"> will automatically lead them to give up and stop trying</w:t>
      </w:r>
      <w:r w:rsidR="00E21A7A">
        <w:t xml:space="preserve"> and could even affect their motivation to apply themselves in other areas</w:t>
      </w:r>
      <w:r w:rsidR="00534A15">
        <w:t xml:space="preserve"> (Rafi et al., 2020). </w:t>
      </w:r>
      <w:r w:rsidR="008D40E8">
        <w:t xml:space="preserve"> </w:t>
      </w:r>
    </w:p>
    <w:p w14:paraId="35370AD0" w14:textId="1BA6AF7F" w:rsidR="00A95843" w:rsidRDefault="00A95843" w:rsidP="001B4B06">
      <w:pPr>
        <w:spacing w:line="360" w:lineRule="auto"/>
        <w:rPr>
          <w:rFonts w:cstheme="minorHAnsi"/>
          <w:shd w:val="clear" w:color="auto" w:fill="FFFFFF"/>
        </w:rPr>
      </w:pPr>
    </w:p>
    <w:p w14:paraId="7C8EE0E3" w14:textId="36EE0DB5" w:rsidR="00072EC8" w:rsidRDefault="00072EC8" w:rsidP="001B4B06">
      <w:pPr>
        <w:spacing w:line="360" w:lineRule="auto"/>
      </w:pPr>
      <w:r>
        <w:t xml:space="preserve">The classic </w:t>
      </w:r>
      <w:r w:rsidR="00DD0E9F">
        <w:t>behaviourist</w:t>
      </w:r>
      <w:r>
        <w:t xml:space="preserve"> </w:t>
      </w:r>
      <w:r w:rsidR="00D010AC">
        <w:t>opinion</w:t>
      </w:r>
      <w:r>
        <w:t xml:space="preserve"> takes the view that certain association</w:t>
      </w:r>
      <w:r w:rsidR="00997914">
        <w:t xml:space="preserve"> and </w:t>
      </w:r>
      <w:r>
        <w:t>behaviours are learned more quickly than others</w:t>
      </w:r>
      <w:r w:rsidR="00997914">
        <w:t>, w</w:t>
      </w:r>
      <w:r w:rsidR="00DD0E9F">
        <w:t>hilst learning of other</w:t>
      </w:r>
      <w:r w:rsidR="00D010AC">
        <w:t>, more challenging</w:t>
      </w:r>
      <w:r w:rsidR="00DD0E9F">
        <w:t xml:space="preserve"> skills</w:t>
      </w:r>
      <w:r w:rsidR="00D010AC">
        <w:t xml:space="preserve"> </w:t>
      </w:r>
      <w:r w:rsidR="00DD0E9F">
        <w:t>take</w:t>
      </w:r>
      <w:r w:rsidR="00D010AC">
        <w:t>s</w:t>
      </w:r>
      <w:r w:rsidR="00DD0E9F">
        <w:t xml:space="preserve"> place with </w:t>
      </w:r>
      <w:r w:rsidR="00D010AC">
        <w:t xml:space="preserve">a </w:t>
      </w:r>
      <w:r w:rsidR="00DD0E9F">
        <w:t>small</w:t>
      </w:r>
      <w:r w:rsidR="00D010AC">
        <w:t>er</w:t>
      </w:r>
      <w:r w:rsidR="00DD0E9F">
        <w:t>, incremental</w:t>
      </w:r>
      <w:r w:rsidR="00D010AC">
        <w:t xml:space="preserve"> and</w:t>
      </w:r>
      <w:r w:rsidR="00DD0E9F">
        <w:t xml:space="preserve"> step-wise approach. Skinner put forward the notion that for the best way to achieve this, teachers must have a clearly formulated lesson plan and clear delivery method, introducing new material as a staged approach </w:t>
      </w:r>
      <w:r w:rsidR="001F5F77">
        <w:t>(Gray &amp; Mac</w:t>
      </w:r>
      <w:r w:rsidR="00734E07">
        <w:t>B</w:t>
      </w:r>
      <w:r w:rsidR="001F5F77">
        <w:t>lain, 2015</w:t>
      </w:r>
      <w:r w:rsidR="00DD0E9F">
        <w:t xml:space="preserve">). However, when relating theory to practice this </w:t>
      </w:r>
      <w:r w:rsidR="00475E54">
        <w:t>cannot</w:t>
      </w:r>
      <w:r w:rsidR="00DD0E9F">
        <w:t xml:space="preserve"> always be achieved. Though lesson plans </w:t>
      </w:r>
      <w:r w:rsidR="00B76B7C">
        <w:t>do</w:t>
      </w:r>
      <w:r w:rsidR="00DD0E9F">
        <w:t xml:space="preserve"> provide </w:t>
      </w:r>
      <w:r w:rsidR="00B76B7C">
        <w:t>many</w:t>
      </w:r>
      <w:r w:rsidR="00DD0E9F">
        <w:t xml:space="preserve"> benefits, it may also be necessary for teachers and educators </w:t>
      </w:r>
      <w:r w:rsidR="00B76B7C">
        <w:t xml:space="preserve">to have the insight </w:t>
      </w:r>
      <w:r w:rsidR="00DD0E9F">
        <w:t>to adopt some flexibility in their approach</w:t>
      </w:r>
      <w:r w:rsidR="00B76B7C">
        <w:t>,</w:t>
      </w:r>
      <w:r w:rsidR="00DD0E9F">
        <w:t xml:space="preserve"> accepting that in some circumstances while a lesson plan offers a guide, </w:t>
      </w:r>
      <w:r w:rsidR="00B76B7C">
        <w:t>it should not be solely relied upon to dictate the course</w:t>
      </w:r>
      <w:r w:rsidR="002C408F">
        <w:t xml:space="preserve"> or </w:t>
      </w:r>
      <w:r w:rsidR="009921AE">
        <w:t>content</w:t>
      </w:r>
      <w:r w:rsidR="00B76B7C">
        <w:t xml:space="preserve"> of the lesson</w:t>
      </w:r>
      <w:r w:rsidR="0009162C">
        <w:t xml:space="preserve"> (</w:t>
      </w:r>
      <w:r w:rsidR="00766BCA">
        <w:t>Nurtanto</w:t>
      </w:r>
      <w:r w:rsidR="007307F1">
        <w:t xml:space="preserve"> et </w:t>
      </w:r>
      <w:r w:rsidR="0009162C">
        <w:t>al</w:t>
      </w:r>
      <w:r w:rsidR="007307F1">
        <w:t>.,</w:t>
      </w:r>
      <w:r w:rsidR="0009162C">
        <w:t xml:space="preserve"> 20</w:t>
      </w:r>
      <w:r w:rsidR="007307F1">
        <w:t>21</w:t>
      </w:r>
      <w:r w:rsidR="0009162C">
        <w:t>)</w:t>
      </w:r>
      <w:r w:rsidR="00B76B7C">
        <w:t xml:space="preserve">. </w:t>
      </w:r>
      <w:r w:rsidR="00475E54">
        <w:t>As in the example of virtual lessons during the COVID-19 pandemic, t</w:t>
      </w:r>
      <w:r w:rsidR="00DD0E9F">
        <w:t>eaching</w:t>
      </w:r>
      <w:r w:rsidR="00475E54">
        <w:t xml:space="preserve"> </w:t>
      </w:r>
      <w:r w:rsidR="005A2DFF">
        <w:t>delivery methods may have to be reconsidered and re-evaluated in order to</w:t>
      </w:r>
      <w:r w:rsidR="004964B9">
        <w:t xml:space="preserve"> problem solve and</w:t>
      </w:r>
      <w:r w:rsidR="005A2DFF">
        <w:t xml:space="preserve"> best suit the learning needs </w:t>
      </w:r>
      <w:r w:rsidR="00BA1DD5">
        <w:t xml:space="preserve">and overall outcomes </w:t>
      </w:r>
      <w:r w:rsidR="005A2DFF">
        <w:t xml:space="preserve">of the individual child or classroom as a whole. </w:t>
      </w:r>
      <w:r w:rsidR="00366223">
        <w:t xml:space="preserve">This would </w:t>
      </w:r>
      <w:r w:rsidR="00ED3E78">
        <w:t xml:space="preserve">also </w:t>
      </w:r>
      <w:r w:rsidR="00366223">
        <w:t xml:space="preserve">be typically true in relation to neuro deficient children with </w:t>
      </w:r>
      <w:r w:rsidR="00BA1DD5">
        <w:t xml:space="preserve">such conditions as </w:t>
      </w:r>
      <w:r w:rsidR="0093613B">
        <w:t>attention deficit hyperactivity disorder (ADHD)</w:t>
      </w:r>
      <w:r w:rsidR="00B6110A">
        <w:t xml:space="preserve">, </w:t>
      </w:r>
      <w:r w:rsidR="00BA1DD5">
        <w:t>a</w:t>
      </w:r>
      <w:r w:rsidR="00366223">
        <w:t>utism</w:t>
      </w:r>
      <w:r w:rsidR="00EB2DCE">
        <w:t xml:space="preserve">, </w:t>
      </w:r>
      <w:r w:rsidR="00B6110A">
        <w:t>sensory processing disorder</w:t>
      </w:r>
      <w:r w:rsidR="00EB2DCE">
        <w:t xml:space="preserve"> and selective mutism</w:t>
      </w:r>
      <w:r w:rsidR="00416910">
        <w:t xml:space="preserve"> (Gibbs, 2017)</w:t>
      </w:r>
      <w:r w:rsidR="00EB2DCE">
        <w:t>, (Gray &amp; MacBlain, 2015).</w:t>
      </w:r>
    </w:p>
    <w:p w14:paraId="64832D3C" w14:textId="77777777" w:rsidR="00F548D1" w:rsidRDefault="00F548D1" w:rsidP="001B4B06">
      <w:pPr>
        <w:spacing w:line="360" w:lineRule="auto"/>
      </w:pPr>
    </w:p>
    <w:p w14:paraId="209A3BE1" w14:textId="04F7FFA1" w:rsidR="007A6ADD" w:rsidRDefault="002C408F" w:rsidP="001B4B06">
      <w:pPr>
        <w:spacing w:line="360" w:lineRule="auto"/>
        <w:rPr>
          <w:rFonts w:cstheme="minorHAnsi"/>
          <w:shd w:val="clear" w:color="auto" w:fill="FFFFFF"/>
        </w:rPr>
      </w:pPr>
      <w:r>
        <w:t>A further</w:t>
      </w:r>
      <w:r w:rsidR="007A6ADD">
        <w:t xml:space="preserve"> criticism of Skinners operant conditioning theory was that it simplified the learning process, something which Hoy and Miskel (2013</w:t>
      </w:r>
      <w:r w:rsidR="00667679">
        <w:t>, as cited in Ahmed et al., 2022)</w:t>
      </w:r>
      <w:r w:rsidR="007A6ADD">
        <w:t xml:space="preserve"> argue </w:t>
      </w:r>
      <w:r w:rsidR="00ED3E78">
        <w:t xml:space="preserve">can be </w:t>
      </w:r>
      <w:r w:rsidR="007A6ADD">
        <w:t>appropriate when demonstrating learning in animals, but allows for little consideration for the internal, higher thought process</w:t>
      </w:r>
      <w:r>
        <w:t>es</w:t>
      </w:r>
      <w:r w:rsidR="007A6ADD">
        <w:t xml:space="preserve"> that humans are capable of applying.</w:t>
      </w:r>
      <w:r w:rsidR="00EF55BF">
        <w:t xml:space="preserve"> Many researchers are of the same opinion, stating operant conditioning does not take into consideration the emotional aspects of learning new behaviours</w:t>
      </w:r>
      <w:r w:rsidR="00457769">
        <w:t>, nor does it explain the internal experience for the learner (Saxena</w:t>
      </w:r>
      <w:r w:rsidR="00ED3E78">
        <w:t xml:space="preserve"> et al.</w:t>
      </w:r>
      <w:r w:rsidR="00457769">
        <w:t xml:space="preserve">, 2021). </w:t>
      </w:r>
      <w:r w:rsidR="00B063A1">
        <w:rPr>
          <w:rFonts w:cstheme="minorHAnsi"/>
          <w:shd w:val="clear" w:color="auto" w:fill="FFFFFF"/>
        </w:rPr>
        <w:t>Gray and MacBalin (2015) state</w:t>
      </w:r>
      <w:r>
        <w:rPr>
          <w:rFonts w:cstheme="minorHAnsi"/>
          <w:shd w:val="clear" w:color="auto" w:fill="FFFFFF"/>
        </w:rPr>
        <w:t xml:space="preserve"> the</w:t>
      </w:r>
      <w:r w:rsidR="005753B1">
        <w:rPr>
          <w:rFonts w:cstheme="minorHAnsi"/>
          <w:shd w:val="clear" w:color="auto" w:fill="FFFFFF"/>
        </w:rPr>
        <w:t xml:space="preserve"> behaviourist approach does not fully account for learner motivation, creativity, abstract thinking, reasoning or understanding. For example, a child who has previously been punished for challenging behaviour such as drawing on the walls, may still choose to carry out that behaviour despite </w:t>
      </w:r>
      <w:r>
        <w:rPr>
          <w:rFonts w:cstheme="minorHAnsi"/>
          <w:shd w:val="clear" w:color="auto" w:fill="FFFFFF"/>
        </w:rPr>
        <w:t xml:space="preserve">knowing </w:t>
      </w:r>
      <w:r w:rsidR="005753B1">
        <w:rPr>
          <w:rFonts w:cstheme="minorHAnsi"/>
          <w:shd w:val="clear" w:color="auto" w:fill="FFFFFF"/>
        </w:rPr>
        <w:t xml:space="preserve">the consequences they will face. </w:t>
      </w:r>
      <w:r w:rsidR="003515EA">
        <w:t xml:space="preserve">As a continuation of this, Illeris (2018) states operant conditioning </w:t>
      </w:r>
      <w:r w:rsidR="003515EA">
        <w:rPr>
          <w:rFonts w:cstheme="minorHAnsi"/>
          <w:shd w:val="clear" w:color="auto" w:fill="FFFFFF"/>
        </w:rPr>
        <w:t>exclude</w:t>
      </w:r>
      <w:r w:rsidR="00ED3E78">
        <w:rPr>
          <w:rFonts w:cstheme="minorHAnsi"/>
          <w:shd w:val="clear" w:color="auto" w:fill="FFFFFF"/>
        </w:rPr>
        <w:t>s</w:t>
      </w:r>
      <w:r w:rsidR="003515EA">
        <w:rPr>
          <w:rFonts w:cstheme="minorHAnsi"/>
          <w:shd w:val="clear" w:color="auto" w:fill="FFFFFF"/>
        </w:rPr>
        <w:t xml:space="preserve"> </w:t>
      </w:r>
      <w:r w:rsidR="003515EA" w:rsidRPr="003515EA">
        <w:rPr>
          <w:rFonts w:cstheme="minorHAnsi"/>
          <w:shd w:val="clear" w:color="auto" w:fill="FFFFFF"/>
        </w:rPr>
        <w:t>any</w:t>
      </w:r>
      <w:r w:rsidR="003515EA">
        <w:rPr>
          <w:rFonts w:cstheme="minorHAnsi"/>
          <w:shd w:val="clear" w:color="auto" w:fill="FFFFFF"/>
        </w:rPr>
        <w:t xml:space="preserve"> tangible</w:t>
      </w:r>
      <w:r w:rsidR="003515EA" w:rsidRPr="003515EA">
        <w:rPr>
          <w:rFonts w:cstheme="minorHAnsi"/>
          <w:shd w:val="clear" w:color="auto" w:fill="FFFFFF"/>
        </w:rPr>
        <w:t xml:space="preserve"> concern with </w:t>
      </w:r>
      <w:r w:rsidR="003515EA">
        <w:rPr>
          <w:rFonts w:cstheme="minorHAnsi"/>
          <w:shd w:val="clear" w:color="auto" w:fill="FFFFFF"/>
        </w:rPr>
        <w:t xml:space="preserve">such unique, human </w:t>
      </w:r>
      <w:r w:rsidR="003515EA" w:rsidRPr="003515EA">
        <w:rPr>
          <w:rFonts w:cstheme="minorHAnsi"/>
          <w:shd w:val="clear" w:color="auto" w:fill="FFFFFF"/>
        </w:rPr>
        <w:lastRenderedPageBreak/>
        <w:t>qualities as personal development, meaning,</w:t>
      </w:r>
      <w:r w:rsidR="00ED3E78">
        <w:rPr>
          <w:rFonts w:cstheme="minorHAnsi"/>
          <w:shd w:val="clear" w:color="auto" w:fill="FFFFFF"/>
        </w:rPr>
        <w:t xml:space="preserve"> nurture,</w:t>
      </w:r>
      <w:r w:rsidR="003515EA" w:rsidRPr="003515EA">
        <w:rPr>
          <w:rFonts w:cstheme="minorHAnsi"/>
          <w:shd w:val="clear" w:color="auto" w:fill="FFFFFF"/>
        </w:rPr>
        <w:t xml:space="preserve"> understanding, identity, hope, care, love</w:t>
      </w:r>
      <w:r w:rsidR="003515EA">
        <w:rPr>
          <w:rFonts w:cstheme="minorHAnsi"/>
          <w:shd w:val="clear" w:color="auto" w:fill="FFFFFF"/>
        </w:rPr>
        <w:t xml:space="preserve"> and sociality which can all influence learnt behaviours</w:t>
      </w:r>
      <w:r w:rsidR="009E4D12">
        <w:rPr>
          <w:rFonts w:cstheme="minorHAnsi"/>
          <w:shd w:val="clear" w:color="auto" w:fill="FFFFFF"/>
        </w:rPr>
        <w:t>.</w:t>
      </w:r>
      <w:r w:rsidR="00076856">
        <w:rPr>
          <w:rFonts w:cstheme="minorHAnsi"/>
          <w:shd w:val="clear" w:color="auto" w:fill="FFFFFF"/>
        </w:rPr>
        <w:t xml:space="preserve"> </w:t>
      </w:r>
    </w:p>
    <w:p w14:paraId="1B04556B" w14:textId="104DA6DE" w:rsidR="005C78F4" w:rsidRDefault="005C78F4" w:rsidP="001B4B06">
      <w:pPr>
        <w:spacing w:line="360" w:lineRule="auto"/>
        <w:rPr>
          <w:rFonts w:cstheme="minorHAnsi"/>
          <w:shd w:val="clear" w:color="auto" w:fill="FFFFFF"/>
        </w:rPr>
      </w:pPr>
    </w:p>
    <w:p w14:paraId="474554DE" w14:textId="2BDF0A6D" w:rsidR="005C78F4" w:rsidRDefault="005C78F4" w:rsidP="005C78F4">
      <w:pPr>
        <w:spacing w:line="360" w:lineRule="auto"/>
      </w:pPr>
      <w:r>
        <w:t>Furthermore, existing research indicates positive reinforcement should not only be used in the school setting, but also by families and care givers in the home environment to further cement desired behaviours. According to Scott and Kamps (2007) pupils who frequently present with challenging behaviour</w:t>
      </w:r>
      <w:r w:rsidR="002C408F">
        <w:t>s</w:t>
      </w:r>
      <w:r>
        <w:t xml:space="preserve"> in school, often do so at home also, therefore joint participation between teachers and family members to address challenging behaviour could increase effectiveness and subsequentially improve behaviours over time. Future research in this area could measure the outcomes of such collaborative working and prove advantageous to the long-term management and maintenance of positive behaviours and skills (Dunlap et al., 2006).</w:t>
      </w:r>
    </w:p>
    <w:p w14:paraId="6927D2A2" w14:textId="77777777" w:rsidR="007A6ADD" w:rsidRDefault="007A6ADD" w:rsidP="001B4B06">
      <w:pPr>
        <w:spacing w:line="360" w:lineRule="auto"/>
      </w:pPr>
    </w:p>
    <w:p w14:paraId="184E14D3" w14:textId="058153BB" w:rsidR="00F93F82" w:rsidRPr="005C78F4" w:rsidRDefault="00914D9D" w:rsidP="00884E53">
      <w:pPr>
        <w:spacing w:line="360" w:lineRule="auto"/>
      </w:pPr>
      <w:r>
        <w:t>Nevertheless,</w:t>
      </w:r>
      <w:r w:rsidR="00A120A1">
        <w:t xml:space="preserve"> many researchers</w:t>
      </w:r>
      <w:r>
        <w:t xml:space="preserve"> believe</w:t>
      </w:r>
      <w:r w:rsidR="00A120A1">
        <w:t xml:space="preserve"> operant conditioning still </w:t>
      </w:r>
      <w:r w:rsidR="00BC5DBA">
        <w:t>maintains a very meaningful place in the classroom today</w:t>
      </w:r>
      <w:r>
        <w:t xml:space="preserve">. As it </w:t>
      </w:r>
      <w:r w:rsidR="00BC5DBA">
        <w:t>can</w:t>
      </w:r>
      <w:r w:rsidR="002321F2">
        <w:t>, as demonstrated above,</w:t>
      </w:r>
      <w:r w:rsidR="00BC5DBA">
        <w:t xml:space="preserve"> be applied to assist teaching practices that encourage pupil engagement and development of desired behaviour, reduction of undesired behaviour and overall improvements in learning (Rafi et al., 2020).</w:t>
      </w:r>
      <w:r w:rsidR="00997914">
        <w:t xml:space="preserve"> </w:t>
      </w:r>
      <w:r w:rsidR="00884E53" w:rsidRPr="005C78F4">
        <w:t>As previously mentioned, l</w:t>
      </w:r>
      <w:r w:rsidR="00D30FFB" w:rsidRPr="005C78F4">
        <w:t xml:space="preserve">earning in humans </w:t>
      </w:r>
      <w:r w:rsidR="00884E53" w:rsidRPr="005C78F4">
        <w:t>occurs as</w:t>
      </w:r>
      <w:r w:rsidR="00D30FFB" w:rsidRPr="005C78F4">
        <w:t xml:space="preserve"> an extremely complex process. </w:t>
      </w:r>
      <w:r w:rsidR="00884E53" w:rsidRPr="005C78F4">
        <w:t>To aid understanding of this, many</w:t>
      </w:r>
      <w:r w:rsidR="00D30FFB" w:rsidRPr="005C78F4">
        <w:t xml:space="preserve"> theories have been </w:t>
      </w:r>
      <w:r w:rsidR="00884E53" w:rsidRPr="005C78F4">
        <w:t>accepted in attempts</w:t>
      </w:r>
      <w:r w:rsidR="00D30FFB" w:rsidRPr="005C78F4">
        <w:t xml:space="preserve"> to explain the learning process. However, no single theory can take credit for or explain in its entirety how the learning process occurs, </w:t>
      </w:r>
      <w:r w:rsidR="00884E53" w:rsidRPr="005C78F4">
        <w:t xml:space="preserve">and whilst this essay considered operant conditioning alone, it </w:t>
      </w:r>
      <w:r w:rsidR="005C78F4" w:rsidRPr="005C78F4">
        <w:t>could</w:t>
      </w:r>
      <w:r w:rsidR="00884E53" w:rsidRPr="005C78F4">
        <w:t xml:space="preserve"> be argued that application of</w:t>
      </w:r>
      <w:r w:rsidR="00D30FFB" w:rsidRPr="005C78F4">
        <w:t xml:space="preserve"> a blended approach o</w:t>
      </w:r>
      <w:r w:rsidR="00F93F82" w:rsidRPr="005C78F4">
        <w:t>f</w:t>
      </w:r>
      <w:r w:rsidR="00D30FFB" w:rsidRPr="005C78F4">
        <w:t xml:space="preserve"> different </w:t>
      </w:r>
      <w:r w:rsidR="00F93F82" w:rsidRPr="005C78F4">
        <w:t xml:space="preserve">learning theories is </w:t>
      </w:r>
      <w:r w:rsidR="00D30FFB" w:rsidRPr="005C78F4">
        <w:t xml:space="preserve">likely to be the most </w:t>
      </w:r>
      <w:r w:rsidR="005C78F4" w:rsidRPr="005C78F4">
        <w:t>appropriate in</w:t>
      </w:r>
      <w:r w:rsidR="00D30FFB" w:rsidRPr="005C78F4">
        <w:t xml:space="preserve"> </w:t>
      </w:r>
      <w:r w:rsidR="00884E53" w:rsidRPr="005C78F4">
        <w:t>day to day</w:t>
      </w:r>
      <w:r w:rsidR="00D30FFB" w:rsidRPr="005C78F4">
        <w:t xml:space="preserve"> practice</w:t>
      </w:r>
      <w:r w:rsidR="005C78F4" w:rsidRPr="005C78F4">
        <w:t xml:space="preserve">. </w:t>
      </w:r>
    </w:p>
    <w:p w14:paraId="3DB9B47E" w14:textId="77777777" w:rsidR="00F93F82" w:rsidRDefault="00F93F82" w:rsidP="001B4B06">
      <w:pPr>
        <w:spacing w:line="360" w:lineRule="auto"/>
      </w:pPr>
    </w:p>
    <w:p w14:paraId="72408E91" w14:textId="77777777" w:rsidR="001B4B06" w:rsidRDefault="001B4B06" w:rsidP="001B4B06">
      <w:pPr>
        <w:spacing w:line="360" w:lineRule="auto"/>
      </w:pPr>
    </w:p>
    <w:p w14:paraId="2C2C68C8" w14:textId="619AA990" w:rsidR="000F7249" w:rsidRDefault="000F7249" w:rsidP="001B4B06">
      <w:pPr>
        <w:spacing w:line="360" w:lineRule="auto"/>
      </w:pPr>
    </w:p>
    <w:p w14:paraId="0567F360" w14:textId="7FF0593A" w:rsidR="007307F1" w:rsidRDefault="007307F1" w:rsidP="001B4B06">
      <w:pPr>
        <w:spacing w:line="360" w:lineRule="auto"/>
      </w:pPr>
    </w:p>
    <w:p w14:paraId="429BFE7B" w14:textId="757E8AA0" w:rsidR="007307F1" w:rsidRDefault="007307F1" w:rsidP="001B4B06">
      <w:pPr>
        <w:spacing w:line="360" w:lineRule="auto"/>
      </w:pPr>
    </w:p>
    <w:p w14:paraId="37EA52A2" w14:textId="77777777" w:rsidR="00011005" w:rsidRDefault="00011005" w:rsidP="001B4B06">
      <w:pPr>
        <w:spacing w:line="360" w:lineRule="auto"/>
        <w:rPr>
          <w:b/>
          <w:bCs/>
        </w:rPr>
      </w:pPr>
    </w:p>
    <w:p w14:paraId="0D41A17A" w14:textId="77777777" w:rsidR="00011005" w:rsidRDefault="00011005" w:rsidP="001B4B06">
      <w:pPr>
        <w:spacing w:line="360" w:lineRule="auto"/>
        <w:rPr>
          <w:b/>
          <w:bCs/>
        </w:rPr>
      </w:pPr>
    </w:p>
    <w:p w14:paraId="0B54ED4D" w14:textId="77777777" w:rsidR="00011005" w:rsidRDefault="00011005" w:rsidP="001B4B06">
      <w:pPr>
        <w:spacing w:line="360" w:lineRule="auto"/>
        <w:rPr>
          <w:b/>
          <w:bCs/>
        </w:rPr>
      </w:pPr>
    </w:p>
    <w:p w14:paraId="12990314" w14:textId="07CB3A93" w:rsidR="007307F1" w:rsidRDefault="007307F1" w:rsidP="001B4B06">
      <w:pPr>
        <w:spacing w:line="360" w:lineRule="auto"/>
        <w:rPr>
          <w:b/>
          <w:bCs/>
        </w:rPr>
      </w:pPr>
      <w:r>
        <w:rPr>
          <w:b/>
          <w:bCs/>
        </w:rPr>
        <w:lastRenderedPageBreak/>
        <w:t>Reference list</w:t>
      </w:r>
      <w:r w:rsidR="00734E07">
        <w:rPr>
          <w:b/>
          <w:bCs/>
        </w:rPr>
        <w:t xml:space="preserve"> </w:t>
      </w:r>
    </w:p>
    <w:p w14:paraId="75E477E6" w14:textId="58D8A0FF" w:rsidR="00373A0C" w:rsidRDefault="00373A0C" w:rsidP="001B4B06">
      <w:pPr>
        <w:spacing w:line="360" w:lineRule="auto"/>
        <w:rPr>
          <w:b/>
          <w:bCs/>
        </w:rPr>
      </w:pPr>
    </w:p>
    <w:p w14:paraId="09A54CF4" w14:textId="54571D17" w:rsidR="00373A0C" w:rsidRPr="00231140" w:rsidRDefault="00373A0C" w:rsidP="00231140">
      <w:pPr>
        <w:spacing w:line="360" w:lineRule="auto"/>
        <w:ind w:left="720" w:hanging="720"/>
        <w:rPr>
          <w:rFonts w:cstheme="minorHAnsi"/>
        </w:rPr>
      </w:pPr>
      <w:r w:rsidRPr="00231140">
        <w:rPr>
          <w:rFonts w:cstheme="minorHAnsi"/>
          <w:color w:val="222222"/>
          <w:shd w:val="clear" w:color="auto" w:fill="FFFFFF"/>
        </w:rPr>
        <w:t>Ahmed, M. M., Rahman, A., Hossain, M. K., &amp; Tambi, F. B. (2022). Ensuring learner-centred pedagogy in an open and distance learning environment by applying scaffolding and positive reinforcement. </w:t>
      </w:r>
      <w:r w:rsidRPr="00231140">
        <w:rPr>
          <w:rFonts w:cstheme="minorHAnsi"/>
          <w:i/>
          <w:iCs/>
          <w:color w:val="222222"/>
          <w:shd w:val="clear" w:color="auto" w:fill="FFFFFF"/>
        </w:rPr>
        <w:t>Asian Association of Open Universities Journal</w:t>
      </w:r>
      <w:r w:rsidRPr="00231140">
        <w:rPr>
          <w:rFonts w:cstheme="minorHAnsi"/>
          <w:color w:val="222222"/>
          <w:shd w:val="clear" w:color="auto" w:fill="FFFFFF"/>
        </w:rPr>
        <w:t xml:space="preserve">, 17(3), 289-304. </w:t>
      </w:r>
      <w:hyperlink r:id="rId5" w:history="1">
        <w:r w:rsidRPr="00231140">
          <w:rPr>
            <w:rStyle w:val="Hyperlink"/>
            <w:rFonts w:cstheme="minorHAnsi"/>
            <w:shd w:val="clear" w:color="auto" w:fill="FFFFFF"/>
          </w:rPr>
          <w:t>https://doi.org/10.1108/AAOUJ-05-2022-0064</w:t>
        </w:r>
      </w:hyperlink>
      <w:r w:rsidRPr="00231140">
        <w:rPr>
          <w:rFonts w:cstheme="minorHAnsi"/>
          <w:color w:val="222222"/>
          <w:shd w:val="clear" w:color="auto" w:fill="FFFFFF"/>
        </w:rPr>
        <w:t xml:space="preserve"> </w:t>
      </w:r>
    </w:p>
    <w:p w14:paraId="7F588EEF" w14:textId="037058A5" w:rsidR="0070226F" w:rsidRDefault="0070226F" w:rsidP="001B4B06">
      <w:pPr>
        <w:spacing w:line="360" w:lineRule="auto"/>
        <w:rPr>
          <w:b/>
          <w:bCs/>
        </w:rPr>
      </w:pPr>
    </w:p>
    <w:p w14:paraId="08056220" w14:textId="0415E6F8" w:rsidR="0070226F" w:rsidRDefault="0070226F" w:rsidP="0070226F">
      <w:pPr>
        <w:spacing w:line="360" w:lineRule="auto"/>
        <w:ind w:left="720" w:hanging="720"/>
      </w:pPr>
      <w:r>
        <w:t xml:space="preserve">Aubrey, K., &amp; Riley, A. (2022). </w:t>
      </w:r>
      <w:r>
        <w:rPr>
          <w:i/>
          <w:iCs/>
        </w:rPr>
        <w:t xml:space="preserve">Understanding and using educational theories </w:t>
      </w:r>
      <w:r>
        <w:t>(3</w:t>
      </w:r>
      <w:r w:rsidRPr="0070226F">
        <w:rPr>
          <w:vertAlign w:val="superscript"/>
        </w:rPr>
        <w:t>rd</w:t>
      </w:r>
      <w:r>
        <w:t xml:space="preserve"> ed.). SAGE Publications Ltd. </w:t>
      </w:r>
    </w:p>
    <w:p w14:paraId="574A7010" w14:textId="5DBA09F3" w:rsidR="00E275CD" w:rsidRDefault="00E275CD" w:rsidP="0070226F">
      <w:pPr>
        <w:spacing w:line="360" w:lineRule="auto"/>
        <w:ind w:left="720" w:hanging="720"/>
      </w:pPr>
    </w:p>
    <w:p w14:paraId="451C9DF2" w14:textId="35369CE9" w:rsidR="00E275CD" w:rsidRDefault="00E275CD" w:rsidP="0070226F">
      <w:pPr>
        <w:spacing w:line="360" w:lineRule="auto"/>
        <w:ind w:left="720" w:hanging="720"/>
        <w:rPr>
          <w:rFonts w:cstheme="minorHAnsi"/>
          <w:color w:val="222222"/>
          <w:shd w:val="clear" w:color="auto" w:fill="FFFFFF"/>
        </w:rPr>
      </w:pPr>
      <w:r w:rsidRPr="00E275CD">
        <w:rPr>
          <w:rFonts w:cstheme="minorHAnsi"/>
          <w:color w:val="222222"/>
          <w:shd w:val="clear" w:color="auto" w:fill="FFFFFF"/>
        </w:rPr>
        <w:t>Baars, B. (2003). The double life of BF Skinner: inner conflict, dissociation and the scientific taboo against consciousness. </w:t>
      </w:r>
      <w:r w:rsidRPr="00E275CD">
        <w:rPr>
          <w:rFonts w:cstheme="minorHAnsi"/>
          <w:i/>
          <w:iCs/>
          <w:color w:val="222222"/>
          <w:shd w:val="clear" w:color="auto" w:fill="FFFFFF"/>
        </w:rPr>
        <w:t>Journal of Consciousness Studies</w:t>
      </w:r>
      <w:r w:rsidRPr="00E275CD">
        <w:rPr>
          <w:rFonts w:cstheme="minorHAnsi"/>
          <w:color w:val="222222"/>
          <w:shd w:val="clear" w:color="auto" w:fill="FFFFFF"/>
        </w:rPr>
        <w:t>, </w:t>
      </w:r>
      <w:r w:rsidRPr="00E275CD">
        <w:rPr>
          <w:rFonts w:cstheme="minorHAnsi"/>
          <w:i/>
          <w:iCs/>
          <w:color w:val="222222"/>
          <w:shd w:val="clear" w:color="auto" w:fill="FFFFFF"/>
        </w:rPr>
        <w:t>10</w:t>
      </w:r>
      <w:r w:rsidRPr="00E275CD">
        <w:rPr>
          <w:rFonts w:cstheme="minorHAnsi"/>
          <w:color w:val="222222"/>
          <w:shd w:val="clear" w:color="auto" w:fill="FFFFFF"/>
        </w:rPr>
        <w:t xml:space="preserve">(1), 5-25. </w:t>
      </w:r>
    </w:p>
    <w:p w14:paraId="0B2E676C" w14:textId="0E42465F" w:rsidR="00433A38" w:rsidRDefault="00433A38" w:rsidP="0070226F">
      <w:pPr>
        <w:spacing w:line="360" w:lineRule="auto"/>
        <w:ind w:left="720" w:hanging="720"/>
        <w:rPr>
          <w:rFonts w:cstheme="minorHAnsi"/>
          <w:color w:val="222222"/>
          <w:shd w:val="clear" w:color="auto" w:fill="FFFFFF"/>
        </w:rPr>
      </w:pPr>
    </w:p>
    <w:p w14:paraId="1F925D77" w14:textId="12053BB3" w:rsidR="00433A38" w:rsidRPr="00433A38" w:rsidRDefault="00433A38" w:rsidP="0070226F">
      <w:pPr>
        <w:spacing w:line="360" w:lineRule="auto"/>
        <w:ind w:left="720" w:hanging="720"/>
        <w:rPr>
          <w:rFonts w:cstheme="minorHAnsi"/>
          <w:color w:val="222222"/>
          <w:shd w:val="clear" w:color="auto" w:fill="FFFFFF"/>
        </w:rPr>
      </w:pPr>
      <w:r w:rsidRPr="00433A38">
        <w:rPr>
          <w:rFonts w:cstheme="minorHAnsi"/>
          <w:color w:val="222222"/>
          <w:shd w:val="clear" w:color="auto" w:fill="FFFFFF"/>
        </w:rPr>
        <w:t>Chandra, R. (2015). Classroom management for effective teaching. </w:t>
      </w:r>
      <w:r w:rsidRPr="00433A38">
        <w:rPr>
          <w:rFonts w:cstheme="minorHAnsi"/>
          <w:i/>
          <w:iCs/>
          <w:color w:val="222222"/>
          <w:shd w:val="clear" w:color="auto" w:fill="FFFFFF"/>
        </w:rPr>
        <w:t>International Journal of Education and Psychological Research</w:t>
      </w:r>
      <w:r w:rsidRPr="00433A38">
        <w:rPr>
          <w:rFonts w:cstheme="minorHAnsi"/>
          <w:color w:val="222222"/>
          <w:shd w:val="clear" w:color="auto" w:fill="FFFFFF"/>
        </w:rPr>
        <w:t>, </w:t>
      </w:r>
      <w:r w:rsidRPr="00433A38">
        <w:rPr>
          <w:rFonts w:cstheme="minorHAnsi"/>
          <w:i/>
          <w:iCs/>
          <w:color w:val="222222"/>
          <w:shd w:val="clear" w:color="auto" w:fill="FFFFFF"/>
        </w:rPr>
        <w:t>4</w:t>
      </w:r>
      <w:r w:rsidRPr="00433A38">
        <w:rPr>
          <w:rFonts w:cstheme="minorHAnsi"/>
          <w:color w:val="222222"/>
          <w:shd w:val="clear" w:color="auto" w:fill="FFFFFF"/>
        </w:rPr>
        <w:t xml:space="preserve">(4), 13-15. </w:t>
      </w:r>
    </w:p>
    <w:p w14:paraId="200BD901" w14:textId="0190AFE4" w:rsidR="00AE202C" w:rsidRDefault="00AE202C" w:rsidP="0070226F">
      <w:pPr>
        <w:spacing w:line="360" w:lineRule="auto"/>
        <w:ind w:left="720" w:hanging="720"/>
        <w:rPr>
          <w:rFonts w:cstheme="minorHAnsi"/>
          <w:color w:val="222222"/>
          <w:shd w:val="clear" w:color="auto" w:fill="FFFFFF"/>
        </w:rPr>
      </w:pPr>
    </w:p>
    <w:p w14:paraId="26B87DF8" w14:textId="43AD062C" w:rsidR="00AE202C" w:rsidRPr="00AE202C" w:rsidRDefault="00AE202C" w:rsidP="0070226F">
      <w:pPr>
        <w:spacing w:line="360" w:lineRule="auto"/>
        <w:ind w:left="720" w:hanging="720"/>
        <w:rPr>
          <w:rFonts w:cstheme="minorHAnsi"/>
        </w:rPr>
      </w:pPr>
      <w:r w:rsidRPr="00AE202C">
        <w:rPr>
          <w:rFonts w:cstheme="minorHAnsi"/>
          <w:color w:val="222222"/>
          <w:shd w:val="clear" w:color="auto" w:fill="FFFFFF"/>
        </w:rPr>
        <w:t>Dunlap, G., Strain, P. S., Fox, L., Carta, J. J., Conroy, M., Smith, B. J., Kern, L., Hemmeter, M., Timm, M., McCart, A., Sailor, W., Markey, U., Markey, D., Lardieri, S., &amp; Sowell, C. (2006). Prevention and intervention with young children's challenging behavior: Perspectives regarding current knowledge. </w:t>
      </w:r>
      <w:r w:rsidRPr="00AE202C">
        <w:rPr>
          <w:rFonts w:cstheme="minorHAnsi"/>
          <w:i/>
          <w:iCs/>
          <w:color w:val="222222"/>
          <w:shd w:val="clear" w:color="auto" w:fill="FFFFFF"/>
        </w:rPr>
        <w:t>Behavioral Disorders</w:t>
      </w:r>
      <w:r w:rsidRPr="00AE202C">
        <w:rPr>
          <w:rFonts w:cstheme="minorHAnsi"/>
          <w:color w:val="222222"/>
          <w:shd w:val="clear" w:color="auto" w:fill="FFFFFF"/>
        </w:rPr>
        <w:t>, </w:t>
      </w:r>
      <w:r w:rsidRPr="00AE202C">
        <w:rPr>
          <w:rFonts w:cstheme="minorHAnsi"/>
          <w:i/>
          <w:iCs/>
          <w:color w:val="222222"/>
          <w:shd w:val="clear" w:color="auto" w:fill="FFFFFF"/>
        </w:rPr>
        <w:t>32</w:t>
      </w:r>
      <w:r w:rsidRPr="00AE202C">
        <w:rPr>
          <w:rFonts w:cstheme="minorHAnsi"/>
          <w:color w:val="222222"/>
          <w:shd w:val="clear" w:color="auto" w:fill="FFFFFF"/>
        </w:rPr>
        <w:t xml:space="preserve">(1), 29-45. </w:t>
      </w:r>
      <w:hyperlink r:id="rId6" w:history="1">
        <w:r w:rsidRPr="00AE202C">
          <w:rPr>
            <w:rStyle w:val="Hyperlink"/>
            <w:rFonts w:cstheme="minorHAnsi"/>
          </w:rPr>
          <w:t>https://doi/pdf/10.1177/019874290603200103</w:t>
        </w:r>
      </w:hyperlink>
      <w:r w:rsidRPr="00AE202C">
        <w:rPr>
          <w:rFonts w:cstheme="minorHAnsi"/>
        </w:rPr>
        <w:t xml:space="preserve"> </w:t>
      </w:r>
    </w:p>
    <w:p w14:paraId="32B54A11" w14:textId="6FE72CF7" w:rsidR="00734E07" w:rsidRDefault="00734E07" w:rsidP="001B4B06">
      <w:pPr>
        <w:spacing w:line="360" w:lineRule="auto"/>
        <w:rPr>
          <w:b/>
          <w:bCs/>
        </w:rPr>
      </w:pPr>
    </w:p>
    <w:p w14:paraId="12B4E1D1" w14:textId="7E4ACDCA" w:rsidR="00734E07" w:rsidRDefault="00734E07" w:rsidP="001B4B06">
      <w:pPr>
        <w:spacing w:line="360" w:lineRule="auto"/>
      </w:pPr>
      <w:r w:rsidRPr="00734E07">
        <w:t xml:space="preserve">Gray, C., &amp; MacBlain, S. (2015). </w:t>
      </w:r>
      <w:r w:rsidRPr="00734E07">
        <w:rPr>
          <w:i/>
          <w:iCs/>
        </w:rPr>
        <w:t xml:space="preserve">Learning theories in childhood </w:t>
      </w:r>
      <w:r w:rsidRPr="00734E07">
        <w:t>(2</w:t>
      </w:r>
      <w:r w:rsidRPr="00734E07">
        <w:rPr>
          <w:vertAlign w:val="superscript"/>
        </w:rPr>
        <w:t>nd</w:t>
      </w:r>
      <w:r w:rsidRPr="00734E07">
        <w:t xml:space="preserve"> ed.). SAGE Publications Ltd.</w:t>
      </w:r>
    </w:p>
    <w:p w14:paraId="16C5B812" w14:textId="3A3348F4" w:rsidR="000C00F2" w:rsidRDefault="000C00F2" w:rsidP="001B4B06">
      <w:pPr>
        <w:spacing w:line="360" w:lineRule="auto"/>
      </w:pPr>
    </w:p>
    <w:p w14:paraId="5C829E3E" w14:textId="36B3B7D8" w:rsidR="000C00F2" w:rsidRDefault="000C00F2" w:rsidP="000C00F2">
      <w:pPr>
        <w:spacing w:line="360" w:lineRule="auto"/>
        <w:ind w:left="720" w:hanging="720"/>
        <w:rPr>
          <w:rFonts w:cstheme="minorHAnsi"/>
          <w:color w:val="222222"/>
          <w:shd w:val="clear" w:color="auto" w:fill="FFFFFF"/>
        </w:rPr>
      </w:pPr>
      <w:r w:rsidRPr="000C00F2">
        <w:rPr>
          <w:rFonts w:cstheme="minorHAnsi"/>
          <w:color w:val="222222"/>
          <w:shd w:val="clear" w:color="auto" w:fill="FFFFFF"/>
        </w:rPr>
        <w:t>Gibbs, K. (2018). Australian adolescent boys with attention deficit/hyperactivity disorder (AD/HD): teacher and teaching factors that assess the efficacy of reducing unwanted behaviours within the classroom environment. </w:t>
      </w:r>
      <w:r w:rsidRPr="000C00F2">
        <w:rPr>
          <w:rFonts w:cstheme="minorHAnsi"/>
          <w:i/>
          <w:iCs/>
          <w:color w:val="222222"/>
          <w:shd w:val="clear" w:color="auto" w:fill="FFFFFF"/>
        </w:rPr>
        <w:t>Australian Journal of Learning Difficulties</w:t>
      </w:r>
      <w:r w:rsidRPr="000C00F2">
        <w:rPr>
          <w:rFonts w:cstheme="minorHAnsi"/>
          <w:color w:val="222222"/>
          <w:shd w:val="clear" w:color="auto" w:fill="FFFFFF"/>
        </w:rPr>
        <w:t>, </w:t>
      </w:r>
      <w:r w:rsidRPr="000C00F2">
        <w:rPr>
          <w:rFonts w:cstheme="minorHAnsi"/>
          <w:i/>
          <w:iCs/>
          <w:color w:val="222222"/>
          <w:shd w:val="clear" w:color="auto" w:fill="FFFFFF"/>
        </w:rPr>
        <w:t>23</w:t>
      </w:r>
      <w:r w:rsidRPr="000C00F2">
        <w:rPr>
          <w:rFonts w:cstheme="minorHAnsi"/>
          <w:color w:val="222222"/>
          <w:shd w:val="clear" w:color="auto" w:fill="FFFFFF"/>
        </w:rPr>
        <w:t xml:space="preserve">(1), 53-65. </w:t>
      </w:r>
      <w:hyperlink r:id="rId7" w:history="1">
        <w:r w:rsidRPr="000C00F2">
          <w:rPr>
            <w:rStyle w:val="Hyperlink"/>
            <w:rFonts w:cstheme="minorHAnsi"/>
            <w:shd w:val="clear" w:color="auto" w:fill="FFFFFF"/>
          </w:rPr>
          <w:t>https://doi.org/10.1080/19404158.2017.1393626</w:t>
        </w:r>
      </w:hyperlink>
      <w:r w:rsidRPr="000C00F2">
        <w:rPr>
          <w:rFonts w:cstheme="minorHAnsi"/>
          <w:color w:val="222222"/>
          <w:shd w:val="clear" w:color="auto" w:fill="FFFFFF"/>
        </w:rPr>
        <w:t xml:space="preserve"> </w:t>
      </w:r>
    </w:p>
    <w:p w14:paraId="27A0A932" w14:textId="5987A0D4" w:rsidR="00E463F7" w:rsidRDefault="00E463F7" w:rsidP="000C00F2">
      <w:pPr>
        <w:spacing w:line="360" w:lineRule="auto"/>
        <w:ind w:left="720" w:hanging="720"/>
        <w:rPr>
          <w:rFonts w:cstheme="minorHAnsi"/>
          <w:color w:val="222222"/>
          <w:shd w:val="clear" w:color="auto" w:fill="FFFFFF"/>
        </w:rPr>
      </w:pPr>
    </w:p>
    <w:p w14:paraId="4331D1A9" w14:textId="7202C96C" w:rsidR="00E463F7" w:rsidRPr="00E463F7" w:rsidRDefault="00E463F7" w:rsidP="000C00F2">
      <w:pPr>
        <w:spacing w:line="360" w:lineRule="auto"/>
        <w:ind w:left="720" w:hanging="720"/>
        <w:rPr>
          <w:rFonts w:cstheme="minorHAnsi"/>
          <w:color w:val="222222"/>
          <w:shd w:val="clear" w:color="auto" w:fill="FFFFFF"/>
        </w:rPr>
      </w:pPr>
      <w:r w:rsidRPr="00E463F7">
        <w:rPr>
          <w:rFonts w:cstheme="minorHAnsi"/>
          <w:color w:val="222222"/>
          <w:shd w:val="clear" w:color="auto" w:fill="FFFFFF"/>
        </w:rPr>
        <w:lastRenderedPageBreak/>
        <w:t>Hardy, J. K., &amp; McLeod, R. H. (2020). Using positive reinforcement with young children. </w:t>
      </w:r>
      <w:r w:rsidRPr="00E463F7">
        <w:rPr>
          <w:rFonts w:cstheme="minorHAnsi"/>
          <w:i/>
          <w:iCs/>
          <w:color w:val="222222"/>
          <w:shd w:val="clear" w:color="auto" w:fill="FFFFFF"/>
        </w:rPr>
        <w:t>Beyond Behavior</w:t>
      </w:r>
      <w:r w:rsidRPr="00E463F7">
        <w:rPr>
          <w:rFonts w:cstheme="minorHAnsi"/>
          <w:color w:val="222222"/>
          <w:shd w:val="clear" w:color="auto" w:fill="FFFFFF"/>
        </w:rPr>
        <w:t>, </w:t>
      </w:r>
      <w:r w:rsidRPr="00E463F7">
        <w:rPr>
          <w:rFonts w:cstheme="minorHAnsi"/>
          <w:i/>
          <w:iCs/>
          <w:color w:val="222222"/>
          <w:shd w:val="clear" w:color="auto" w:fill="FFFFFF"/>
        </w:rPr>
        <w:t>29</w:t>
      </w:r>
      <w:r w:rsidRPr="00E463F7">
        <w:rPr>
          <w:rFonts w:cstheme="minorHAnsi"/>
          <w:color w:val="222222"/>
          <w:shd w:val="clear" w:color="auto" w:fill="FFFFFF"/>
        </w:rPr>
        <w:t xml:space="preserve">(2), 95-107. </w:t>
      </w:r>
      <w:hyperlink r:id="rId8" w:history="1">
        <w:r w:rsidRPr="00E463F7">
          <w:rPr>
            <w:rStyle w:val="Hyperlink"/>
            <w:rFonts w:cstheme="minorHAnsi"/>
          </w:rPr>
          <w:t>https://doi/10.1177/1074295620915724</w:t>
        </w:r>
      </w:hyperlink>
      <w:r w:rsidRPr="00E463F7">
        <w:rPr>
          <w:rFonts w:cstheme="minorHAnsi"/>
        </w:rPr>
        <w:t xml:space="preserve"> </w:t>
      </w:r>
    </w:p>
    <w:p w14:paraId="1C4D2F2D" w14:textId="58178BCA" w:rsidR="003C3A90" w:rsidRDefault="003C3A90" w:rsidP="000C00F2">
      <w:pPr>
        <w:spacing w:line="360" w:lineRule="auto"/>
        <w:ind w:left="720" w:hanging="720"/>
        <w:rPr>
          <w:rFonts w:cstheme="minorHAnsi"/>
          <w:color w:val="222222"/>
          <w:shd w:val="clear" w:color="auto" w:fill="FFFFFF"/>
        </w:rPr>
      </w:pPr>
    </w:p>
    <w:p w14:paraId="1A5AB84D" w14:textId="7DA1BFEA" w:rsidR="003C3A90" w:rsidRPr="003705BB" w:rsidRDefault="003C3A90" w:rsidP="000C00F2">
      <w:pPr>
        <w:spacing w:line="360" w:lineRule="auto"/>
        <w:ind w:left="720" w:hanging="720"/>
        <w:rPr>
          <w:rFonts w:cstheme="minorHAnsi"/>
          <w:color w:val="222222"/>
          <w:shd w:val="clear" w:color="auto" w:fill="FFFFFF"/>
        </w:rPr>
      </w:pPr>
      <w:r w:rsidRPr="003705BB">
        <w:rPr>
          <w:rFonts w:cstheme="minorHAnsi"/>
          <w:color w:val="222222"/>
          <w:shd w:val="clear" w:color="auto" w:fill="FFFFFF"/>
        </w:rPr>
        <w:t>Hoon, T. S., Nasaruddin, N. F. B. M., &amp; Singh, P. (2017). Communication Skills among Different Classroom Management Styles Teachers. </w:t>
      </w:r>
      <w:r w:rsidRPr="003705BB">
        <w:rPr>
          <w:rFonts w:cstheme="minorHAnsi"/>
          <w:i/>
          <w:iCs/>
          <w:color w:val="222222"/>
          <w:shd w:val="clear" w:color="auto" w:fill="FFFFFF"/>
        </w:rPr>
        <w:t>Asian Journal of University Education</w:t>
      </w:r>
      <w:r w:rsidRPr="003705BB">
        <w:rPr>
          <w:rFonts w:cstheme="minorHAnsi"/>
          <w:color w:val="222222"/>
          <w:shd w:val="clear" w:color="auto" w:fill="FFFFFF"/>
        </w:rPr>
        <w:t>, </w:t>
      </w:r>
      <w:r w:rsidRPr="003705BB">
        <w:rPr>
          <w:rFonts w:cstheme="minorHAnsi"/>
          <w:i/>
          <w:iCs/>
          <w:color w:val="222222"/>
          <w:shd w:val="clear" w:color="auto" w:fill="FFFFFF"/>
        </w:rPr>
        <w:t>13</w:t>
      </w:r>
      <w:r w:rsidRPr="003705BB">
        <w:rPr>
          <w:rFonts w:cstheme="minorHAnsi"/>
          <w:color w:val="222222"/>
          <w:shd w:val="clear" w:color="auto" w:fill="FFFFFF"/>
        </w:rPr>
        <w:t xml:space="preserve">(1), 67-78. </w:t>
      </w:r>
    </w:p>
    <w:p w14:paraId="3C5D88CD" w14:textId="6B55F909" w:rsidR="00CB35B9" w:rsidRDefault="00CB35B9" w:rsidP="000C00F2">
      <w:pPr>
        <w:spacing w:line="360" w:lineRule="auto"/>
        <w:ind w:left="720" w:hanging="720"/>
        <w:rPr>
          <w:rFonts w:cstheme="minorHAnsi"/>
          <w:color w:val="222222"/>
          <w:shd w:val="clear" w:color="auto" w:fill="FFFFFF"/>
        </w:rPr>
      </w:pPr>
    </w:p>
    <w:p w14:paraId="5C3FC2EE" w14:textId="29E41027" w:rsidR="00CB35B9" w:rsidRPr="00CB35B9" w:rsidRDefault="00CB35B9" w:rsidP="000C00F2">
      <w:pPr>
        <w:spacing w:line="360" w:lineRule="auto"/>
        <w:ind w:left="720" w:hanging="720"/>
        <w:rPr>
          <w:rFonts w:cstheme="minorHAnsi"/>
          <w:color w:val="222222"/>
          <w:shd w:val="clear" w:color="auto" w:fill="FFFFFF"/>
        </w:rPr>
      </w:pPr>
      <w:r>
        <w:rPr>
          <w:rFonts w:cstheme="minorHAnsi"/>
          <w:color w:val="222222"/>
          <w:shd w:val="clear" w:color="auto" w:fill="FFFFFF"/>
        </w:rPr>
        <w:t xml:space="preserve">Howell, J. (2020). </w:t>
      </w:r>
      <w:r>
        <w:rPr>
          <w:rFonts w:cstheme="minorHAnsi"/>
          <w:i/>
          <w:iCs/>
          <w:color w:val="222222"/>
          <w:shd w:val="clear" w:color="auto" w:fill="FFFFFF"/>
        </w:rPr>
        <w:t xml:space="preserve">Teaching &amp; learning: building effective pedagogies. </w:t>
      </w:r>
      <w:r>
        <w:rPr>
          <w:rFonts w:cstheme="minorHAnsi"/>
          <w:color w:val="222222"/>
          <w:shd w:val="clear" w:color="auto" w:fill="FFFFFF"/>
        </w:rPr>
        <w:t xml:space="preserve">Oxford University Press. </w:t>
      </w:r>
    </w:p>
    <w:p w14:paraId="79A9159A" w14:textId="66AEABFF" w:rsidR="00EE0272" w:rsidRDefault="00EE0272" w:rsidP="000C00F2">
      <w:pPr>
        <w:spacing w:line="360" w:lineRule="auto"/>
        <w:ind w:left="720" w:hanging="720"/>
        <w:rPr>
          <w:rFonts w:cstheme="minorHAnsi"/>
        </w:rPr>
      </w:pPr>
    </w:p>
    <w:p w14:paraId="56093851" w14:textId="6E34E28C" w:rsidR="00EE0272" w:rsidRDefault="00EE0272" w:rsidP="000C00F2">
      <w:pPr>
        <w:spacing w:line="360" w:lineRule="auto"/>
        <w:ind w:left="720" w:hanging="720"/>
        <w:rPr>
          <w:rFonts w:cstheme="minorHAnsi"/>
          <w:color w:val="222222"/>
          <w:shd w:val="clear" w:color="auto" w:fill="FFFFFF"/>
        </w:rPr>
      </w:pPr>
      <w:r w:rsidRPr="00EE0272">
        <w:rPr>
          <w:rFonts w:cstheme="minorHAnsi"/>
          <w:color w:val="222222"/>
          <w:shd w:val="clear" w:color="auto" w:fill="FFFFFF"/>
        </w:rPr>
        <w:t>Illeris, K. (2018). An overview of the history of learning theory. </w:t>
      </w:r>
      <w:r w:rsidRPr="00EE0272">
        <w:rPr>
          <w:rFonts w:cstheme="minorHAnsi"/>
          <w:i/>
          <w:iCs/>
          <w:color w:val="222222"/>
          <w:shd w:val="clear" w:color="auto" w:fill="FFFFFF"/>
        </w:rPr>
        <w:t>European Journal of Education</w:t>
      </w:r>
      <w:r w:rsidRPr="00EE0272">
        <w:rPr>
          <w:rFonts w:cstheme="minorHAnsi"/>
          <w:color w:val="222222"/>
          <w:shd w:val="clear" w:color="auto" w:fill="FFFFFF"/>
        </w:rPr>
        <w:t>, </w:t>
      </w:r>
      <w:r w:rsidRPr="00EE0272">
        <w:rPr>
          <w:rFonts w:cstheme="minorHAnsi"/>
          <w:i/>
          <w:iCs/>
          <w:color w:val="222222"/>
          <w:shd w:val="clear" w:color="auto" w:fill="FFFFFF"/>
        </w:rPr>
        <w:t>53</w:t>
      </w:r>
      <w:r w:rsidRPr="00EE0272">
        <w:rPr>
          <w:rFonts w:cstheme="minorHAnsi"/>
          <w:color w:val="222222"/>
          <w:shd w:val="clear" w:color="auto" w:fill="FFFFFF"/>
        </w:rPr>
        <w:t xml:space="preserve">(1), 86-101. </w:t>
      </w:r>
      <w:hyperlink r:id="rId9" w:history="1">
        <w:r w:rsidRPr="00EE0272">
          <w:rPr>
            <w:rStyle w:val="Hyperlink"/>
            <w:rFonts w:cstheme="minorHAnsi"/>
            <w:shd w:val="clear" w:color="auto" w:fill="FFFFFF"/>
          </w:rPr>
          <w:t>https://doi.org/10.1111/ejed.12265</w:t>
        </w:r>
      </w:hyperlink>
      <w:r w:rsidRPr="00EE0272">
        <w:rPr>
          <w:rFonts w:cstheme="minorHAnsi"/>
          <w:color w:val="222222"/>
          <w:shd w:val="clear" w:color="auto" w:fill="FFFFFF"/>
        </w:rPr>
        <w:t xml:space="preserve"> </w:t>
      </w:r>
    </w:p>
    <w:p w14:paraId="7DE410B6" w14:textId="31622010" w:rsidR="00CE5025" w:rsidRDefault="00CE5025" w:rsidP="000C00F2">
      <w:pPr>
        <w:spacing w:line="360" w:lineRule="auto"/>
        <w:ind w:left="720" w:hanging="720"/>
        <w:rPr>
          <w:rFonts w:cstheme="minorHAnsi"/>
          <w:color w:val="222222"/>
          <w:shd w:val="clear" w:color="auto" w:fill="FFFFFF"/>
        </w:rPr>
      </w:pPr>
    </w:p>
    <w:p w14:paraId="1C74C8BA" w14:textId="00FFA17F" w:rsidR="00CE5025" w:rsidRDefault="00CE5025" w:rsidP="000C00F2">
      <w:pPr>
        <w:spacing w:line="360" w:lineRule="auto"/>
        <w:ind w:left="720" w:hanging="720"/>
        <w:rPr>
          <w:rFonts w:cstheme="minorHAnsi"/>
        </w:rPr>
      </w:pPr>
      <w:r w:rsidRPr="00CE5025">
        <w:rPr>
          <w:rFonts w:cstheme="minorHAnsi"/>
          <w:color w:val="222222"/>
          <w:shd w:val="clear" w:color="auto" w:fill="FFFFFF"/>
        </w:rPr>
        <w:t>Jolstead, K. A., Caldarella, P., Hansen, B., Korth, B. B., Williams, L., &amp; Kamps, D. (2017). Implementing positive behavior support in preschools: An exploratory study of CW-FIT Tier 1. </w:t>
      </w:r>
      <w:r w:rsidRPr="00CE5025">
        <w:rPr>
          <w:rFonts w:cstheme="minorHAnsi"/>
          <w:i/>
          <w:iCs/>
          <w:color w:val="222222"/>
          <w:shd w:val="clear" w:color="auto" w:fill="FFFFFF"/>
        </w:rPr>
        <w:t>Journal of positive behavior interventions</w:t>
      </w:r>
      <w:r w:rsidRPr="00CE5025">
        <w:rPr>
          <w:rFonts w:cstheme="minorHAnsi"/>
          <w:color w:val="222222"/>
          <w:shd w:val="clear" w:color="auto" w:fill="FFFFFF"/>
        </w:rPr>
        <w:t>, </w:t>
      </w:r>
      <w:r w:rsidRPr="00CE5025">
        <w:rPr>
          <w:rFonts w:cstheme="minorHAnsi"/>
          <w:i/>
          <w:iCs/>
          <w:color w:val="222222"/>
          <w:shd w:val="clear" w:color="auto" w:fill="FFFFFF"/>
        </w:rPr>
        <w:t>19</w:t>
      </w:r>
      <w:r w:rsidRPr="00CE5025">
        <w:rPr>
          <w:rFonts w:cstheme="minorHAnsi"/>
          <w:color w:val="222222"/>
          <w:shd w:val="clear" w:color="auto" w:fill="FFFFFF"/>
        </w:rPr>
        <w:t xml:space="preserve">(1), 48-60. </w:t>
      </w:r>
      <w:hyperlink r:id="rId10" w:history="1">
        <w:r w:rsidRPr="00CE5025">
          <w:rPr>
            <w:rStyle w:val="Hyperlink"/>
            <w:rFonts w:cstheme="minorHAnsi"/>
            <w:shd w:val="clear" w:color="auto" w:fill="FFFFFF"/>
          </w:rPr>
          <w:t>https://</w:t>
        </w:r>
        <w:r w:rsidRPr="00CE5025">
          <w:rPr>
            <w:rStyle w:val="Hyperlink"/>
            <w:rFonts w:cstheme="minorHAnsi"/>
          </w:rPr>
          <w:t>doi:10.1177/1098300716653226</w:t>
        </w:r>
      </w:hyperlink>
      <w:r w:rsidRPr="00CE5025">
        <w:rPr>
          <w:rFonts w:cstheme="minorHAnsi"/>
        </w:rPr>
        <w:t xml:space="preserve"> </w:t>
      </w:r>
    </w:p>
    <w:p w14:paraId="69E32D25" w14:textId="4B47E47F" w:rsidR="00433A38" w:rsidRDefault="00433A38" w:rsidP="000C00F2">
      <w:pPr>
        <w:spacing w:line="360" w:lineRule="auto"/>
        <w:ind w:left="720" w:hanging="720"/>
        <w:rPr>
          <w:rFonts w:cstheme="minorHAnsi"/>
        </w:rPr>
      </w:pPr>
    </w:p>
    <w:p w14:paraId="2015AB57" w14:textId="6D2D4F22" w:rsidR="00433A38" w:rsidRPr="00433A38" w:rsidRDefault="00433A38" w:rsidP="000C00F2">
      <w:pPr>
        <w:spacing w:line="360" w:lineRule="auto"/>
        <w:ind w:left="720" w:hanging="720"/>
        <w:rPr>
          <w:rFonts w:cstheme="minorHAnsi"/>
          <w:color w:val="222222"/>
          <w:shd w:val="clear" w:color="auto" w:fill="FFFFFF"/>
        </w:rPr>
      </w:pPr>
      <w:r w:rsidRPr="00433A38">
        <w:rPr>
          <w:rFonts w:cstheme="minorHAnsi"/>
          <w:color w:val="222222"/>
          <w:shd w:val="clear" w:color="auto" w:fill="FFFFFF"/>
        </w:rPr>
        <w:t>Kelly, J., &amp; Pohl, B. (2018). Using structured positive and negative reinforcement to change student behavior in educational settings in order to achieve student academic success. </w:t>
      </w:r>
      <w:r w:rsidRPr="00433A38">
        <w:rPr>
          <w:rFonts w:cstheme="minorHAnsi"/>
          <w:i/>
          <w:iCs/>
          <w:color w:val="222222"/>
          <w:shd w:val="clear" w:color="auto" w:fill="FFFFFF"/>
        </w:rPr>
        <w:t>Multidisciplinary Journal for Education, Social and Technological Sciences</w:t>
      </w:r>
      <w:r w:rsidRPr="00433A38">
        <w:rPr>
          <w:rFonts w:cstheme="minorHAnsi"/>
          <w:color w:val="222222"/>
          <w:shd w:val="clear" w:color="auto" w:fill="FFFFFF"/>
        </w:rPr>
        <w:t>, </w:t>
      </w:r>
      <w:r w:rsidRPr="00433A38">
        <w:rPr>
          <w:rFonts w:cstheme="minorHAnsi"/>
          <w:i/>
          <w:iCs/>
          <w:color w:val="222222"/>
          <w:shd w:val="clear" w:color="auto" w:fill="FFFFFF"/>
        </w:rPr>
        <w:t>5</w:t>
      </w:r>
      <w:r w:rsidRPr="00433A38">
        <w:rPr>
          <w:rFonts w:cstheme="minorHAnsi"/>
          <w:color w:val="222222"/>
          <w:shd w:val="clear" w:color="auto" w:fill="FFFFFF"/>
        </w:rPr>
        <w:t xml:space="preserve">(1), 17-29. </w:t>
      </w:r>
      <w:hyperlink r:id="rId11" w:history="1">
        <w:r w:rsidRPr="00433A38">
          <w:rPr>
            <w:rStyle w:val="Hyperlink"/>
            <w:rFonts w:cstheme="minorHAnsi"/>
            <w:shd w:val="clear" w:color="auto" w:fill="FFFFFF"/>
          </w:rPr>
          <w:t>https://doi.org/10.4995/muse.2018.6370</w:t>
        </w:r>
      </w:hyperlink>
      <w:r w:rsidRPr="00433A38">
        <w:rPr>
          <w:rFonts w:cstheme="minorHAnsi"/>
          <w:color w:val="222222"/>
          <w:shd w:val="clear" w:color="auto" w:fill="FFFFFF"/>
        </w:rPr>
        <w:t xml:space="preserve"> </w:t>
      </w:r>
    </w:p>
    <w:p w14:paraId="35C08A7A" w14:textId="368D37F2" w:rsidR="00680DBB" w:rsidRDefault="00680DBB" w:rsidP="000C00F2">
      <w:pPr>
        <w:spacing w:line="360" w:lineRule="auto"/>
        <w:ind w:left="720" w:hanging="720"/>
        <w:rPr>
          <w:rFonts w:cstheme="minorHAnsi"/>
          <w:color w:val="222222"/>
          <w:shd w:val="clear" w:color="auto" w:fill="FFFFFF"/>
        </w:rPr>
      </w:pPr>
    </w:p>
    <w:p w14:paraId="62A81FA5" w14:textId="47999691" w:rsidR="00680DBB" w:rsidRPr="003C3A90" w:rsidRDefault="003C3A90" w:rsidP="000C00F2">
      <w:pPr>
        <w:spacing w:line="360" w:lineRule="auto"/>
        <w:ind w:left="720" w:hanging="720"/>
        <w:rPr>
          <w:rFonts w:cstheme="minorHAnsi"/>
          <w:color w:val="222222"/>
          <w:shd w:val="clear" w:color="auto" w:fill="FFFFFF"/>
        </w:rPr>
      </w:pPr>
      <w:r w:rsidRPr="003C3A90">
        <w:rPr>
          <w:rFonts w:cstheme="minorHAnsi"/>
          <w:color w:val="222222"/>
          <w:shd w:val="clear" w:color="auto" w:fill="FFFFFF"/>
        </w:rPr>
        <w:t>Mantasiah R, M. R., Sinring, A., &amp; Aryani, F. (2021). Assessing verbal positive reinforcement of teachers during school from home in the Covid-19 pandemic era. </w:t>
      </w:r>
      <w:r w:rsidRPr="003C3A90">
        <w:rPr>
          <w:rFonts w:cstheme="minorHAnsi"/>
          <w:i/>
          <w:iCs/>
          <w:color w:val="222222"/>
          <w:shd w:val="clear" w:color="auto" w:fill="FFFFFF"/>
        </w:rPr>
        <w:t>International Journal of Instruction</w:t>
      </w:r>
      <w:r w:rsidRPr="003C3A90">
        <w:rPr>
          <w:rFonts w:cstheme="minorHAnsi"/>
          <w:color w:val="222222"/>
          <w:shd w:val="clear" w:color="auto" w:fill="FFFFFF"/>
        </w:rPr>
        <w:t>, </w:t>
      </w:r>
      <w:r w:rsidRPr="003C3A90">
        <w:rPr>
          <w:rFonts w:cstheme="minorHAnsi"/>
          <w:i/>
          <w:iCs/>
          <w:color w:val="222222"/>
          <w:shd w:val="clear" w:color="auto" w:fill="FFFFFF"/>
        </w:rPr>
        <w:t>14</w:t>
      </w:r>
      <w:r w:rsidRPr="003C3A90">
        <w:rPr>
          <w:rFonts w:cstheme="minorHAnsi"/>
          <w:color w:val="222222"/>
          <w:shd w:val="clear" w:color="auto" w:fill="FFFFFF"/>
        </w:rPr>
        <w:t xml:space="preserve">(2), 1037-1050. </w:t>
      </w:r>
      <w:hyperlink r:id="rId12" w:history="1">
        <w:r w:rsidRPr="000B65A1">
          <w:rPr>
            <w:rStyle w:val="Hyperlink"/>
            <w:rFonts w:cstheme="minorHAnsi"/>
            <w:shd w:val="clear" w:color="auto" w:fill="FFFFFF"/>
          </w:rPr>
          <w:t>https://doi.org/10.29333/iji.2021.14259a</w:t>
        </w:r>
      </w:hyperlink>
      <w:r>
        <w:rPr>
          <w:rFonts w:cstheme="minorHAnsi"/>
          <w:color w:val="222222"/>
          <w:shd w:val="clear" w:color="auto" w:fill="FFFFFF"/>
        </w:rPr>
        <w:t xml:space="preserve"> </w:t>
      </w:r>
    </w:p>
    <w:p w14:paraId="2FBEEEA9" w14:textId="4AD68F9A" w:rsidR="00680DBB" w:rsidRDefault="00680DBB" w:rsidP="000C00F2">
      <w:pPr>
        <w:spacing w:line="360" w:lineRule="auto"/>
        <w:ind w:left="720" w:hanging="720"/>
        <w:rPr>
          <w:rFonts w:cstheme="minorHAnsi"/>
        </w:rPr>
      </w:pPr>
    </w:p>
    <w:p w14:paraId="244FE85B" w14:textId="68EE6195" w:rsidR="00680DBB" w:rsidRPr="00680DBB" w:rsidRDefault="00680DBB" w:rsidP="000C00F2">
      <w:pPr>
        <w:spacing w:line="360" w:lineRule="auto"/>
        <w:ind w:left="720" w:hanging="720"/>
        <w:rPr>
          <w:rFonts w:cstheme="minorHAnsi"/>
        </w:rPr>
      </w:pPr>
      <w:r w:rsidRPr="00680DBB">
        <w:rPr>
          <w:rFonts w:cstheme="minorHAnsi"/>
          <w:color w:val="222222"/>
          <w:shd w:val="clear" w:color="auto" w:fill="FFFFFF"/>
        </w:rPr>
        <w:t>Moyano, N., Quílez-Robres, A., &amp; Cortés Pascual, A. (2020). Self-esteem and motivation for learning in academic achievement: The mediating role of reasoning and verbal fluidity. </w:t>
      </w:r>
      <w:r w:rsidRPr="00680DBB">
        <w:rPr>
          <w:rFonts w:cstheme="minorHAnsi"/>
          <w:i/>
          <w:iCs/>
          <w:color w:val="222222"/>
          <w:shd w:val="clear" w:color="auto" w:fill="FFFFFF"/>
        </w:rPr>
        <w:t>Sustainability</w:t>
      </w:r>
      <w:r w:rsidRPr="00680DBB">
        <w:rPr>
          <w:rFonts w:cstheme="minorHAnsi"/>
          <w:color w:val="222222"/>
          <w:shd w:val="clear" w:color="auto" w:fill="FFFFFF"/>
        </w:rPr>
        <w:t>, </w:t>
      </w:r>
      <w:r w:rsidRPr="00680DBB">
        <w:rPr>
          <w:rFonts w:cstheme="minorHAnsi"/>
          <w:i/>
          <w:iCs/>
          <w:color w:val="222222"/>
          <w:shd w:val="clear" w:color="auto" w:fill="FFFFFF"/>
        </w:rPr>
        <w:t>12</w:t>
      </w:r>
      <w:r w:rsidRPr="00680DBB">
        <w:rPr>
          <w:rFonts w:cstheme="minorHAnsi"/>
          <w:color w:val="222222"/>
          <w:shd w:val="clear" w:color="auto" w:fill="FFFFFF"/>
        </w:rPr>
        <w:t xml:space="preserve">(14), 5768. </w:t>
      </w:r>
      <w:hyperlink r:id="rId13" w:history="1">
        <w:r w:rsidRPr="00680DBB">
          <w:rPr>
            <w:rStyle w:val="Hyperlink"/>
            <w:rFonts w:cstheme="minorHAnsi"/>
            <w:shd w:val="clear" w:color="auto" w:fill="FFFFFF"/>
          </w:rPr>
          <w:t>https://doi.org/10.3390/su12145768</w:t>
        </w:r>
      </w:hyperlink>
      <w:r w:rsidRPr="00680DBB">
        <w:rPr>
          <w:rFonts w:cstheme="minorHAnsi"/>
          <w:color w:val="222222"/>
          <w:shd w:val="clear" w:color="auto" w:fill="FFFFFF"/>
        </w:rPr>
        <w:t xml:space="preserve"> </w:t>
      </w:r>
    </w:p>
    <w:p w14:paraId="652B9685" w14:textId="77777777" w:rsidR="00734E07" w:rsidRPr="00734E07" w:rsidRDefault="00734E07" w:rsidP="001B4B06">
      <w:pPr>
        <w:spacing w:line="360" w:lineRule="auto"/>
        <w:rPr>
          <w:b/>
          <w:bCs/>
        </w:rPr>
      </w:pPr>
    </w:p>
    <w:p w14:paraId="51404140" w14:textId="580E25C9" w:rsidR="007307F1" w:rsidRDefault="00766BCA" w:rsidP="00766BCA">
      <w:pPr>
        <w:spacing w:line="360" w:lineRule="auto"/>
        <w:ind w:left="720" w:hanging="720"/>
      </w:pPr>
      <w:r w:rsidRPr="00766BCA">
        <w:rPr>
          <w:rFonts w:cstheme="minorHAnsi"/>
          <w:color w:val="222222"/>
          <w:shd w:val="clear" w:color="auto" w:fill="FFFFFF"/>
        </w:rPr>
        <w:lastRenderedPageBreak/>
        <w:t>Nurtanto, M., Kholifah, N., Masek, A., Sudira, P., &amp; Samsudin, A. (2021). Crucial Problems in Arranged the Lesson Plan of Vocational Teacher. </w:t>
      </w:r>
      <w:r w:rsidRPr="00766BCA">
        <w:rPr>
          <w:rFonts w:cstheme="minorHAnsi"/>
          <w:i/>
          <w:iCs/>
          <w:color w:val="222222"/>
          <w:shd w:val="clear" w:color="auto" w:fill="FFFFFF"/>
        </w:rPr>
        <w:t>International Journal of Evaluation and Research in Education</w:t>
      </w:r>
      <w:r w:rsidRPr="00766BCA">
        <w:rPr>
          <w:rFonts w:cstheme="minorHAnsi"/>
          <w:color w:val="222222"/>
          <w:shd w:val="clear" w:color="auto" w:fill="FFFFFF"/>
        </w:rPr>
        <w:t>, </w:t>
      </w:r>
      <w:r w:rsidRPr="00766BCA">
        <w:rPr>
          <w:rFonts w:cstheme="minorHAnsi"/>
          <w:i/>
          <w:iCs/>
          <w:color w:val="222222"/>
          <w:shd w:val="clear" w:color="auto" w:fill="FFFFFF"/>
        </w:rPr>
        <w:t>10</w:t>
      </w:r>
      <w:r w:rsidRPr="00766BCA">
        <w:rPr>
          <w:rFonts w:cstheme="minorHAnsi"/>
          <w:color w:val="222222"/>
          <w:shd w:val="clear" w:color="auto" w:fill="FFFFFF"/>
        </w:rPr>
        <w:t>(1), 345-354.</w:t>
      </w:r>
      <w:r>
        <w:rPr>
          <w:rFonts w:cstheme="minorHAnsi"/>
          <w:color w:val="222222"/>
          <w:shd w:val="clear" w:color="auto" w:fill="FFFFFF"/>
        </w:rPr>
        <w:t xml:space="preserve"> https://</w:t>
      </w:r>
      <w:r>
        <w:t xml:space="preserve">doi: 10.11591/ijere.v10i1.20604  </w:t>
      </w:r>
    </w:p>
    <w:p w14:paraId="31CC6D28" w14:textId="0A8468E8" w:rsidR="003C3A90" w:rsidRDefault="003C3A90" w:rsidP="00766BCA">
      <w:pPr>
        <w:spacing w:line="360" w:lineRule="auto"/>
        <w:ind w:left="720" w:hanging="720"/>
      </w:pPr>
    </w:p>
    <w:p w14:paraId="14B949CD" w14:textId="3D9CA951" w:rsidR="003C3A90" w:rsidRDefault="003C3A90" w:rsidP="00766BCA">
      <w:pPr>
        <w:spacing w:line="360" w:lineRule="auto"/>
        <w:ind w:left="720" w:hanging="720"/>
        <w:rPr>
          <w:rFonts w:cstheme="minorHAnsi"/>
          <w:color w:val="222222"/>
          <w:shd w:val="clear" w:color="auto" w:fill="FFFFFF"/>
        </w:rPr>
      </w:pPr>
      <w:r w:rsidRPr="003C3A90">
        <w:rPr>
          <w:rFonts w:cstheme="minorHAnsi"/>
          <w:color w:val="222222"/>
          <w:shd w:val="clear" w:color="auto" w:fill="FFFFFF"/>
        </w:rPr>
        <w:t>Ozkan, H., Dalli, M., Bingol, E., Metin, S. C., &amp; Yarali, D. (2014). Examining the relationship between the communication skills and self-efficacy levels of physical education teacher candidates. </w:t>
      </w:r>
      <w:r w:rsidRPr="003C3A90">
        <w:rPr>
          <w:rFonts w:cstheme="minorHAnsi"/>
          <w:i/>
          <w:iCs/>
          <w:color w:val="222222"/>
          <w:shd w:val="clear" w:color="auto" w:fill="FFFFFF"/>
        </w:rPr>
        <w:t>Procedia-Social and Behavioral Sciences</w:t>
      </w:r>
      <w:r w:rsidRPr="003C3A90">
        <w:rPr>
          <w:rFonts w:cstheme="minorHAnsi"/>
          <w:color w:val="222222"/>
          <w:shd w:val="clear" w:color="auto" w:fill="FFFFFF"/>
        </w:rPr>
        <w:t>, </w:t>
      </w:r>
      <w:r w:rsidRPr="003C3A90">
        <w:rPr>
          <w:rFonts w:cstheme="minorHAnsi"/>
          <w:i/>
          <w:iCs/>
          <w:color w:val="222222"/>
          <w:shd w:val="clear" w:color="auto" w:fill="FFFFFF"/>
        </w:rPr>
        <w:t>152</w:t>
      </w:r>
      <w:r w:rsidRPr="003C3A90">
        <w:rPr>
          <w:rFonts w:cstheme="minorHAnsi"/>
          <w:color w:val="222222"/>
          <w:shd w:val="clear" w:color="auto" w:fill="FFFFFF"/>
        </w:rPr>
        <w:t xml:space="preserve">, 440-445. </w:t>
      </w:r>
      <w:hyperlink r:id="rId14" w:history="1">
        <w:r w:rsidRPr="003C3A90">
          <w:rPr>
            <w:rStyle w:val="Hyperlink"/>
            <w:rFonts w:cstheme="minorHAnsi"/>
            <w:shd w:val="clear" w:color="auto" w:fill="FFFFFF"/>
          </w:rPr>
          <w:t>https://doi.org/10.1016/j.sbspro.2014.09.228</w:t>
        </w:r>
      </w:hyperlink>
      <w:r w:rsidRPr="003C3A90">
        <w:rPr>
          <w:rFonts w:cstheme="minorHAnsi"/>
          <w:color w:val="222222"/>
          <w:shd w:val="clear" w:color="auto" w:fill="FFFFFF"/>
        </w:rPr>
        <w:t xml:space="preserve"> </w:t>
      </w:r>
    </w:p>
    <w:p w14:paraId="3E1865DD" w14:textId="4908962B" w:rsidR="00706C5B" w:rsidRDefault="00706C5B" w:rsidP="00766BCA">
      <w:pPr>
        <w:spacing w:line="360" w:lineRule="auto"/>
        <w:ind w:left="720" w:hanging="720"/>
        <w:rPr>
          <w:rFonts w:cstheme="minorHAnsi"/>
        </w:rPr>
      </w:pPr>
    </w:p>
    <w:p w14:paraId="6975C304" w14:textId="47EAD506" w:rsidR="00706C5B" w:rsidRPr="00373A0C" w:rsidRDefault="00706C5B" w:rsidP="00766BCA">
      <w:pPr>
        <w:spacing w:line="360" w:lineRule="auto"/>
        <w:ind w:left="720" w:hanging="720"/>
        <w:rPr>
          <w:rFonts w:cstheme="minorHAnsi"/>
        </w:rPr>
      </w:pPr>
      <w:r w:rsidRPr="00373A0C">
        <w:rPr>
          <w:rFonts w:cstheme="minorHAnsi"/>
          <w:color w:val="222222"/>
          <w:shd w:val="clear" w:color="auto" w:fill="FFFFFF"/>
        </w:rPr>
        <w:t>Rafi, A., Ansar, A., &amp; Sami, M. A. (2020). The implication of positive reinforcement strategy in dealing with disruptive behaviour in the classroom: A scoping review. </w:t>
      </w:r>
      <w:r w:rsidRPr="00373A0C">
        <w:rPr>
          <w:rFonts w:cstheme="minorHAnsi"/>
          <w:i/>
          <w:iCs/>
          <w:color w:val="222222"/>
          <w:shd w:val="clear" w:color="auto" w:fill="FFFFFF"/>
        </w:rPr>
        <w:t>Journal of Rawalpindi Medical College</w:t>
      </w:r>
      <w:r w:rsidRPr="00373A0C">
        <w:rPr>
          <w:rFonts w:cstheme="minorHAnsi"/>
          <w:color w:val="222222"/>
          <w:shd w:val="clear" w:color="auto" w:fill="FFFFFF"/>
        </w:rPr>
        <w:t>, </w:t>
      </w:r>
      <w:r w:rsidRPr="00373A0C">
        <w:rPr>
          <w:rFonts w:cstheme="minorHAnsi"/>
          <w:i/>
          <w:iCs/>
          <w:color w:val="222222"/>
          <w:shd w:val="clear" w:color="auto" w:fill="FFFFFF"/>
        </w:rPr>
        <w:t>24</w:t>
      </w:r>
      <w:r w:rsidRPr="00373A0C">
        <w:rPr>
          <w:rFonts w:cstheme="minorHAnsi"/>
          <w:color w:val="222222"/>
          <w:shd w:val="clear" w:color="auto" w:fill="FFFFFF"/>
        </w:rPr>
        <w:t xml:space="preserve">(2), 173-179. </w:t>
      </w:r>
    </w:p>
    <w:p w14:paraId="4463875A" w14:textId="394C5206" w:rsidR="00680DBB" w:rsidRDefault="00680DBB" w:rsidP="00766BCA">
      <w:pPr>
        <w:spacing w:line="360" w:lineRule="auto"/>
        <w:ind w:left="720" w:hanging="720"/>
      </w:pPr>
    </w:p>
    <w:p w14:paraId="3FF39136" w14:textId="078DB647" w:rsidR="00680DBB" w:rsidRDefault="00680DBB" w:rsidP="00766BCA">
      <w:pPr>
        <w:spacing w:line="360" w:lineRule="auto"/>
        <w:ind w:left="720" w:hanging="720"/>
        <w:rPr>
          <w:rFonts w:cstheme="minorHAnsi"/>
          <w:color w:val="222222"/>
          <w:shd w:val="clear" w:color="auto" w:fill="FFFFFF"/>
        </w:rPr>
      </w:pPr>
      <w:r w:rsidRPr="00680DBB">
        <w:rPr>
          <w:rFonts w:cstheme="minorHAnsi"/>
          <w:color w:val="222222"/>
          <w:shd w:val="clear" w:color="auto" w:fill="FFFFFF"/>
        </w:rPr>
        <w:t>Ratten, V. (2020). Coronavirus (Covid-19) and the entrepreneurship education community. </w:t>
      </w:r>
      <w:r w:rsidRPr="00680DBB">
        <w:rPr>
          <w:rFonts w:cstheme="minorHAnsi"/>
          <w:i/>
          <w:iCs/>
          <w:color w:val="222222"/>
          <w:shd w:val="clear" w:color="auto" w:fill="FFFFFF"/>
        </w:rPr>
        <w:t>Journal of Enterprising Communities: People and Places in the Global Economy</w:t>
      </w:r>
      <w:r w:rsidRPr="00680DBB">
        <w:rPr>
          <w:rFonts w:cstheme="minorHAnsi"/>
          <w:color w:val="222222"/>
          <w:shd w:val="clear" w:color="auto" w:fill="FFFFFF"/>
        </w:rPr>
        <w:t>, </w:t>
      </w:r>
      <w:r w:rsidRPr="00680DBB">
        <w:rPr>
          <w:rFonts w:cstheme="minorHAnsi"/>
          <w:i/>
          <w:iCs/>
          <w:color w:val="222222"/>
          <w:shd w:val="clear" w:color="auto" w:fill="FFFFFF"/>
        </w:rPr>
        <w:t>14</w:t>
      </w:r>
      <w:r w:rsidRPr="00680DBB">
        <w:rPr>
          <w:rFonts w:cstheme="minorHAnsi"/>
          <w:color w:val="222222"/>
          <w:shd w:val="clear" w:color="auto" w:fill="FFFFFF"/>
        </w:rPr>
        <w:t xml:space="preserve">(5), 753-764. </w:t>
      </w:r>
      <w:hyperlink r:id="rId15" w:history="1">
        <w:r w:rsidRPr="00680DBB">
          <w:rPr>
            <w:rStyle w:val="Hyperlink"/>
            <w:rFonts w:cstheme="minorHAnsi"/>
            <w:shd w:val="clear" w:color="auto" w:fill="FFFFFF"/>
          </w:rPr>
          <w:t>https://doi.org/10.1108/JEC-06-2020-0121</w:t>
        </w:r>
      </w:hyperlink>
      <w:r w:rsidRPr="00680DBB">
        <w:rPr>
          <w:rFonts w:cstheme="minorHAnsi"/>
          <w:color w:val="222222"/>
          <w:shd w:val="clear" w:color="auto" w:fill="FFFFFF"/>
        </w:rPr>
        <w:t xml:space="preserve"> </w:t>
      </w:r>
    </w:p>
    <w:p w14:paraId="62967651" w14:textId="4145E7EE" w:rsidR="00C23554" w:rsidRDefault="00C23554" w:rsidP="00766BCA">
      <w:pPr>
        <w:spacing w:line="360" w:lineRule="auto"/>
        <w:ind w:left="720" w:hanging="720"/>
        <w:rPr>
          <w:rFonts w:cstheme="minorHAnsi"/>
          <w:color w:val="222222"/>
          <w:shd w:val="clear" w:color="auto" w:fill="FFFFFF"/>
        </w:rPr>
      </w:pPr>
    </w:p>
    <w:p w14:paraId="458FDCE9" w14:textId="01B36B86" w:rsidR="009D63D6" w:rsidRDefault="00C23554" w:rsidP="00C23554">
      <w:pPr>
        <w:spacing w:line="360" w:lineRule="auto"/>
        <w:ind w:left="720" w:hanging="720"/>
        <w:rPr>
          <w:rFonts w:cstheme="minorHAnsi"/>
          <w:color w:val="222222"/>
          <w:shd w:val="clear" w:color="auto" w:fill="FFFFFF"/>
        </w:rPr>
      </w:pPr>
      <w:r>
        <w:rPr>
          <w:rFonts w:cstheme="minorHAnsi"/>
          <w:color w:val="222222"/>
          <w:shd w:val="clear" w:color="auto" w:fill="FFFFFF"/>
        </w:rPr>
        <w:t xml:space="preserve">Saxena, R., Khan, U., Choure, A., &amp; Wankhede, S. (2021). A critique on learning theory. </w:t>
      </w:r>
      <w:r>
        <w:rPr>
          <w:rFonts w:cstheme="minorHAnsi"/>
          <w:i/>
          <w:iCs/>
          <w:color w:val="222222"/>
          <w:shd w:val="clear" w:color="auto" w:fill="FFFFFF"/>
        </w:rPr>
        <w:t>National Journal of Integrated Research in Medicine, 12</w:t>
      </w:r>
      <w:r>
        <w:rPr>
          <w:rFonts w:cstheme="minorHAnsi"/>
          <w:color w:val="222222"/>
          <w:shd w:val="clear" w:color="auto" w:fill="FFFFFF"/>
        </w:rPr>
        <w:t xml:space="preserve">(1), 95-98. </w:t>
      </w:r>
    </w:p>
    <w:p w14:paraId="22A17610" w14:textId="273AFC16" w:rsidR="00A120A1" w:rsidRDefault="00A120A1" w:rsidP="00FC6A84">
      <w:pPr>
        <w:spacing w:line="360" w:lineRule="auto"/>
        <w:rPr>
          <w:rFonts w:cstheme="minorHAnsi"/>
          <w:color w:val="222222"/>
          <w:shd w:val="clear" w:color="auto" w:fill="FFFFFF"/>
        </w:rPr>
      </w:pPr>
    </w:p>
    <w:p w14:paraId="1CE59B48" w14:textId="347ED006" w:rsidR="00A120A1" w:rsidRDefault="00A120A1" w:rsidP="00766BCA">
      <w:pPr>
        <w:spacing w:line="360" w:lineRule="auto"/>
        <w:ind w:left="720" w:hanging="720"/>
        <w:rPr>
          <w:rFonts w:cstheme="minorHAnsi"/>
          <w:color w:val="333333"/>
          <w:shd w:val="clear" w:color="auto" w:fill="FCFCFC"/>
        </w:rPr>
      </w:pPr>
      <w:r w:rsidRPr="00A120A1">
        <w:rPr>
          <w:rFonts w:cstheme="minorHAnsi"/>
          <w:color w:val="222222"/>
          <w:shd w:val="clear" w:color="auto" w:fill="FFFFFF"/>
        </w:rPr>
        <w:t>Shahan, T. A. (2017). Moving beyond reinforcement and response strength. </w:t>
      </w:r>
      <w:r w:rsidRPr="00A120A1">
        <w:rPr>
          <w:rFonts w:cstheme="minorHAnsi"/>
          <w:i/>
          <w:iCs/>
          <w:color w:val="222222"/>
          <w:shd w:val="clear" w:color="auto" w:fill="FFFFFF"/>
        </w:rPr>
        <w:t>The Behavior Analyst</w:t>
      </w:r>
      <w:r w:rsidRPr="00A120A1">
        <w:rPr>
          <w:rFonts w:cstheme="minorHAnsi"/>
          <w:color w:val="222222"/>
          <w:shd w:val="clear" w:color="auto" w:fill="FFFFFF"/>
        </w:rPr>
        <w:t>, </w:t>
      </w:r>
      <w:r w:rsidRPr="00A120A1">
        <w:rPr>
          <w:rFonts w:cstheme="minorHAnsi"/>
          <w:i/>
          <w:iCs/>
          <w:color w:val="222222"/>
          <w:shd w:val="clear" w:color="auto" w:fill="FFFFFF"/>
        </w:rPr>
        <w:t>40</w:t>
      </w:r>
      <w:r w:rsidRPr="00A120A1">
        <w:rPr>
          <w:rFonts w:cstheme="minorHAnsi"/>
          <w:color w:val="222222"/>
          <w:shd w:val="clear" w:color="auto" w:fill="FFFFFF"/>
        </w:rPr>
        <w:t>, 107-121.</w:t>
      </w:r>
      <w:r w:rsidRPr="00A120A1">
        <w:rPr>
          <w:rFonts w:cstheme="minorHAnsi"/>
          <w:color w:val="333333"/>
          <w:shd w:val="clear" w:color="auto" w:fill="FCFCFC"/>
        </w:rPr>
        <w:t xml:space="preserve"> </w:t>
      </w:r>
      <w:hyperlink r:id="rId16" w:history="1">
        <w:r w:rsidRPr="00A120A1">
          <w:rPr>
            <w:rStyle w:val="Hyperlink"/>
            <w:rFonts w:cstheme="minorHAnsi"/>
            <w:shd w:val="clear" w:color="auto" w:fill="FCFCFC"/>
          </w:rPr>
          <w:t>https://doi.org/10.1007/s40614-017-0092-y</w:t>
        </w:r>
      </w:hyperlink>
      <w:r w:rsidRPr="00A120A1">
        <w:rPr>
          <w:rFonts w:cstheme="minorHAnsi"/>
          <w:color w:val="333333"/>
          <w:shd w:val="clear" w:color="auto" w:fill="FCFCFC"/>
        </w:rPr>
        <w:t xml:space="preserve"> </w:t>
      </w:r>
    </w:p>
    <w:p w14:paraId="7FFF3B56" w14:textId="7D94452E" w:rsidR="002E6789" w:rsidRDefault="002E6789" w:rsidP="00766BCA">
      <w:pPr>
        <w:spacing w:line="360" w:lineRule="auto"/>
        <w:ind w:left="720" w:hanging="720"/>
        <w:rPr>
          <w:rFonts w:cstheme="minorHAnsi"/>
          <w:color w:val="333333"/>
          <w:shd w:val="clear" w:color="auto" w:fill="FCFCFC"/>
        </w:rPr>
      </w:pPr>
    </w:p>
    <w:p w14:paraId="3C2EE821" w14:textId="1D1124D9" w:rsidR="002E6789" w:rsidRDefault="00815628" w:rsidP="00766BCA">
      <w:pPr>
        <w:spacing w:line="360" w:lineRule="auto"/>
        <w:ind w:left="720" w:hanging="720"/>
        <w:rPr>
          <w:rFonts w:cstheme="minorHAnsi"/>
          <w:color w:val="222222"/>
          <w:shd w:val="clear" w:color="auto" w:fill="FFFFFF"/>
        </w:rPr>
      </w:pPr>
      <w:r w:rsidRPr="00815628">
        <w:rPr>
          <w:rFonts w:cstheme="minorHAnsi"/>
          <w:color w:val="222222"/>
          <w:shd w:val="clear" w:color="auto" w:fill="FFFFFF"/>
        </w:rPr>
        <w:t>Tanno, T. (2016). Response-bout analysis of interresponse times in variable-ratio and variable-interval schedules. </w:t>
      </w:r>
      <w:r w:rsidRPr="00815628">
        <w:rPr>
          <w:rFonts w:cstheme="minorHAnsi"/>
          <w:i/>
          <w:iCs/>
          <w:color w:val="222222"/>
          <w:shd w:val="clear" w:color="auto" w:fill="FFFFFF"/>
        </w:rPr>
        <w:t>Behavioural processes</w:t>
      </w:r>
      <w:r w:rsidRPr="00815628">
        <w:rPr>
          <w:rFonts w:cstheme="minorHAnsi"/>
          <w:color w:val="222222"/>
          <w:shd w:val="clear" w:color="auto" w:fill="FFFFFF"/>
        </w:rPr>
        <w:t>, </w:t>
      </w:r>
      <w:r w:rsidRPr="00815628">
        <w:rPr>
          <w:rFonts w:cstheme="minorHAnsi"/>
          <w:i/>
          <w:iCs/>
          <w:color w:val="222222"/>
          <w:shd w:val="clear" w:color="auto" w:fill="FFFFFF"/>
        </w:rPr>
        <w:t>132</w:t>
      </w:r>
      <w:r w:rsidRPr="00815628">
        <w:rPr>
          <w:rFonts w:cstheme="minorHAnsi"/>
          <w:color w:val="222222"/>
          <w:shd w:val="clear" w:color="auto" w:fill="FFFFFF"/>
        </w:rPr>
        <w:t xml:space="preserve">, 12-21. </w:t>
      </w:r>
      <w:hyperlink r:id="rId17" w:history="1">
        <w:r w:rsidRPr="00815628">
          <w:rPr>
            <w:rStyle w:val="Hyperlink"/>
            <w:rFonts w:cstheme="minorHAnsi"/>
            <w:shd w:val="clear" w:color="auto" w:fill="FFFFFF"/>
          </w:rPr>
          <w:t>https://doi.org/10.1016/j.beproc.2016.09.001</w:t>
        </w:r>
      </w:hyperlink>
      <w:r w:rsidRPr="00815628">
        <w:rPr>
          <w:rFonts w:cstheme="minorHAnsi"/>
          <w:color w:val="222222"/>
          <w:shd w:val="clear" w:color="auto" w:fill="FFFFFF"/>
        </w:rPr>
        <w:t xml:space="preserve"> </w:t>
      </w:r>
    </w:p>
    <w:p w14:paraId="35BF6BEE" w14:textId="0B9C4DCD" w:rsidR="00815628" w:rsidRDefault="00815628" w:rsidP="00766BCA">
      <w:pPr>
        <w:spacing w:line="360" w:lineRule="auto"/>
        <w:ind w:left="720" w:hanging="720"/>
        <w:rPr>
          <w:rFonts w:cstheme="minorHAnsi"/>
          <w:color w:val="222222"/>
          <w:shd w:val="clear" w:color="auto" w:fill="FFFFFF"/>
        </w:rPr>
      </w:pPr>
    </w:p>
    <w:p w14:paraId="066157C4" w14:textId="6369665F" w:rsidR="00815628" w:rsidRPr="00815628" w:rsidRDefault="00815628" w:rsidP="00766BCA">
      <w:pPr>
        <w:spacing w:line="360" w:lineRule="auto"/>
        <w:ind w:left="720" w:hanging="720"/>
        <w:rPr>
          <w:rFonts w:cstheme="minorHAnsi"/>
          <w:color w:val="222222"/>
          <w:shd w:val="clear" w:color="auto" w:fill="FFFFFF"/>
        </w:rPr>
      </w:pPr>
      <w:r w:rsidRPr="00815628">
        <w:rPr>
          <w:rFonts w:cstheme="minorHAnsi"/>
          <w:color w:val="222222"/>
          <w:shd w:val="clear" w:color="auto" w:fill="FFFFFF"/>
        </w:rPr>
        <w:lastRenderedPageBreak/>
        <w:t>Tanno, T., &amp; Silberberg, A. (2015). Inter-response-time reinforcement and relative reinforcer frequency control choice. </w:t>
      </w:r>
      <w:r w:rsidRPr="00815628">
        <w:rPr>
          <w:rFonts w:cstheme="minorHAnsi"/>
          <w:i/>
          <w:iCs/>
          <w:color w:val="222222"/>
          <w:shd w:val="clear" w:color="auto" w:fill="FFFFFF"/>
        </w:rPr>
        <w:t>Learning &amp; behavior</w:t>
      </w:r>
      <w:r w:rsidRPr="00815628">
        <w:rPr>
          <w:rFonts w:cstheme="minorHAnsi"/>
          <w:color w:val="222222"/>
          <w:shd w:val="clear" w:color="auto" w:fill="FFFFFF"/>
        </w:rPr>
        <w:t>, </w:t>
      </w:r>
      <w:r w:rsidRPr="00815628">
        <w:rPr>
          <w:rFonts w:cstheme="minorHAnsi"/>
          <w:i/>
          <w:iCs/>
          <w:color w:val="222222"/>
          <w:shd w:val="clear" w:color="auto" w:fill="FFFFFF"/>
        </w:rPr>
        <w:t>43</w:t>
      </w:r>
      <w:r w:rsidRPr="00815628">
        <w:rPr>
          <w:rFonts w:cstheme="minorHAnsi"/>
          <w:color w:val="222222"/>
          <w:shd w:val="clear" w:color="auto" w:fill="FFFFFF"/>
        </w:rPr>
        <w:t xml:space="preserve">, 54-71. </w:t>
      </w:r>
      <w:hyperlink r:id="rId18" w:history="1">
        <w:r w:rsidRPr="00815628">
          <w:rPr>
            <w:rStyle w:val="Hyperlink"/>
            <w:rFonts w:cstheme="minorHAnsi"/>
            <w:shd w:val="clear" w:color="auto" w:fill="FFFFFF"/>
          </w:rPr>
          <w:t>https://doi.org/10.3758/s13420-014-0161-y</w:t>
        </w:r>
      </w:hyperlink>
      <w:r w:rsidRPr="00815628">
        <w:rPr>
          <w:rFonts w:cstheme="minorHAnsi"/>
          <w:color w:val="222222"/>
          <w:shd w:val="clear" w:color="auto" w:fill="FFFFFF"/>
        </w:rPr>
        <w:t xml:space="preserve"> </w:t>
      </w:r>
    </w:p>
    <w:p w14:paraId="27856E14" w14:textId="44DCB33B" w:rsidR="00680DBB" w:rsidRDefault="00680DBB" w:rsidP="00766BCA">
      <w:pPr>
        <w:spacing w:line="360" w:lineRule="auto"/>
        <w:ind w:left="720" w:hanging="720"/>
        <w:rPr>
          <w:rFonts w:cstheme="minorHAnsi"/>
        </w:rPr>
      </w:pPr>
    </w:p>
    <w:p w14:paraId="61D4C097" w14:textId="514C6CD4" w:rsidR="00680DBB" w:rsidRPr="00680DBB" w:rsidRDefault="00680DBB" w:rsidP="00766BCA">
      <w:pPr>
        <w:spacing w:line="360" w:lineRule="auto"/>
        <w:ind w:left="720" w:hanging="720"/>
        <w:rPr>
          <w:rFonts w:cstheme="minorHAnsi"/>
        </w:rPr>
      </w:pPr>
      <w:r w:rsidRPr="00680DBB">
        <w:rPr>
          <w:rFonts w:cstheme="minorHAnsi"/>
          <w:color w:val="222222"/>
          <w:shd w:val="clear" w:color="auto" w:fill="FFFFFF"/>
        </w:rPr>
        <w:t>Tench, R., Topić, M., &amp; Moreno, A. (2017). Male and female communication, leadership styles and the position of women in public relations. </w:t>
      </w:r>
      <w:r w:rsidRPr="00680DBB">
        <w:rPr>
          <w:rFonts w:cstheme="minorHAnsi"/>
          <w:i/>
          <w:iCs/>
          <w:color w:val="222222"/>
          <w:shd w:val="clear" w:color="auto" w:fill="FFFFFF"/>
        </w:rPr>
        <w:t>Interactions: Studies in Communication &amp; Culture</w:t>
      </w:r>
      <w:r w:rsidRPr="00680DBB">
        <w:rPr>
          <w:rFonts w:cstheme="minorHAnsi"/>
          <w:color w:val="222222"/>
          <w:shd w:val="clear" w:color="auto" w:fill="FFFFFF"/>
        </w:rPr>
        <w:t>, </w:t>
      </w:r>
      <w:r w:rsidRPr="00680DBB">
        <w:rPr>
          <w:rFonts w:cstheme="minorHAnsi"/>
          <w:i/>
          <w:iCs/>
          <w:color w:val="222222"/>
          <w:shd w:val="clear" w:color="auto" w:fill="FFFFFF"/>
        </w:rPr>
        <w:t>8</w:t>
      </w:r>
      <w:r w:rsidRPr="00680DBB">
        <w:rPr>
          <w:rFonts w:cstheme="minorHAnsi"/>
          <w:color w:val="222222"/>
          <w:shd w:val="clear" w:color="auto" w:fill="FFFFFF"/>
        </w:rPr>
        <w:t xml:space="preserve">(2-3), 231-248. </w:t>
      </w:r>
      <w:hyperlink r:id="rId19" w:history="1">
        <w:r w:rsidRPr="00680DBB">
          <w:rPr>
            <w:rStyle w:val="Hyperlink"/>
            <w:rFonts w:cstheme="minorHAnsi"/>
            <w:shd w:val="clear" w:color="auto" w:fill="FFFFFF"/>
          </w:rPr>
          <w:t>https://doi.org/10.1386/iscc.8.2-3.231_1</w:t>
        </w:r>
      </w:hyperlink>
      <w:r w:rsidRPr="00680DBB">
        <w:rPr>
          <w:rFonts w:cstheme="minorHAnsi"/>
          <w:color w:val="222222"/>
          <w:shd w:val="clear" w:color="auto" w:fill="FFFFFF"/>
        </w:rPr>
        <w:t xml:space="preserve"> </w:t>
      </w:r>
    </w:p>
    <w:p w14:paraId="25BEE194" w14:textId="26E0B8C5" w:rsidR="001608F5" w:rsidRDefault="001608F5" w:rsidP="00766BCA">
      <w:pPr>
        <w:spacing w:line="360" w:lineRule="auto"/>
        <w:ind w:left="720" w:hanging="720"/>
        <w:rPr>
          <w:rFonts w:cstheme="minorHAnsi"/>
          <w:b/>
          <w:bCs/>
        </w:rPr>
      </w:pPr>
    </w:p>
    <w:p w14:paraId="161D146B" w14:textId="0BB7AF46" w:rsidR="001608F5" w:rsidRDefault="001608F5" w:rsidP="00766BCA">
      <w:pPr>
        <w:spacing w:line="360" w:lineRule="auto"/>
        <w:ind w:left="720" w:hanging="720"/>
        <w:rPr>
          <w:rFonts w:asciiTheme="majorHAnsi" w:hAnsiTheme="majorHAnsi" w:cstheme="majorHAnsi"/>
          <w:color w:val="222222"/>
          <w:shd w:val="clear" w:color="auto" w:fill="FFFFFF"/>
        </w:rPr>
      </w:pPr>
      <w:r w:rsidRPr="001608F5">
        <w:rPr>
          <w:rFonts w:asciiTheme="majorHAnsi" w:hAnsiTheme="majorHAnsi" w:cstheme="majorHAnsi"/>
          <w:color w:val="222222"/>
          <w:shd w:val="clear" w:color="auto" w:fill="FFFFFF"/>
        </w:rPr>
        <w:t>T</w:t>
      </w:r>
      <w:r w:rsidRPr="001608F5">
        <w:rPr>
          <w:rFonts w:cstheme="minorHAnsi"/>
          <w:color w:val="222222"/>
          <w:shd w:val="clear" w:color="auto" w:fill="FFFFFF"/>
        </w:rPr>
        <w:t>yng, C. M., Amin, H. U., Saad, M. N., &amp; Malik, A. S. (2017). The influences of emotion on learning and memory. </w:t>
      </w:r>
      <w:r w:rsidRPr="001608F5">
        <w:rPr>
          <w:rFonts w:cstheme="minorHAnsi"/>
          <w:i/>
          <w:iCs/>
          <w:color w:val="222222"/>
          <w:shd w:val="clear" w:color="auto" w:fill="FFFFFF"/>
        </w:rPr>
        <w:t>Frontiers in psychology</w:t>
      </w:r>
      <w:r w:rsidRPr="001608F5">
        <w:rPr>
          <w:rFonts w:cstheme="minorHAnsi"/>
          <w:color w:val="222222"/>
          <w:shd w:val="clear" w:color="auto" w:fill="FFFFFF"/>
        </w:rPr>
        <w:t xml:space="preserve">, 8(1454), 1-22. </w:t>
      </w:r>
      <w:hyperlink r:id="rId20" w:history="1">
        <w:r w:rsidRPr="001608F5">
          <w:rPr>
            <w:rStyle w:val="Hyperlink"/>
            <w:rFonts w:cstheme="minorHAnsi"/>
            <w:shd w:val="clear" w:color="auto" w:fill="FFFFFF"/>
          </w:rPr>
          <w:t>https://doi.org/10.3389/fpsyg.2017.01454</w:t>
        </w:r>
      </w:hyperlink>
      <w:r w:rsidRPr="001608F5">
        <w:rPr>
          <w:rFonts w:asciiTheme="majorHAnsi" w:hAnsiTheme="majorHAnsi" w:cstheme="majorHAnsi"/>
          <w:color w:val="222222"/>
          <w:shd w:val="clear" w:color="auto" w:fill="FFFFFF"/>
        </w:rPr>
        <w:t xml:space="preserve">  </w:t>
      </w:r>
    </w:p>
    <w:p w14:paraId="20CBB91E" w14:textId="42897F94" w:rsidR="00983EAF" w:rsidRDefault="00983EAF" w:rsidP="00766BCA">
      <w:pPr>
        <w:spacing w:line="360" w:lineRule="auto"/>
        <w:ind w:left="720" w:hanging="720"/>
        <w:rPr>
          <w:rFonts w:asciiTheme="majorHAnsi" w:hAnsiTheme="majorHAnsi" w:cstheme="majorHAnsi"/>
          <w:b/>
          <w:bCs/>
        </w:rPr>
      </w:pPr>
    </w:p>
    <w:p w14:paraId="69B7B00C" w14:textId="7A7C010E" w:rsidR="00983EAF" w:rsidRPr="00983EAF" w:rsidRDefault="00983EAF" w:rsidP="00983EAF">
      <w:pPr>
        <w:spacing w:line="360" w:lineRule="auto"/>
        <w:ind w:left="720" w:hanging="720"/>
        <w:rPr>
          <w:rFonts w:cstheme="minorHAnsi"/>
        </w:rPr>
      </w:pPr>
      <w:r w:rsidRPr="00983EAF">
        <w:rPr>
          <w:rFonts w:cstheme="minorHAnsi"/>
        </w:rPr>
        <w:t xml:space="preserve">Woolfolk, A. (2016). </w:t>
      </w:r>
      <w:r w:rsidRPr="00983EAF">
        <w:rPr>
          <w:rFonts w:cstheme="minorHAnsi"/>
          <w:i/>
          <w:iCs/>
        </w:rPr>
        <w:t xml:space="preserve">Educational psychology </w:t>
      </w:r>
      <w:r w:rsidRPr="00983EAF">
        <w:rPr>
          <w:rFonts w:cstheme="minorHAnsi"/>
        </w:rPr>
        <w:t>(13</w:t>
      </w:r>
      <w:r w:rsidRPr="00983EAF">
        <w:rPr>
          <w:rFonts w:cstheme="minorHAnsi"/>
          <w:vertAlign w:val="superscript"/>
        </w:rPr>
        <w:t>th</w:t>
      </w:r>
      <w:r w:rsidRPr="00983EAF">
        <w:rPr>
          <w:rFonts w:cstheme="minorHAnsi"/>
        </w:rPr>
        <w:t xml:space="preserve"> ed.). Pearson Education Limited. </w:t>
      </w:r>
    </w:p>
    <w:p w14:paraId="7FD52C63" w14:textId="77777777" w:rsidR="007307F1" w:rsidRPr="007307F1" w:rsidRDefault="007307F1" w:rsidP="001B4B06">
      <w:pPr>
        <w:spacing w:line="360" w:lineRule="auto"/>
      </w:pPr>
    </w:p>
    <w:sectPr w:rsidR="007307F1" w:rsidRPr="007307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06"/>
    <w:rsid w:val="000041D9"/>
    <w:rsid w:val="00011005"/>
    <w:rsid w:val="00023165"/>
    <w:rsid w:val="00072EC8"/>
    <w:rsid w:val="00076856"/>
    <w:rsid w:val="00086453"/>
    <w:rsid w:val="0009162C"/>
    <w:rsid w:val="000C00F2"/>
    <w:rsid w:val="000F7249"/>
    <w:rsid w:val="000F7359"/>
    <w:rsid w:val="001073F4"/>
    <w:rsid w:val="00107521"/>
    <w:rsid w:val="0012724C"/>
    <w:rsid w:val="001608F5"/>
    <w:rsid w:val="00176F6D"/>
    <w:rsid w:val="0019021C"/>
    <w:rsid w:val="001B4B06"/>
    <w:rsid w:val="001E5647"/>
    <w:rsid w:val="001E6A56"/>
    <w:rsid w:val="001F5F77"/>
    <w:rsid w:val="00231140"/>
    <w:rsid w:val="002321F2"/>
    <w:rsid w:val="00247FDA"/>
    <w:rsid w:val="00255B9D"/>
    <w:rsid w:val="002564AC"/>
    <w:rsid w:val="002756AE"/>
    <w:rsid w:val="002B13E9"/>
    <w:rsid w:val="002C408F"/>
    <w:rsid w:val="002E419A"/>
    <w:rsid w:val="002E6789"/>
    <w:rsid w:val="002F7544"/>
    <w:rsid w:val="003340CD"/>
    <w:rsid w:val="003515EA"/>
    <w:rsid w:val="00363695"/>
    <w:rsid w:val="00366223"/>
    <w:rsid w:val="003705BB"/>
    <w:rsid w:val="00371C4A"/>
    <w:rsid w:val="00373A0C"/>
    <w:rsid w:val="003C3A90"/>
    <w:rsid w:val="003C45C8"/>
    <w:rsid w:val="003C4E5E"/>
    <w:rsid w:val="003C5BC8"/>
    <w:rsid w:val="003D0953"/>
    <w:rsid w:val="00405C81"/>
    <w:rsid w:val="00416910"/>
    <w:rsid w:val="00433A38"/>
    <w:rsid w:val="00457769"/>
    <w:rsid w:val="004701D9"/>
    <w:rsid w:val="00475E54"/>
    <w:rsid w:val="004773E4"/>
    <w:rsid w:val="004964B9"/>
    <w:rsid w:val="004D3514"/>
    <w:rsid w:val="004F773F"/>
    <w:rsid w:val="00531E98"/>
    <w:rsid w:val="00534A15"/>
    <w:rsid w:val="0054173A"/>
    <w:rsid w:val="005753B1"/>
    <w:rsid w:val="005A2DFF"/>
    <w:rsid w:val="005C78F4"/>
    <w:rsid w:val="005F58F3"/>
    <w:rsid w:val="0062362F"/>
    <w:rsid w:val="006363C2"/>
    <w:rsid w:val="00643501"/>
    <w:rsid w:val="00662F24"/>
    <w:rsid w:val="00667679"/>
    <w:rsid w:val="00680DBB"/>
    <w:rsid w:val="00687EA3"/>
    <w:rsid w:val="00693F09"/>
    <w:rsid w:val="006D2102"/>
    <w:rsid w:val="006D6A16"/>
    <w:rsid w:val="006E3C76"/>
    <w:rsid w:val="0070226F"/>
    <w:rsid w:val="00706C5B"/>
    <w:rsid w:val="007307F1"/>
    <w:rsid w:val="007337AD"/>
    <w:rsid w:val="00734E07"/>
    <w:rsid w:val="00766BCA"/>
    <w:rsid w:val="007A6ADD"/>
    <w:rsid w:val="007B730B"/>
    <w:rsid w:val="007D1DE8"/>
    <w:rsid w:val="007E5ED2"/>
    <w:rsid w:val="00815628"/>
    <w:rsid w:val="00817404"/>
    <w:rsid w:val="00881911"/>
    <w:rsid w:val="00884E53"/>
    <w:rsid w:val="008A59F1"/>
    <w:rsid w:val="008A7AD1"/>
    <w:rsid w:val="008C31B8"/>
    <w:rsid w:val="008D40E8"/>
    <w:rsid w:val="008E764F"/>
    <w:rsid w:val="00914D9D"/>
    <w:rsid w:val="0093613B"/>
    <w:rsid w:val="0094623A"/>
    <w:rsid w:val="009838E2"/>
    <w:rsid w:val="00983EAF"/>
    <w:rsid w:val="009921AE"/>
    <w:rsid w:val="00997914"/>
    <w:rsid w:val="009B36D9"/>
    <w:rsid w:val="009D63D6"/>
    <w:rsid w:val="009E4D12"/>
    <w:rsid w:val="009F5453"/>
    <w:rsid w:val="00A120A1"/>
    <w:rsid w:val="00A30024"/>
    <w:rsid w:val="00A4255C"/>
    <w:rsid w:val="00A673AD"/>
    <w:rsid w:val="00A90CBC"/>
    <w:rsid w:val="00A95843"/>
    <w:rsid w:val="00AE202C"/>
    <w:rsid w:val="00AF30A3"/>
    <w:rsid w:val="00B063A1"/>
    <w:rsid w:val="00B6110A"/>
    <w:rsid w:val="00B76B7C"/>
    <w:rsid w:val="00B8630C"/>
    <w:rsid w:val="00BA1DD5"/>
    <w:rsid w:val="00BC565A"/>
    <w:rsid w:val="00BC5DBA"/>
    <w:rsid w:val="00C00598"/>
    <w:rsid w:val="00C079E1"/>
    <w:rsid w:val="00C23554"/>
    <w:rsid w:val="00C81865"/>
    <w:rsid w:val="00CB35B9"/>
    <w:rsid w:val="00CD1BE7"/>
    <w:rsid w:val="00CE5025"/>
    <w:rsid w:val="00D010AC"/>
    <w:rsid w:val="00D104E8"/>
    <w:rsid w:val="00D30FFB"/>
    <w:rsid w:val="00D614CA"/>
    <w:rsid w:val="00D66997"/>
    <w:rsid w:val="00D7544D"/>
    <w:rsid w:val="00DD0E9F"/>
    <w:rsid w:val="00DE57C5"/>
    <w:rsid w:val="00E029FC"/>
    <w:rsid w:val="00E21A7A"/>
    <w:rsid w:val="00E275CD"/>
    <w:rsid w:val="00E3207E"/>
    <w:rsid w:val="00E432A7"/>
    <w:rsid w:val="00E4416E"/>
    <w:rsid w:val="00E463F7"/>
    <w:rsid w:val="00E53F51"/>
    <w:rsid w:val="00E65899"/>
    <w:rsid w:val="00EA36CE"/>
    <w:rsid w:val="00EB2DCE"/>
    <w:rsid w:val="00EB501B"/>
    <w:rsid w:val="00ED3E78"/>
    <w:rsid w:val="00EE0272"/>
    <w:rsid w:val="00EE77AD"/>
    <w:rsid w:val="00EF55BF"/>
    <w:rsid w:val="00F21997"/>
    <w:rsid w:val="00F548D1"/>
    <w:rsid w:val="00F736CB"/>
    <w:rsid w:val="00F93F82"/>
    <w:rsid w:val="00FC154B"/>
    <w:rsid w:val="00FC6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59C1A"/>
  <w15:chartTrackingRefBased/>
  <w15:docId w15:val="{C994B781-C101-4C44-A3A7-DA3ABFF81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0F2"/>
    <w:rPr>
      <w:color w:val="0563C1" w:themeColor="hyperlink"/>
      <w:u w:val="single"/>
    </w:rPr>
  </w:style>
  <w:style w:type="character" w:styleId="UnresolvedMention">
    <w:name w:val="Unresolved Mention"/>
    <w:basedOn w:val="DefaultParagraphFont"/>
    <w:uiPriority w:val="99"/>
    <w:semiHidden/>
    <w:unhideWhenUsed/>
    <w:rsid w:val="000C00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1177/1074295620915724" TargetMode="External"/><Relationship Id="rId13" Type="http://schemas.openxmlformats.org/officeDocument/2006/relationships/hyperlink" Target="https://doi.org/10.3390/su12145768" TargetMode="External"/><Relationship Id="rId18" Type="http://schemas.openxmlformats.org/officeDocument/2006/relationships/hyperlink" Target="https://doi.org/10.3758/s13420-014-0161-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80/19404158.2017.1393626" TargetMode="External"/><Relationship Id="rId12" Type="http://schemas.openxmlformats.org/officeDocument/2006/relationships/hyperlink" Target="https://doi.org/10.29333/iji.2021.14259a" TargetMode="External"/><Relationship Id="rId17" Type="http://schemas.openxmlformats.org/officeDocument/2006/relationships/hyperlink" Target="https://doi.org/10.1016/j.beproc.2016.09.001" TargetMode="External"/><Relationship Id="rId2" Type="http://schemas.openxmlformats.org/officeDocument/2006/relationships/styles" Target="styles.xml"/><Relationship Id="rId16" Type="http://schemas.openxmlformats.org/officeDocument/2006/relationships/hyperlink" Target="https://doi.org/10.1007/s40614-017-0092-y" TargetMode="External"/><Relationship Id="rId20" Type="http://schemas.openxmlformats.org/officeDocument/2006/relationships/hyperlink" Target="https://doi.org/10.3389/fpsyg.2017.01454" TargetMode="External"/><Relationship Id="rId1" Type="http://schemas.openxmlformats.org/officeDocument/2006/relationships/customXml" Target="../customXml/item1.xml"/><Relationship Id="rId6" Type="http://schemas.openxmlformats.org/officeDocument/2006/relationships/hyperlink" Target="https://doi/pdf/10.1177/019874290603200103" TargetMode="External"/><Relationship Id="rId11" Type="http://schemas.openxmlformats.org/officeDocument/2006/relationships/hyperlink" Target="https://doi.org/10.4995/muse.2018.6370" TargetMode="External"/><Relationship Id="rId5" Type="http://schemas.openxmlformats.org/officeDocument/2006/relationships/hyperlink" Target="https://doi.org/10.1108/AAOUJ-05-2022-0064" TargetMode="External"/><Relationship Id="rId15" Type="http://schemas.openxmlformats.org/officeDocument/2006/relationships/hyperlink" Target="https://doi.org/10.1108/JEC-06-2020-0121" TargetMode="External"/><Relationship Id="rId10" Type="http://schemas.openxmlformats.org/officeDocument/2006/relationships/hyperlink" Target="https://doi:10.1177/1098300716653226" TargetMode="External"/><Relationship Id="rId19" Type="http://schemas.openxmlformats.org/officeDocument/2006/relationships/hyperlink" Target="https://doi.org/10.1386/iscc.8.2-3.231_1" TargetMode="External"/><Relationship Id="rId4" Type="http://schemas.openxmlformats.org/officeDocument/2006/relationships/webSettings" Target="webSettings.xml"/><Relationship Id="rId9" Type="http://schemas.openxmlformats.org/officeDocument/2006/relationships/hyperlink" Target="https://doi.org/10.1111/ejed.12265" TargetMode="External"/><Relationship Id="rId14" Type="http://schemas.openxmlformats.org/officeDocument/2006/relationships/hyperlink" Target="https://doi.org/10.1016/j.sbspro.2014.09.2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E88B0-02CF-43D9-A2DB-C69FF6251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10</Pages>
  <Words>3316</Words>
  <Characters>18904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123</cp:revision>
  <dcterms:created xsi:type="dcterms:W3CDTF">2023-03-18T12:12:00Z</dcterms:created>
  <dcterms:modified xsi:type="dcterms:W3CDTF">2023-03-24T18:54:00Z</dcterms:modified>
</cp:coreProperties>
</file>