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8F4" w:rsidRDefault="004708F4" w:rsidP="004708F4">
      <w:pPr>
        <w:rPr>
          <w:rFonts w:ascii="Arial" w:hAnsi="Arial" w:cs="Arial"/>
          <w:b/>
          <w:bCs/>
          <w:u w:val="single"/>
        </w:rPr>
      </w:pPr>
      <w:r>
        <w:rPr>
          <w:rFonts w:ascii="Arial" w:hAnsi="Arial" w:cs="Arial"/>
          <w:b/>
          <w:bCs/>
          <w:u w:val="single"/>
        </w:rPr>
        <w:t>WOODCROFT PLC – SOLUTION</w:t>
      </w:r>
    </w:p>
    <w:p w:rsidR="004708F4" w:rsidRDefault="004708F4" w:rsidP="004708F4">
      <w:pPr>
        <w:rPr>
          <w:rFonts w:ascii="Arial" w:hAnsi="Arial" w:cs="Arial"/>
        </w:rPr>
      </w:pPr>
    </w:p>
    <w:p w:rsidR="004708F4" w:rsidRDefault="004708F4" w:rsidP="004708F4">
      <w:pPr>
        <w:pStyle w:val="Heading2"/>
      </w:pPr>
      <w:r>
        <w:t>LIQUIDITY</w:t>
      </w: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1.</w:t>
      </w:r>
      <w:r>
        <w:rPr>
          <w:rFonts w:ascii="Arial" w:hAnsi="Arial" w:cs="Arial"/>
        </w:rPr>
        <w:tab/>
      </w:r>
      <w:r>
        <w:rPr>
          <w:rFonts w:ascii="Arial" w:hAnsi="Arial" w:cs="Arial"/>
          <w:u w:val="single"/>
        </w:rPr>
        <w:t>Current Ratio</w:t>
      </w:r>
      <w:r>
        <w:rPr>
          <w:rFonts w:ascii="Arial" w:hAnsi="Arial" w:cs="Arial"/>
        </w:rPr>
        <w:t>:</w:t>
      </w: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rPr>
          <w:rFonts w:ascii="Arial" w:hAnsi="Arial" w:cs="Arial"/>
        </w:rPr>
      </w:pPr>
      <w:r>
        <w:rPr>
          <w:rFonts w:ascii="Arial" w:hAnsi="Arial" w:cs="Arial"/>
        </w:rPr>
        <w:tab/>
      </w:r>
      <w:r>
        <w:rPr>
          <w:rFonts w:ascii="Arial" w:hAnsi="Arial" w:cs="Arial"/>
        </w:rPr>
        <w:tab/>
      </w:r>
      <w:r>
        <w:rPr>
          <w:rFonts w:ascii="Arial" w:hAnsi="Arial" w:cs="Arial"/>
          <w:u w:val="single"/>
        </w:rPr>
        <w:t>500</w:t>
      </w:r>
      <w:r>
        <w:rPr>
          <w:rFonts w:ascii="Arial" w:hAnsi="Arial" w:cs="Arial"/>
        </w:rPr>
        <w:t xml:space="preserve"> </w:t>
      </w:r>
      <w:r>
        <w:rPr>
          <w:rFonts w:ascii="Arial" w:hAnsi="Arial" w:cs="Arial"/>
        </w:rPr>
        <w:tab/>
        <w:t>=</w:t>
      </w:r>
      <w:r>
        <w:rPr>
          <w:rFonts w:ascii="Arial" w:hAnsi="Arial" w:cs="Arial"/>
        </w:rPr>
        <w:tab/>
        <w:t>1.25</w:t>
      </w:r>
      <w:r>
        <w:rPr>
          <w:rFonts w:ascii="Arial" w:hAnsi="Arial" w:cs="Arial"/>
        </w:rPr>
        <w:tab/>
      </w:r>
      <w:r>
        <w:rPr>
          <w:rFonts w:ascii="Arial" w:hAnsi="Arial" w:cs="Arial"/>
        </w:rPr>
        <w:tab/>
      </w:r>
      <w:r>
        <w:rPr>
          <w:rFonts w:ascii="Arial" w:hAnsi="Arial" w:cs="Arial"/>
          <w:u w:val="single"/>
        </w:rPr>
        <w:t>520</w:t>
      </w:r>
      <w:r>
        <w:rPr>
          <w:rFonts w:ascii="Arial" w:hAnsi="Arial" w:cs="Arial"/>
        </w:rPr>
        <w:t xml:space="preserve">      =</w:t>
      </w:r>
      <w:r>
        <w:rPr>
          <w:rFonts w:ascii="Arial" w:hAnsi="Arial" w:cs="Arial"/>
        </w:rPr>
        <w:tab/>
        <w:t>1.37</w:t>
      </w: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t>400</w:t>
      </w:r>
      <w:r>
        <w:rPr>
          <w:rFonts w:ascii="Arial" w:hAnsi="Arial" w:cs="Arial"/>
        </w:rPr>
        <w:tab/>
      </w:r>
      <w:r>
        <w:rPr>
          <w:rFonts w:ascii="Arial" w:hAnsi="Arial" w:cs="Arial"/>
        </w:rPr>
        <w:tab/>
      </w:r>
      <w:r>
        <w:rPr>
          <w:rFonts w:ascii="Arial" w:hAnsi="Arial" w:cs="Arial"/>
        </w:rPr>
        <w:tab/>
      </w:r>
      <w:r>
        <w:rPr>
          <w:rFonts w:ascii="Arial" w:hAnsi="Arial" w:cs="Arial"/>
        </w:rPr>
        <w:tab/>
        <w:t>380</w:t>
      </w:r>
    </w:p>
    <w:p w:rsidR="004708F4" w:rsidRDefault="004708F4" w:rsidP="004708F4">
      <w:pPr>
        <w:rPr>
          <w:rFonts w:ascii="Arial" w:hAnsi="Arial" w:cs="Arial"/>
        </w:rPr>
      </w:pP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Comments:</w:t>
      </w:r>
    </w:p>
    <w:p w:rsidR="004708F4" w:rsidRDefault="004708F4" w:rsidP="004708F4">
      <w:pPr>
        <w:rPr>
          <w:rFonts w:ascii="Arial" w:hAnsi="Arial" w:cs="Arial"/>
        </w:rPr>
      </w:pPr>
    </w:p>
    <w:p w:rsidR="004708F4" w:rsidRDefault="004708F4" w:rsidP="004708F4">
      <w:pPr>
        <w:pStyle w:val="BodyText"/>
      </w:pPr>
      <w:r>
        <w:t>Ratio for normal manufacturing business is in the range 1.5 to 2.0 for ‘safety’.  The trend here is moving towards the ‘safe range’.  However, it is good financial management to have a low current ratio, but not too low as to be ‘risky’.</w:t>
      </w: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2.</w:t>
      </w:r>
      <w:r>
        <w:rPr>
          <w:rFonts w:ascii="Arial" w:hAnsi="Arial" w:cs="Arial"/>
        </w:rPr>
        <w:tab/>
      </w:r>
      <w:r>
        <w:rPr>
          <w:rFonts w:ascii="Arial" w:hAnsi="Arial" w:cs="Arial"/>
          <w:u w:val="single"/>
        </w:rPr>
        <w:t>Acid Test (Quick Ratio)</w:t>
      </w:r>
      <w:r>
        <w:rPr>
          <w:rFonts w:ascii="Arial" w:hAnsi="Arial" w:cs="Arial"/>
        </w:rPr>
        <w:t>:</w:t>
      </w: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ab/>
      </w:r>
      <w:r>
        <w:rPr>
          <w:rFonts w:ascii="Arial" w:hAnsi="Arial" w:cs="Arial"/>
        </w:rPr>
        <w:tab/>
      </w:r>
      <w:r>
        <w:rPr>
          <w:rFonts w:ascii="Arial" w:hAnsi="Arial" w:cs="Arial"/>
          <w:u w:val="single"/>
        </w:rPr>
        <w:t xml:space="preserve">300 </w:t>
      </w:r>
      <w:r>
        <w:rPr>
          <w:rFonts w:ascii="Arial" w:hAnsi="Arial" w:cs="Arial"/>
        </w:rPr>
        <w:t xml:space="preserve">  =</w:t>
      </w:r>
      <w:r>
        <w:rPr>
          <w:rFonts w:ascii="Arial" w:hAnsi="Arial" w:cs="Arial"/>
        </w:rPr>
        <w:tab/>
        <w:t>0.75</w:t>
      </w:r>
      <w:r>
        <w:rPr>
          <w:rFonts w:ascii="Arial" w:hAnsi="Arial" w:cs="Arial"/>
        </w:rPr>
        <w:tab/>
      </w:r>
      <w:r>
        <w:rPr>
          <w:rFonts w:ascii="Arial" w:hAnsi="Arial" w:cs="Arial"/>
        </w:rPr>
        <w:tab/>
      </w:r>
      <w:r>
        <w:rPr>
          <w:rFonts w:ascii="Arial" w:hAnsi="Arial" w:cs="Arial"/>
          <w:u w:val="single"/>
        </w:rPr>
        <w:t>340</w:t>
      </w:r>
      <w:r w:rsidR="00D95F65">
        <w:rPr>
          <w:rFonts w:ascii="Arial" w:hAnsi="Arial" w:cs="Arial"/>
        </w:rPr>
        <w:t xml:space="preserve">   =</w:t>
      </w:r>
      <w:r w:rsidR="00D95F65">
        <w:rPr>
          <w:rFonts w:ascii="Arial" w:hAnsi="Arial" w:cs="Arial"/>
        </w:rPr>
        <w:tab/>
        <w:t>0.89</w:t>
      </w: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t>400</w:t>
      </w:r>
      <w:r>
        <w:rPr>
          <w:rFonts w:ascii="Arial" w:hAnsi="Arial" w:cs="Arial"/>
        </w:rPr>
        <w:tab/>
      </w:r>
      <w:r>
        <w:rPr>
          <w:rFonts w:ascii="Arial" w:hAnsi="Arial" w:cs="Arial"/>
        </w:rPr>
        <w:tab/>
      </w:r>
      <w:r>
        <w:rPr>
          <w:rFonts w:ascii="Arial" w:hAnsi="Arial" w:cs="Arial"/>
        </w:rPr>
        <w:tab/>
      </w:r>
      <w:r>
        <w:rPr>
          <w:rFonts w:ascii="Arial" w:hAnsi="Arial" w:cs="Arial"/>
        </w:rPr>
        <w:tab/>
        <w:t>380</w:t>
      </w: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Comments:</w:t>
      </w:r>
    </w:p>
    <w:p w:rsidR="004708F4" w:rsidRDefault="004708F4" w:rsidP="004708F4">
      <w:pPr>
        <w:rPr>
          <w:rFonts w:ascii="Arial" w:hAnsi="Arial" w:cs="Arial"/>
        </w:rPr>
      </w:pPr>
    </w:p>
    <w:p w:rsidR="004708F4" w:rsidRDefault="004708F4" w:rsidP="004708F4">
      <w:pPr>
        <w:pStyle w:val="BodyText"/>
      </w:pPr>
      <w:r>
        <w:t xml:space="preserve">Ratio for normal manufacturing business is in the range 1.0 to 1.5 for ‘safety’.  The trend here is moving towards the ‘safe range’, however because the ratio is less than 1, the business is ‘technically insolvent’.  However, as with the Current Ratio it is good financial management to operate with low liquidity </w:t>
      </w:r>
      <w:r w:rsidR="00FE23D5">
        <w:t>ratios</w:t>
      </w:r>
      <w:r>
        <w:t>, as long as creditors are confident in this business.</w:t>
      </w:r>
    </w:p>
    <w:p w:rsidR="004708F4" w:rsidRDefault="004708F4" w:rsidP="004708F4">
      <w:pPr>
        <w:rPr>
          <w:rFonts w:ascii="Arial" w:hAnsi="Arial" w:cs="Arial"/>
        </w:rPr>
      </w:pPr>
    </w:p>
    <w:p w:rsidR="004708F4" w:rsidRDefault="004708F4" w:rsidP="004708F4">
      <w:pPr>
        <w:rPr>
          <w:rFonts w:ascii="Arial" w:hAnsi="Arial" w:cs="Arial"/>
        </w:rPr>
      </w:pPr>
    </w:p>
    <w:p w:rsidR="004708F4" w:rsidRDefault="004708F4" w:rsidP="004708F4">
      <w:pPr>
        <w:pStyle w:val="Heading2"/>
      </w:pPr>
      <w:r>
        <w:t>PROFITABILITY</w:t>
      </w:r>
    </w:p>
    <w:p w:rsidR="004708F4" w:rsidRDefault="004708F4" w:rsidP="004708F4">
      <w:pPr>
        <w:rPr>
          <w:rFonts w:ascii="Arial" w:hAnsi="Arial" w:cs="Arial"/>
        </w:rPr>
      </w:pPr>
    </w:p>
    <w:p w:rsidR="004708F4" w:rsidRDefault="004708F4" w:rsidP="004708F4">
      <w:pPr>
        <w:rPr>
          <w:rFonts w:ascii="Arial" w:hAnsi="Arial" w:cs="Arial"/>
        </w:rPr>
      </w:pPr>
      <w:r>
        <w:rPr>
          <w:rFonts w:ascii="Arial" w:hAnsi="Arial" w:cs="Arial"/>
        </w:rPr>
        <w:t>3.</w:t>
      </w:r>
      <w:r>
        <w:rPr>
          <w:rFonts w:ascii="Arial" w:hAnsi="Arial" w:cs="Arial"/>
        </w:rPr>
        <w:tab/>
      </w:r>
      <w:r>
        <w:rPr>
          <w:rFonts w:ascii="Arial" w:hAnsi="Arial" w:cs="Arial"/>
          <w:u w:val="single"/>
        </w:rPr>
        <w:t>Net Profit to Sales</w:t>
      </w:r>
    </w:p>
    <w:p w:rsidR="004708F4" w:rsidRDefault="004708F4" w:rsidP="004708F4">
      <w:pPr>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u w:val="single"/>
        </w:rPr>
        <w:t>120</w:t>
      </w:r>
      <w:r>
        <w:rPr>
          <w:rFonts w:ascii="Arial" w:hAnsi="Arial" w:cs="Arial"/>
        </w:rPr>
        <w:t xml:space="preserve">    x 100% =</w:t>
      </w:r>
      <w:r>
        <w:rPr>
          <w:rFonts w:ascii="Arial" w:hAnsi="Arial" w:cs="Arial"/>
        </w:rPr>
        <w:tab/>
        <w:t>10%</w:t>
      </w:r>
      <w:r>
        <w:rPr>
          <w:rFonts w:ascii="Arial" w:hAnsi="Arial" w:cs="Arial"/>
        </w:rPr>
        <w:tab/>
      </w:r>
      <w:r>
        <w:rPr>
          <w:rFonts w:ascii="Arial" w:hAnsi="Arial" w:cs="Arial"/>
        </w:rPr>
        <w:tab/>
      </w:r>
      <w:r>
        <w:rPr>
          <w:rFonts w:ascii="Arial" w:hAnsi="Arial" w:cs="Arial"/>
          <w:u w:val="single"/>
        </w:rPr>
        <w:t>180</w:t>
      </w:r>
      <w:r>
        <w:rPr>
          <w:rFonts w:ascii="Arial" w:hAnsi="Arial" w:cs="Arial"/>
        </w:rPr>
        <w:t xml:space="preserve">   x 100% =</w:t>
      </w:r>
      <w:r>
        <w:rPr>
          <w:rFonts w:ascii="Arial" w:hAnsi="Arial" w:cs="Arial"/>
        </w:rPr>
        <w:tab/>
        <w:t>11.25%</w:t>
      </w:r>
    </w:p>
    <w:p w:rsidR="004708F4" w:rsidRDefault="004708F4" w:rsidP="004708F4">
      <w:pPr>
        <w:pStyle w:val="Footer"/>
        <w:tabs>
          <w:tab w:val="clear" w:pos="4153"/>
          <w:tab w:val="clear" w:pos="8306"/>
        </w:tabs>
        <w:rPr>
          <w:rFonts w:ascii="Arial" w:hAnsi="Arial" w:cs="Arial"/>
        </w:rPr>
      </w:pPr>
      <w:r>
        <w:rPr>
          <w:rFonts w:ascii="Arial" w:hAnsi="Arial" w:cs="Arial"/>
        </w:rPr>
        <w:tab/>
        <w:t>1200</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1600</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jc w:val="both"/>
        <w:rPr>
          <w:rFonts w:ascii="Arial" w:hAnsi="Arial" w:cs="Arial"/>
        </w:rPr>
      </w:pPr>
      <w:r>
        <w:rPr>
          <w:rFonts w:ascii="Arial" w:hAnsi="Arial" w:cs="Arial"/>
        </w:rPr>
        <w:t xml:space="preserve">Comments:  The trend is increasing so must be good.  </w:t>
      </w:r>
      <w:r w:rsidR="00FE23D5">
        <w:rPr>
          <w:rFonts w:ascii="Arial" w:hAnsi="Arial" w:cs="Arial"/>
        </w:rPr>
        <w:t>Comparisons</w:t>
      </w:r>
      <w:r>
        <w:rPr>
          <w:rFonts w:ascii="Arial" w:hAnsi="Arial" w:cs="Arial"/>
        </w:rPr>
        <w:t xml:space="preserve"> are needed with a ‘similar sized business’ and the ‘business sector norm’, to establish relative performance.  It could also signify that improving </w:t>
      </w:r>
      <w:proofErr w:type="gramStart"/>
      <w:r>
        <w:rPr>
          <w:rFonts w:ascii="Arial" w:hAnsi="Arial" w:cs="Arial"/>
        </w:rPr>
        <w:t>margins,</w:t>
      </w:r>
      <w:proofErr w:type="gramEnd"/>
      <w:r>
        <w:rPr>
          <w:rFonts w:ascii="Arial" w:hAnsi="Arial" w:cs="Arial"/>
        </w:rPr>
        <w:t xml:space="preserve"> mean better control of overhead expenses. </w:t>
      </w:r>
    </w:p>
    <w:p w:rsidR="004708F4" w:rsidRDefault="004708F4" w:rsidP="004708F4">
      <w:pPr>
        <w:pStyle w:val="Footer"/>
        <w:tabs>
          <w:tab w:val="clear" w:pos="4153"/>
          <w:tab w:val="clear" w:pos="8306"/>
        </w:tabs>
        <w:rPr>
          <w:rFonts w:ascii="Arial" w:hAnsi="Arial" w:cs="Arial"/>
        </w:rPr>
      </w:pPr>
    </w:p>
    <w:p w:rsidR="00FE23D5" w:rsidRDefault="00FE23D5"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lastRenderedPageBreak/>
        <w:t>4.</w:t>
      </w:r>
      <w:r>
        <w:rPr>
          <w:rFonts w:ascii="Arial" w:hAnsi="Arial" w:cs="Arial"/>
        </w:rPr>
        <w:tab/>
      </w:r>
      <w:r>
        <w:rPr>
          <w:rFonts w:ascii="Arial" w:hAnsi="Arial" w:cs="Arial"/>
          <w:u w:val="single"/>
        </w:rPr>
        <w:t>Return on Capital Employed</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u w:val="single"/>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u w:val="single"/>
        </w:rPr>
        <w:t>120</w:t>
      </w:r>
      <w:r>
        <w:rPr>
          <w:rFonts w:ascii="Arial" w:hAnsi="Arial" w:cs="Arial"/>
        </w:rPr>
        <w:t xml:space="preserve"> x 100%</w:t>
      </w:r>
      <w:r>
        <w:rPr>
          <w:rFonts w:ascii="Arial" w:hAnsi="Arial" w:cs="Arial"/>
        </w:rPr>
        <w:tab/>
        <w:t>=</w:t>
      </w:r>
      <w:r>
        <w:rPr>
          <w:rFonts w:ascii="Arial" w:hAnsi="Arial" w:cs="Arial"/>
        </w:rPr>
        <w:tab/>
        <w:t>60%</w:t>
      </w:r>
      <w:r>
        <w:rPr>
          <w:rFonts w:ascii="Arial" w:hAnsi="Arial" w:cs="Arial"/>
        </w:rPr>
        <w:tab/>
      </w:r>
      <w:r>
        <w:rPr>
          <w:rFonts w:ascii="Arial" w:hAnsi="Arial" w:cs="Arial"/>
        </w:rPr>
        <w:tab/>
      </w:r>
      <w:r>
        <w:rPr>
          <w:rFonts w:ascii="Arial" w:hAnsi="Arial" w:cs="Arial"/>
          <w:u w:val="single"/>
        </w:rPr>
        <w:t>180</w:t>
      </w:r>
      <w:r>
        <w:rPr>
          <w:rFonts w:ascii="Arial" w:hAnsi="Arial" w:cs="Arial"/>
        </w:rPr>
        <w:t xml:space="preserve"> x 100%</w:t>
      </w:r>
      <w:r>
        <w:rPr>
          <w:rFonts w:ascii="Arial" w:hAnsi="Arial" w:cs="Arial"/>
        </w:rPr>
        <w:tab/>
        <w:t>=</w:t>
      </w:r>
      <w:r>
        <w:rPr>
          <w:rFonts w:ascii="Arial" w:hAnsi="Arial" w:cs="Arial"/>
        </w:rPr>
        <w:tab/>
        <w:t>69.24%</w:t>
      </w:r>
    </w:p>
    <w:p w:rsidR="004708F4" w:rsidRDefault="004708F4" w:rsidP="004708F4">
      <w:pPr>
        <w:pStyle w:val="Footer"/>
        <w:tabs>
          <w:tab w:val="clear" w:pos="4153"/>
          <w:tab w:val="clear" w:pos="8306"/>
        </w:tabs>
        <w:rPr>
          <w:rFonts w:ascii="Arial" w:hAnsi="Arial" w:cs="Arial"/>
        </w:rPr>
      </w:pPr>
      <w:r>
        <w:rPr>
          <w:rFonts w:ascii="Arial" w:hAnsi="Arial" w:cs="Arial"/>
        </w:rPr>
        <w:tab/>
        <w:t>200</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260</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jc w:val="both"/>
        <w:rPr>
          <w:rFonts w:ascii="Arial" w:hAnsi="Arial" w:cs="Arial"/>
        </w:rPr>
      </w:pPr>
      <w:r>
        <w:rPr>
          <w:rFonts w:ascii="Arial" w:hAnsi="Arial" w:cs="Arial"/>
        </w:rPr>
        <w:t xml:space="preserve">Comments:  Looks like a very good return, and significantly increasing from </w:t>
      </w:r>
      <w:r w:rsidR="00FE23D5">
        <w:rPr>
          <w:rFonts w:ascii="Arial" w:hAnsi="Arial" w:cs="Arial"/>
        </w:rPr>
        <w:t>2015</w:t>
      </w:r>
      <w:r>
        <w:rPr>
          <w:rFonts w:ascii="Arial" w:hAnsi="Arial" w:cs="Arial"/>
        </w:rPr>
        <w:t xml:space="preserve"> to </w:t>
      </w:r>
      <w:r w:rsidR="00FE23D5">
        <w:rPr>
          <w:rFonts w:ascii="Arial" w:hAnsi="Arial" w:cs="Arial"/>
        </w:rPr>
        <w:t>2016</w:t>
      </w:r>
      <w:r>
        <w:rPr>
          <w:rFonts w:ascii="Arial" w:hAnsi="Arial" w:cs="Arial"/>
        </w:rPr>
        <w:t xml:space="preserve">.  When compared to general investment rates or bank rates, the return is excellent.  Comparison is needed with ‘similar sized </w:t>
      </w:r>
      <w:proofErr w:type="gramStart"/>
      <w:r>
        <w:rPr>
          <w:rFonts w:ascii="Arial" w:hAnsi="Arial" w:cs="Arial"/>
        </w:rPr>
        <w:t>business’</w:t>
      </w:r>
      <w:proofErr w:type="gramEnd"/>
      <w:r>
        <w:rPr>
          <w:rFonts w:ascii="Arial" w:hAnsi="Arial" w:cs="Arial"/>
        </w:rPr>
        <w:t xml:space="preserve"> and ‘business sector norm’. </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u w:val="single"/>
        </w:rPr>
      </w:pPr>
      <w:r>
        <w:rPr>
          <w:rFonts w:ascii="Arial" w:hAnsi="Arial" w:cs="Arial"/>
          <w:u w:val="single"/>
        </w:rPr>
        <w:t>EFFICIENCY</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5.</w:t>
      </w:r>
      <w:r>
        <w:rPr>
          <w:rFonts w:ascii="Arial" w:hAnsi="Arial" w:cs="Arial"/>
        </w:rPr>
        <w:tab/>
      </w:r>
      <w:r>
        <w:rPr>
          <w:rFonts w:ascii="Arial" w:hAnsi="Arial" w:cs="Arial"/>
          <w:u w:val="single"/>
        </w:rPr>
        <w:t>Debtor Collection Period</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u w:val="single"/>
        </w:rPr>
        <w:t xml:space="preserve">300 </w:t>
      </w:r>
      <w:r>
        <w:rPr>
          <w:rFonts w:ascii="Arial" w:hAnsi="Arial" w:cs="Arial"/>
        </w:rPr>
        <w:t xml:space="preserve">         </w:t>
      </w:r>
      <w:proofErr w:type="gramStart"/>
      <w:r>
        <w:rPr>
          <w:rFonts w:ascii="Arial" w:hAnsi="Arial" w:cs="Arial"/>
        </w:rPr>
        <w:t>days  =</w:t>
      </w:r>
      <w:proofErr w:type="gramEnd"/>
      <w:r>
        <w:rPr>
          <w:rFonts w:ascii="Arial" w:hAnsi="Arial" w:cs="Arial"/>
        </w:rPr>
        <w:tab/>
        <w:t>91.3 days</w:t>
      </w:r>
      <w:r>
        <w:rPr>
          <w:rFonts w:ascii="Arial" w:hAnsi="Arial" w:cs="Arial"/>
        </w:rPr>
        <w:tab/>
      </w:r>
      <w:r>
        <w:rPr>
          <w:rFonts w:ascii="Arial" w:hAnsi="Arial" w:cs="Arial"/>
          <w:u w:val="single"/>
        </w:rPr>
        <w:t>340</w:t>
      </w:r>
      <w:r>
        <w:rPr>
          <w:rFonts w:ascii="Arial" w:hAnsi="Arial" w:cs="Arial"/>
        </w:rPr>
        <w:t xml:space="preserve">         </w:t>
      </w:r>
      <w:r>
        <w:rPr>
          <w:rFonts w:ascii="Arial" w:hAnsi="Arial" w:cs="Arial"/>
        </w:rPr>
        <w:tab/>
        <w:t xml:space="preserve"> =</w:t>
      </w:r>
      <w:r>
        <w:rPr>
          <w:rFonts w:ascii="Arial" w:hAnsi="Arial" w:cs="Arial"/>
        </w:rPr>
        <w:tab/>
        <w:t>77.6 days</w:t>
      </w:r>
    </w:p>
    <w:p w:rsidR="004708F4" w:rsidRDefault="004708F4" w:rsidP="004708F4">
      <w:pPr>
        <w:pStyle w:val="Footer"/>
        <w:tabs>
          <w:tab w:val="clear" w:pos="4153"/>
          <w:tab w:val="clear" w:pos="8306"/>
        </w:tabs>
        <w:rPr>
          <w:rFonts w:ascii="Arial" w:hAnsi="Arial" w:cs="Arial"/>
        </w:rPr>
      </w:pPr>
      <w:r>
        <w:rPr>
          <w:rFonts w:ascii="Arial" w:hAnsi="Arial" w:cs="Arial"/>
        </w:rPr>
        <w:tab/>
        <w:t>1200/365</w:t>
      </w:r>
      <w:r>
        <w:rPr>
          <w:rFonts w:ascii="Arial" w:hAnsi="Arial" w:cs="Arial"/>
        </w:rPr>
        <w:tab/>
      </w:r>
      <w:r>
        <w:rPr>
          <w:rFonts w:ascii="Arial" w:hAnsi="Arial" w:cs="Arial"/>
        </w:rPr>
        <w:tab/>
      </w:r>
      <w:r>
        <w:rPr>
          <w:rFonts w:ascii="Arial" w:hAnsi="Arial" w:cs="Arial"/>
        </w:rPr>
        <w:tab/>
      </w:r>
      <w:r>
        <w:rPr>
          <w:rFonts w:ascii="Arial" w:hAnsi="Arial" w:cs="Arial"/>
        </w:rPr>
        <w:tab/>
        <w:t>1600/365</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jc w:val="both"/>
        <w:rPr>
          <w:rFonts w:ascii="Arial" w:hAnsi="Arial" w:cs="Arial"/>
        </w:rPr>
      </w:pPr>
      <w:r>
        <w:rPr>
          <w:rFonts w:ascii="Arial" w:hAnsi="Arial" w:cs="Arial"/>
        </w:rPr>
        <w:t xml:space="preserve">Comments:  The normal range for this ratio is 30 days to 60 days, but on average 45 days is an indicator that there is satisfactory control over the collection of money from customers.  However, </w:t>
      </w:r>
      <w:proofErr w:type="spellStart"/>
      <w:r>
        <w:rPr>
          <w:rFonts w:ascii="Arial" w:hAnsi="Arial" w:cs="Arial"/>
        </w:rPr>
        <w:t>Woodcroft</w:t>
      </w:r>
      <w:proofErr w:type="spellEnd"/>
      <w:r>
        <w:rPr>
          <w:rFonts w:ascii="Arial" w:hAnsi="Arial" w:cs="Arial"/>
        </w:rPr>
        <w:t xml:space="preserve"> Plc </w:t>
      </w:r>
      <w:r w:rsidR="00FE23D5">
        <w:rPr>
          <w:rFonts w:ascii="Arial" w:hAnsi="Arial" w:cs="Arial"/>
        </w:rPr>
        <w:t>ratios</w:t>
      </w:r>
      <w:r>
        <w:rPr>
          <w:rFonts w:ascii="Arial" w:hAnsi="Arial" w:cs="Arial"/>
        </w:rPr>
        <w:t xml:space="preserve"> indicate there is poor control of the collection of debts, but there is some improvement from </w:t>
      </w:r>
      <w:r w:rsidR="00FE23D5">
        <w:rPr>
          <w:rFonts w:ascii="Arial" w:hAnsi="Arial" w:cs="Arial"/>
        </w:rPr>
        <w:t>2015</w:t>
      </w:r>
      <w:r>
        <w:rPr>
          <w:rFonts w:ascii="Arial" w:hAnsi="Arial" w:cs="Arial"/>
        </w:rPr>
        <w:t xml:space="preserve"> to </w:t>
      </w:r>
      <w:r w:rsidR="00FE23D5">
        <w:rPr>
          <w:rFonts w:ascii="Arial" w:hAnsi="Arial" w:cs="Arial"/>
        </w:rPr>
        <w:t>2016</w:t>
      </w:r>
      <w:r>
        <w:rPr>
          <w:rFonts w:ascii="Arial" w:hAnsi="Arial" w:cs="Arial"/>
        </w:rPr>
        <w:t xml:space="preserve">.  However, extended credit may be given to </w:t>
      </w:r>
      <w:proofErr w:type="gramStart"/>
      <w:r>
        <w:rPr>
          <w:rFonts w:ascii="Arial" w:hAnsi="Arial" w:cs="Arial"/>
        </w:rPr>
        <w:t>increase  sales</w:t>
      </w:r>
      <w:proofErr w:type="gramEnd"/>
      <w:r>
        <w:rPr>
          <w:rFonts w:ascii="Arial" w:hAnsi="Arial" w:cs="Arial"/>
        </w:rPr>
        <w:t xml:space="preserve"> turnover and market share.</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6.</w:t>
      </w:r>
      <w:r>
        <w:rPr>
          <w:rFonts w:ascii="Arial" w:hAnsi="Arial" w:cs="Arial"/>
        </w:rPr>
        <w:tab/>
      </w:r>
      <w:r>
        <w:rPr>
          <w:rFonts w:ascii="Arial" w:hAnsi="Arial" w:cs="Arial"/>
          <w:u w:val="single"/>
        </w:rPr>
        <w:t>Credit Period Taken</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u w:val="single"/>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u w:val="single"/>
        </w:rPr>
        <w:t>160</w:t>
      </w:r>
      <w:r>
        <w:rPr>
          <w:rFonts w:ascii="Arial" w:hAnsi="Arial" w:cs="Arial"/>
        </w:rPr>
        <w:tab/>
        <w:t xml:space="preserve">  =</w:t>
      </w:r>
      <w:r>
        <w:rPr>
          <w:rFonts w:ascii="Arial" w:hAnsi="Arial" w:cs="Arial"/>
        </w:rPr>
        <w:tab/>
      </w:r>
      <w:r>
        <w:rPr>
          <w:rFonts w:ascii="Arial" w:hAnsi="Arial" w:cs="Arial"/>
        </w:rPr>
        <w:tab/>
        <w:t>81.1 days</w:t>
      </w:r>
      <w:r>
        <w:rPr>
          <w:rFonts w:ascii="Arial" w:hAnsi="Arial" w:cs="Arial"/>
        </w:rPr>
        <w:tab/>
      </w:r>
      <w:r>
        <w:rPr>
          <w:rFonts w:ascii="Arial" w:hAnsi="Arial" w:cs="Arial"/>
          <w:u w:val="single"/>
        </w:rPr>
        <w:t>180</w:t>
      </w:r>
      <w:r>
        <w:rPr>
          <w:rFonts w:ascii="Arial" w:hAnsi="Arial" w:cs="Arial"/>
        </w:rPr>
        <w:tab/>
      </w:r>
      <w:r>
        <w:rPr>
          <w:rFonts w:ascii="Arial" w:hAnsi="Arial" w:cs="Arial"/>
        </w:rPr>
        <w:tab/>
        <w:t>=</w:t>
      </w:r>
      <w:r>
        <w:rPr>
          <w:rFonts w:ascii="Arial" w:hAnsi="Arial" w:cs="Arial"/>
        </w:rPr>
        <w:tab/>
        <w:t>74.7 days</w:t>
      </w:r>
    </w:p>
    <w:p w:rsidR="004708F4" w:rsidRDefault="004708F4" w:rsidP="004708F4">
      <w:pPr>
        <w:pStyle w:val="Footer"/>
        <w:tabs>
          <w:tab w:val="clear" w:pos="4153"/>
          <w:tab w:val="clear" w:pos="8306"/>
        </w:tabs>
        <w:rPr>
          <w:rFonts w:ascii="Arial" w:hAnsi="Arial" w:cs="Arial"/>
        </w:rPr>
      </w:pPr>
      <w:r>
        <w:rPr>
          <w:rFonts w:ascii="Arial" w:hAnsi="Arial" w:cs="Arial"/>
        </w:rPr>
        <w:tab/>
        <w:t>720/365</w:t>
      </w:r>
      <w:r>
        <w:rPr>
          <w:rFonts w:ascii="Arial" w:hAnsi="Arial" w:cs="Arial"/>
        </w:rPr>
        <w:tab/>
      </w:r>
      <w:r>
        <w:rPr>
          <w:rFonts w:ascii="Arial" w:hAnsi="Arial" w:cs="Arial"/>
        </w:rPr>
        <w:tab/>
      </w:r>
      <w:r>
        <w:rPr>
          <w:rFonts w:ascii="Arial" w:hAnsi="Arial" w:cs="Arial"/>
        </w:rPr>
        <w:tab/>
      </w:r>
      <w:r>
        <w:rPr>
          <w:rFonts w:ascii="Arial" w:hAnsi="Arial" w:cs="Arial"/>
        </w:rPr>
        <w:tab/>
        <w:t xml:space="preserve">880/365 </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jc w:val="both"/>
        <w:rPr>
          <w:rFonts w:ascii="Arial" w:hAnsi="Arial" w:cs="Arial"/>
        </w:rPr>
      </w:pPr>
      <w:r>
        <w:rPr>
          <w:rFonts w:ascii="Arial" w:hAnsi="Arial" w:cs="Arial"/>
        </w:rPr>
        <w:t xml:space="preserve">Comments:  The normal range again for this ratio is 30 days to 60 days, but on average 45 days is an indicator that bills/invoices to suppliers are being paid taking usual terms of credit.  However, this ratio is extremely high, and under normal trading conditions you would expect suppliers to be unhappy with the delay in paying invoices.  There is a reduction in the ratio from </w:t>
      </w:r>
      <w:r w:rsidR="00FE23D5">
        <w:rPr>
          <w:rFonts w:ascii="Arial" w:hAnsi="Arial" w:cs="Arial"/>
        </w:rPr>
        <w:t>2015</w:t>
      </w:r>
      <w:r>
        <w:rPr>
          <w:rFonts w:ascii="Arial" w:hAnsi="Arial" w:cs="Arial"/>
        </w:rPr>
        <w:t xml:space="preserve"> to </w:t>
      </w:r>
      <w:r w:rsidR="00FE23D5">
        <w:rPr>
          <w:rFonts w:ascii="Arial" w:hAnsi="Arial" w:cs="Arial"/>
        </w:rPr>
        <w:t>2016</w:t>
      </w:r>
      <w:r>
        <w:rPr>
          <w:rFonts w:ascii="Arial" w:hAnsi="Arial" w:cs="Arial"/>
        </w:rPr>
        <w:t>.</w:t>
      </w:r>
    </w:p>
    <w:p w:rsidR="004708F4" w:rsidRDefault="004708F4" w:rsidP="004708F4">
      <w:pPr>
        <w:pStyle w:val="Footer"/>
        <w:tabs>
          <w:tab w:val="clear" w:pos="4153"/>
          <w:tab w:val="clear" w:pos="8306"/>
        </w:tabs>
        <w:jc w:val="both"/>
        <w:rPr>
          <w:rFonts w:ascii="Arial" w:hAnsi="Arial" w:cs="Arial"/>
        </w:rPr>
      </w:pPr>
    </w:p>
    <w:p w:rsidR="004708F4" w:rsidRDefault="004708F4" w:rsidP="004708F4">
      <w:pPr>
        <w:pStyle w:val="Footer"/>
        <w:tabs>
          <w:tab w:val="clear" w:pos="4153"/>
          <w:tab w:val="clear" w:pos="8306"/>
        </w:tabs>
        <w:jc w:val="both"/>
        <w:rPr>
          <w:rFonts w:ascii="Arial" w:hAnsi="Arial" w:cs="Arial"/>
        </w:rPr>
      </w:pPr>
      <w:r>
        <w:rPr>
          <w:rFonts w:ascii="Arial" w:hAnsi="Arial" w:cs="Arial"/>
        </w:rPr>
        <w:t xml:space="preserve">Note:  The debtors:  </w:t>
      </w:r>
      <w:proofErr w:type="gramStart"/>
      <w:r>
        <w:rPr>
          <w:rFonts w:ascii="Arial" w:hAnsi="Arial" w:cs="Arial"/>
        </w:rPr>
        <w:t>creditors</w:t>
      </w:r>
      <w:proofErr w:type="gramEnd"/>
      <w:r>
        <w:rPr>
          <w:rFonts w:ascii="Arial" w:hAnsi="Arial" w:cs="Arial"/>
        </w:rPr>
        <w:t xml:space="preserve"> ratio are both high and compensate for each other.</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p>
    <w:p w:rsidR="00FE23D5" w:rsidRDefault="00FE23D5" w:rsidP="004708F4">
      <w:pPr>
        <w:pStyle w:val="Footer"/>
        <w:tabs>
          <w:tab w:val="clear" w:pos="4153"/>
          <w:tab w:val="clear" w:pos="8306"/>
        </w:tabs>
        <w:rPr>
          <w:rFonts w:ascii="Arial" w:hAnsi="Arial" w:cs="Arial"/>
        </w:rPr>
      </w:pPr>
    </w:p>
    <w:p w:rsidR="00FE23D5" w:rsidRDefault="00FE23D5" w:rsidP="004708F4">
      <w:pPr>
        <w:pStyle w:val="Footer"/>
        <w:tabs>
          <w:tab w:val="clear" w:pos="4153"/>
          <w:tab w:val="clear" w:pos="8306"/>
        </w:tabs>
        <w:rPr>
          <w:rFonts w:ascii="Arial" w:hAnsi="Arial" w:cs="Arial"/>
        </w:rPr>
      </w:pPr>
    </w:p>
    <w:p w:rsidR="00FE23D5" w:rsidRDefault="00FE23D5"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u w:val="single"/>
        </w:rPr>
      </w:pPr>
      <w:r>
        <w:rPr>
          <w:rFonts w:ascii="Arial" w:hAnsi="Arial" w:cs="Arial"/>
        </w:rPr>
        <w:lastRenderedPageBreak/>
        <w:t>7.</w:t>
      </w:r>
      <w:r>
        <w:rPr>
          <w:rFonts w:ascii="Arial" w:hAnsi="Arial" w:cs="Arial"/>
        </w:rPr>
        <w:tab/>
      </w:r>
      <w:r>
        <w:rPr>
          <w:rFonts w:ascii="Arial" w:hAnsi="Arial" w:cs="Arial"/>
          <w:u w:val="single"/>
        </w:rPr>
        <w:t>Stock Turnover Period</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r>
        <w:rPr>
          <w:rFonts w:ascii="Arial" w:hAnsi="Arial" w:cs="Arial"/>
          <w:u w:val="single"/>
        </w:rPr>
        <w:t xml:space="preserve"> </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u w:val="single"/>
        </w:rPr>
        <w:t>200</w:t>
      </w:r>
      <w:r>
        <w:rPr>
          <w:rFonts w:ascii="Arial" w:hAnsi="Arial" w:cs="Arial"/>
        </w:rPr>
        <w:t xml:space="preserve">       =</w:t>
      </w:r>
      <w:r>
        <w:rPr>
          <w:rFonts w:ascii="Arial" w:hAnsi="Arial" w:cs="Arial"/>
        </w:rPr>
        <w:tab/>
      </w:r>
      <w:r>
        <w:rPr>
          <w:rFonts w:ascii="Arial" w:hAnsi="Arial" w:cs="Arial"/>
        </w:rPr>
        <w:tab/>
        <w:t>101.4 days</w:t>
      </w:r>
      <w:r>
        <w:rPr>
          <w:rFonts w:ascii="Arial" w:hAnsi="Arial" w:cs="Arial"/>
        </w:rPr>
        <w:tab/>
      </w:r>
      <w:r>
        <w:rPr>
          <w:rFonts w:ascii="Arial" w:hAnsi="Arial" w:cs="Arial"/>
        </w:rPr>
        <w:tab/>
      </w:r>
      <w:r>
        <w:rPr>
          <w:rFonts w:ascii="Arial" w:hAnsi="Arial" w:cs="Arial"/>
          <w:u w:val="single"/>
        </w:rPr>
        <w:t>180</w:t>
      </w:r>
      <w:r>
        <w:rPr>
          <w:rFonts w:ascii="Arial" w:hAnsi="Arial" w:cs="Arial"/>
          <w:u w:val="single"/>
        </w:rPr>
        <w:tab/>
      </w:r>
      <w:r>
        <w:rPr>
          <w:rFonts w:ascii="Arial" w:hAnsi="Arial" w:cs="Arial"/>
        </w:rPr>
        <w:t xml:space="preserve">  =</w:t>
      </w:r>
      <w:r>
        <w:rPr>
          <w:rFonts w:ascii="Arial" w:hAnsi="Arial" w:cs="Arial"/>
        </w:rPr>
        <w:tab/>
        <w:t>74.7 days</w:t>
      </w:r>
    </w:p>
    <w:p w:rsidR="004708F4" w:rsidRDefault="004708F4" w:rsidP="004708F4">
      <w:pPr>
        <w:pStyle w:val="Footer"/>
        <w:tabs>
          <w:tab w:val="clear" w:pos="4153"/>
          <w:tab w:val="clear" w:pos="8306"/>
        </w:tabs>
        <w:rPr>
          <w:rFonts w:ascii="Arial" w:hAnsi="Arial" w:cs="Arial"/>
        </w:rPr>
      </w:pPr>
      <w:r>
        <w:rPr>
          <w:rFonts w:ascii="Arial" w:hAnsi="Arial" w:cs="Arial"/>
        </w:rPr>
        <w:tab/>
        <w:t>720/365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880/365</w:t>
      </w:r>
    </w:p>
    <w:p w:rsidR="004708F4" w:rsidRDefault="004708F4" w:rsidP="004708F4">
      <w:pPr>
        <w:pStyle w:val="Footer"/>
        <w:tabs>
          <w:tab w:val="clear" w:pos="4153"/>
          <w:tab w:val="clear" w:pos="8306"/>
        </w:tabs>
        <w:jc w:val="both"/>
        <w:rPr>
          <w:rFonts w:ascii="Arial" w:hAnsi="Arial" w:cs="Arial"/>
        </w:rPr>
      </w:pPr>
    </w:p>
    <w:p w:rsidR="004708F4" w:rsidRDefault="004708F4" w:rsidP="004708F4">
      <w:pPr>
        <w:pStyle w:val="Footer"/>
        <w:tabs>
          <w:tab w:val="clear" w:pos="4153"/>
          <w:tab w:val="clear" w:pos="8306"/>
        </w:tabs>
        <w:ind w:left="720"/>
        <w:jc w:val="both"/>
        <w:rPr>
          <w:rFonts w:ascii="Arial" w:hAnsi="Arial" w:cs="Arial"/>
        </w:rPr>
      </w:pPr>
      <w:r>
        <w:rPr>
          <w:rFonts w:ascii="Arial" w:hAnsi="Arial" w:cs="Arial"/>
        </w:rPr>
        <w:t xml:space="preserve">Comments:  This ratio signifies the number of days of stock (usage) held is very high, but the trend show’s it is reducing (improving) from </w:t>
      </w:r>
      <w:r w:rsidR="00FE23D5">
        <w:rPr>
          <w:rFonts w:ascii="Arial" w:hAnsi="Arial" w:cs="Arial"/>
        </w:rPr>
        <w:t>2015</w:t>
      </w:r>
      <w:r>
        <w:rPr>
          <w:rFonts w:ascii="Arial" w:hAnsi="Arial" w:cs="Arial"/>
        </w:rPr>
        <w:t xml:space="preserve"> to </w:t>
      </w:r>
      <w:r w:rsidR="00FE23D5">
        <w:rPr>
          <w:rFonts w:ascii="Arial" w:hAnsi="Arial" w:cs="Arial"/>
        </w:rPr>
        <w:t>2016</w:t>
      </w:r>
      <w:r>
        <w:rPr>
          <w:rFonts w:ascii="Arial" w:hAnsi="Arial" w:cs="Arial"/>
        </w:rPr>
        <w:t xml:space="preserve">.  Unless there is difficulty in obtaining supplies then this is poor financial control.  Even though sales are increasing (+33%) the stock held in </w:t>
      </w:r>
      <w:r w:rsidR="00FE23D5">
        <w:rPr>
          <w:rFonts w:ascii="Arial" w:hAnsi="Arial" w:cs="Arial"/>
        </w:rPr>
        <w:t>2016</w:t>
      </w:r>
      <w:r>
        <w:rPr>
          <w:rFonts w:ascii="Arial" w:hAnsi="Arial" w:cs="Arial"/>
        </w:rPr>
        <w:t xml:space="preserve"> is too high.</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u w:val="single"/>
        </w:rPr>
      </w:pPr>
      <w:r>
        <w:rPr>
          <w:rFonts w:ascii="Arial" w:hAnsi="Arial" w:cs="Arial"/>
          <w:u w:val="single"/>
        </w:rPr>
        <w:t xml:space="preserve">INVESTMENT </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8.</w:t>
      </w:r>
      <w:r>
        <w:rPr>
          <w:rFonts w:ascii="Arial" w:hAnsi="Arial" w:cs="Arial"/>
        </w:rPr>
        <w:tab/>
      </w:r>
      <w:r>
        <w:rPr>
          <w:rFonts w:ascii="Arial" w:hAnsi="Arial" w:cs="Arial"/>
          <w:u w:val="single"/>
        </w:rPr>
        <w:t xml:space="preserve">Return on Equity (Return on </w:t>
      </w:r>
      <w:proofErr w:type="spellStart"/>
      <w:r>
        <w:rPr>
          <w:rFonts w:ascii="Arial" w:hAnsi="Arial" w:cs="Arial"/>
          <w:u w:val="single"/>
        </w:rPr>
        <w:t>Shareholders</w:t>
      </w:r>
      <w:proofErr w:type="spellEnd"/>
      <w:r>
        <w:rPr>
          <w:rFonts w:ascii="Arial" w:hAnsi="Arial" w:cs="Arial"/>
          <w:u w:val="single"/>
        </w:rPr>
        <w:t xml:space="preserve"> Funds)</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u w:val="single"/>
        </w:rPr>
        <w:t>80</w:t>
      </w:r>
      <w:r>
        <w:rPr>
          <w:rFonts w:ascii="Arial" w:hAnsi="Arial" w:cs="Arial"/>
        </w:rPr>
        <w:t xml:space="preserve">   x 100%</w:t>
      </w:r>
      <w:r>
        <w:rPr>
          <w:rFonts w:ascii="Arial" w:hAnsi="Arial" w:cs="Arial"/>
        </w:rPr>
        <w:tab/>
        <w:t>=</w:t>
      </w:r>
      <w:r>
        <w:rPr>
          <w:rFonts w:ascii="Arial" w:hAnsi="Arial" w:cs="Arial"/>
        </w:rPr>
        <w:tab/>
        <w:t>40%</w:t>
      </w:r>
      <w:r>
        <w:rPr>
          <w:rFonts w:ascii="Arial" w:hAnsi="Arial" w:cs="Arial"/>
        </w:rPr>
        <w:tab/>
      </w:r>
      <w:r>
        <w:rPr>
          <w:rFonts w:ascii="Arial" w:hAnsi="Arial" w:cs="Arial"/>
        </w:rPr>
        <w:tab/>
      </w:r>
      <w:proofErr w:type="gramStart"/>
      <w:r>
        <w:rPr>
          <w:rFonts w:ascii="Arial" w:hAnsi="Arial" w:cs="Arial"/>
          <w:u w:val="single"/>
        </w:rPr>
        <w:t>130</w:t>
      </w:r>
      <w:r>
        <w:rPr>
          <w:rFonts w:ascii="Arial" w:hAnsi="Arial" w:cs="Arial"/>
        </w:rPr>
        <w:t xml:space="preserve">  x</w:t>
      </w:r>
      <w:proofErr w:type="gramEnd"/>
      <w:r>
        <w:rPr>
          <w:rFonts w:ascii="Arial" w:hAnsi="Arial" w:cs="Arial"/>
        </w:rPr>
        <w:t xml:space="preserve"> 100%</w:t>
      </w:r>
      <w:r>
        <w:rPr>
          <w:rFonts w:ascii="Arial" w:hAnsi="Arial" w:cs="Arial"/>
        </w:rPr>
        <w:tab/>
        <w:t xml:space="preserve"> =  </w:t>
      </w:r>
      <w:r>
        <w:rPr>
          <w:rFonts w:ascii="Arial" w:hAnsi="Arial" w:cs="Arial"/>
        </w:rPr>
        <w:tab/>
        <w:t>50%</w:t>
      </w:r>
    </w:p>
    <w:p w:rsidR="004708F4" w:rsidRDefault="004708F4" w:rsidP="004708F4">
      <w:pPr>
        <w:pStyle w:val="Footer"/>
        <w:tabs>
          <w:tab w:val="clear" w:pos="4153"/>
          <w:tab w:val="clear" w:pos="8306"/>
        </w:tabs>
        <w:rPr>
          <w:rFonts w:ascii="Arial" w:hAnsi="Arial" w:cs="Arial"/>
        </w:rPr>
      </w:pPr>
      <w:r>
        <w:rPr>
          <w:rFonts w:ascii="Arial" w:hAnsi="Arial" w:cs="Arial"/>
        </w:rPr>
        <w:tab/>
        <w:t>200</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260</w:t>
      </w:r>
    </w:p>
    <w:p w:rsidR="004708F4" w:rsidRDefault="004708F4" w:rsidP="004708F4">
      <w:pPr>
        <w:pStyle w:val="Footer"/>
        <w:tabs>
          <w:tab w:val="clear" w:pos="4153"/>
          <w:tab w:val="clear" w:pos="8306"/>
        </w:tabs>
        <w:jc w:val="both"/>
        <w:rPr>
          <w:rFonts w:ascii="Arial" w:hAnsi="Arial" w:cs="Arial"/>
        </w:rPr>
      </w:pPr>
    </w:p>
    <w:p w:rsidR="004708F4" w:rsidRDefault="004708F4" w:rsidP="004708F4">
      <w:pPr>
        <w:pStyle w:val="Footer"/>
        <w:tabs>
          <w:tab w:val="clear" w:pos="4153"/>
          <w:tab w:val="clear" w:pos="8306"/>
        </w:tabs>
        <w:ind w:left="720"/>
        <w:jc w:val="both"/>
        <w:rPr>
          <w:rFonts w:ascii="Arial" w:hAnsi="Arial" w:cs="Arial"/>
        </w:rPr>
      </w:pPr>
      <w:r>
        <w:rPr>
          <w:rFonts w:ascii="Arial" w:hAnsi="Arial" w:cs="Arial"/>
        </w:rPr>
        <w:t xml:space="preserve">Comments:  This looks like a high return, and is also increasing from </w:t>
      </w:r>
      <w:r w:rsidR="00FE23D5">
        <w:rPr>
          <w:rFonts w:ascii="Arial" w:hAnsi="Arial" w:cs="Arial"/>
        </w:rPr>
        <w:t>2015</w:t>
      </w:r>
      <w:r>
        <w:rPr>
          <w:rFonts w:ascii="Arial" w:hAnsi="Arial" w:cs="Arial"/>
        </w:rPr>
        <w:t xml:space="preserve"> to </w:t>
      </w:r>
      <w:r w:rsidR="00FE23D5">
        <w:rPr>
          <w:rFonts w:ascii="Arial" w:hAnsi="Arial" w:cs="Arial"/>
        </w:rPr>
        <w:t>2016</w:t>
      </w:r>
      <w:r>
        <w:rPr>
          <w:rFonts w:ascii="Arial" w:hAnsi="Arial" w:cs="Arial"/>
        </w:rPr>
        <w:t>.  Comparison is however necessary with a ‘similar sized business’ and the ‘business sector norm’ is needed to put this performance into perspective.  However, other forms of investment would find it difficult to achieve these levels of return.</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9.</w:t>
      </w:r>
      <w:r>
        <w:rPr>
          <w:rFonts w:ascii="Arial" w:hAnsi="Arial" w:cs="Arial"/>
        </w:rPr>
        <w:tab/>
      </w:r>
      <w:r>
        <w:rPr>
          <w:rFonts w:ascii="Arial" w:hAnsi="Arial" w:cs="Arial"/>
          <w:u w:val="single"/>
        </w:rPr>
        <w:t>Dividend Cover</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r>
      <w:r>
        <w:rPr>
          <w:rFonts w:ascii="Arial" w:hAnsi="Arial" w:cs="Arial"/>
          <w:u w:val="single"/>
        </w:rPr>
        <w:t>80</w:t>
      </w:r>
      <w:r>
        <w:rPr>
          <w:rFonts w:ascii="Arial" w:hAnsi="Arial" w:cs="Arial"/>
        </w:rPr>
        <w:tab/>
        <w:t>=</w:t>
      </w:r>
      <w:r>
        <w:rPr>
          <w:rFonts w:ascii="Arial" w:hAnsi="Arial" w:cs="Arial"/>
        </w:rPr>
        <w:tab/>
        <w:t>1.33 times</w:t>
      </w:r>
      <w:r>
        <w:rPr>
          <w:rFonts w:ascii="Arial" w:hAnsi="Arial" w:cs="Arial"/>
        </w:rPr>
        <w:tab/>
        <w:t xml:space="preserve">    </w:t>
      </w:r>
      <w:r>
        <w:rPr>
          <w:rFonts w:ascii="Arial" w:hAnsi="Arial" w:cs="Arial"/>
          <w:u w:val="single"/>
        </w:rPr>
        <w:t>130</w:t>
      </w:r>
      <w:r>
        <w:rPr>
          <w:rFonts w:ascii="Arial" w:hAnsi="Arial" w:cs="Arial"/>
        </w:rPr>
        <w:t xml:space="preserve">    =</w:t>
      </w:r>
      <w:r>
        <w:rPr>
          <w:rFonts w:ascii="Arial" w:hAnsi="Arial" w:cs="Arial"/>
        </w:rPr>
        <w:tab/>
        <w:t>1.86 times</w:t>
      </w: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t>60</w:t>
      </w:r>
      <w:r>
        <w:rPr>
          <w:rFonts w:ascii="Arial" w:hAnsi="Arial" w:cs="Arial"/>
        </w:rPr>
        <w:tab/>
      </w:r>
      <w:r>
        <w:rPr>
          <w:rFonts w:ascii="Arial" w:hAnsi="Arial" w:cs="Arial"/>
        </w:rPr>
        <w:tab/>
      </w:r>
      <w:r>
        <w:rPr>
          <w:rFonts w:ascii="Arial" w:hAnsi="Arial" w:cs="Arial"/>
        </w:rPr>
        <w:tab/>
      </w:r>
      <w:r>
        <w:rPr>
          <w:rFonts w:ascii="Arial" w:hAnsi="Arial" w:cs="Arial"/>
        </w:rPr>
        <w:tab/>
        <w:t xml:space="preserve">     70</w:t>
      </w:r>
      <w:r>
        <w:rPr>
          <w:rFonts w:ascii="Arial" w:hAnsi="Arial" w:cs="Arial"/>
        </w:rPr>
        <w:tab/>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ind w:left="720"/>
        <w:jc w:val="both"/>
        <w:rPr>
          <w:rFonts w:ascii="Arial" w:hAnsi="Arial" w:cs="Arial"/>
        </w:rPr>
      </w:pPr>
      <w:r>
        <w:rPr>
          <w:rFonts w:ascii="Arial" w:hAnsi="Arial" w:cs="Arial"/>
        </w:rPr>
        <w:t xml:space="preserve">Comments:  The trend is increasing, but indicates that there is a </w:t>
      </w:r>
      <w:r w:rsidR="00FE23D5">
        <w:rPr>
          <w:rFonts w:ascii="Arial" w:hAnsi="Arial" w:cs="Arial"/>
        </w:rPr>
        <w:t>high level</w:t>
      </w:r>
      <w:r>
        <w:rPr>
          <w:rFonts w:ascii="Arial" w:hAnsi="Arial" w:cs="Arial"/>
        </w:rPr>
        <w:t xml:space="preserve"> of payment out of dividends from the profit after tax being earned (</w:t>
      </w:r>
      <w:proofErr w:type="spellStart"/>
      <w:r>
        <w:rPr>
          <w:rFonts w:ascii="Arial" w:hAnsi="Arial" w:cs="Arial"/>
        </w:rPr>
        <w:t>ie</w:t>
      </w:r>
      <w:proofErr w:type="spellEnd"/>
      <w:r>
        <w:rPr>
          <w:rFonts w:ascii="Arial" w:hAnsi="Arial" w:cs="Arial"/>
        </w:rPr>
        <w:t xml:space="preserve"> profits available to ordinary shareholders).  Retention of profits is low.</w:t>
      </w: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FE23D5" w:rsidRDefault="00FE23D5"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ind w:left="720"/>
        <w:rPr>
          <w:rFonts w:ascii="Arial" w:hAnsi="Arial" w:cs="Arial"/>
        </w:rPr>
      </w:pPr>
    </w:p>
    <w:p w:rsidR="004708F4" w:rsidRDefault="004708F4" w:rsidP="004708F4">
      <w:pPr>
        <w:pStyle w:val="Footer"/>
        <w:tabs>
          <w:tab w:val="clear" w:pos="4153"/>
          <w:tab w:val="clear" w:pos="8306"/>
        </w:tabs>
        <w:rPr>
          <w:rFonts w:ascii="Arial" w:hAnsi="Arial" w:cs="Arial"/>
          <w:u w:val="single"/>
        </w:rPr>
      </w:pPr>
      <w:r>
        <w:rPr>
          <w:rFonts w:ascii="Arial" w:hAnsi="Arial" w:cs="Arial"/>
        </w:rPr>
        <w:lastRenderedPageBreak/>
        <w:t>10.</w:t>
      </w:r>
      <w:r>
        <w:rPr>
          <w:rFonts w:ascii="Arial" w:hAnsi="Arial" w:cs="Arial"/>
        </w:rPr>
        <w:tab/>
      </w:r>
      <w:r>
        <w:rPr>
          <w:rFonts w:ascii="Arial" w:hAnsi="Arial" w:cs="Arial"/>
          <w:u w:val="single"/>
        </w:rPr>
        <w:t>Earnings per ordinary share (E.P.S.)</w:t>
      </w:r>
    </w:p>
    <w:p w:rsidR="004708F4" w:rsidRDefault="004708F4" w:rsidP="004708F4">
      <w:pPr>
        <w:pStyle w:val="Footer"/>
        <w:tabs>
          <w:tab w:val="clear" w:pos="4153"/>
          <w:tab w:val="clear" w:pos="8306"/>
        </w:tabs>
        <w:rPr>
          <w:rFonts w:ascii="Arial" w:hAnsi="Arial" w:cs="Arial"/>
          <w:u w:val="single"/>
        </w:rPr>
      </w:pPr>
    </w:p>
    <w:p w:rsidR="004708F4" w:rsidRDefault="004708F4" w:rsidP="004708F4">
      <w:pPr>
        <w:pStyle w:val="Footer"/>
        <w:tabs>
          <w:tab w:val="clear" w:pos="4153"/>
          <w:tab w:val="clear" w:pos="8306"/>
        </w:tabs>
        <w:rPr>
          <w:rFonts w:ascii="Arial" w:hAnsi="Arial" w:cs="Arial"/>
          <w:u w:val="single"/>
        </w:rPr>
      </w:pP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2015</w:t>
      </w:r>
      <w:r>
        <w:rPr>
          <w:rFonts w:ascii="Arial" w:hAnsi="Arial" w:cs="Arial"/>
        </w:rPr>
        <w:tab/>
      </w:r>
      <w:r>
        <w:rPr>
          <w:rFonts w:ascii="Arial" w:hAnsi="Arial" w:cs="Arial"/>
        </w:rPr>
        <w:tab/>
      </w:r>
      <w:r>
        <w:rPr>
          <w:rFonts w:ascii="Arial" w:hAnsi="Arial" w:cs="Arial"/>
        </w:rPr>
        <w:tab/>
      </w:r>
      <w:r>
        <w:rPr>
          <w:rFonts w:ascii="Arial" w:hAnsi="Arial" w:cs="Arial"/>
        </w:rPr>
        <w:tab/>
      </w:r>
      <w:r w:rsidR="00FE23D5">
        <w:rPr>
          <w:rFonts w:ascii="Arial" w:hAnsi="Arial" w:cs="Arial"/>
          <w:u w:val="single"/>
        </w:rPr>
        <w:t>2016</w:t>
      </w:r>
    </w:p>
    <w:p w:rsidR="004708F4" w:rsidRDefault="004708F4" w:rsidP="004708F4">
      <w:pPr>
        <w:pStyle w:val="Footer"/>
        <w:tabs>
          <w:tab w:val="clear" w:pos="4153"/>
          <w:tab w:val="clear" w:pos="8306"/>
        </w:tabs>
        <w:rPr>
          <w:rFonts w:ascii="Arial" w:hAnsi="Arial" w:cs="Arial"/>
        </w:rPr>
      </w:pP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r>
      <w:r>
        <w:rPr>
          <w:rFonts w:ascii="Arial" w:hAnsi="Arial" w:cs="Arial"/>
          <w:u w:val="single"/>
        </w:rPr>
        <w:t>80</w:t>
      </w:r>
      <w:r>
        <w:rPr>
          <w:rFonts w:ascii="Arial" w:hAnsi="Arial" w:cs="Arial"/>
        </w:rPr>
        <w:tab/>
        <w:t>=</w:t>
      </w:r>
      <w:r>
        <w:rPr>
          <w:rFonts w:ascii="Arial" w:hAnsi="Arial" w:cs="Arial"/>
        </w:rPr>
        <w:tab/>
        <w:t>€0.80</w:t>
      </w:r>
      <w:r>
        <w:rPr>
          <w:rFonts w:ascii="Arial" w:hAnsi="Arial" w:cs="Arial"/>
        </w:rPr>
        <w:tab/>
      </w:r>
      <w:r>
        <w:rPr>
          <w:rFonts w:ascii="Arial" w:hAnsi="Arial" w:cs="Arial"/>
        </w:rPr>
        <w:tab/>
        <w:t xml:space="preserve">  </w:t>
      </w:r>
      <w:r>
        <w:rPr>
          <w:rFonts w:ascii="Arial" w:hAnsi="Arial" w:cs="Arial"/>
          <w:u w:val="single"/>
        </w:rPr>
        <w:t>130</w:t>
      </w:r>
      <w:r>
        <w:rPr>
          <w:rFonts w:ascii="Arial" w:hAnsi="Arial" w:cs="Arial"/>
        </w:rPr>
        <w:t xml:space="preserve">   =</w:t>
      </w:r>
      <w:r>
        <w:rPr>
          <w:rFonts w:ascii="Arial" w:hAnsi="Arial" w:cs="Arial"/>
        </w:rPr>
        <w:tab/>
        <w:t>€1.30</w:t>
      </w:r>
    </w:p>
    <w:p w:rsidR="004708F4" w:rsidRDefault="004708F4" w:rsidP="004708F4">
      <w:pPr>
        <w:pStyle w:val="Footer"/>
        <w:tabs>
          <w:tab w:val="clear" w:pos="4153"/>
          <w:tab w:val="clear" w:pos="8306"/>
        </w:tabs>
        <w:rPr>
          <w:rFonts w:ascii="Arial" w:hAnsi="Arial" w:cs="Arial"/>
        </w:rPr>
      </w:pPr>
      <w:r>
        <w:rPr>
          <w:rFonts w:ascii="Arial" w:hAnsi="Arial" w:cs="Arial"/>
        </w:rPr>
        <w:tab/>
      </w:r>
      <w:r>
        <w:rPr>
          <w:rFonts w:ascii="Arial" w:hAnsi="Arial" w:cs="Arial"/>
        </w:rPr>
        <w:tab/>
        <w:t>100</w:t>
      </w:r>
      <w:r>
        <w:rPr>
          <w:rFonts w:ascii="Arial" w:hAnsi="Arial" w:cs="Arial"/>
        </w:rPr>
        <w:tab/>
      </w:r>
      <w:r>
        <w:rPr>
          <w:rFonts w:ascii="Arial" w:hAnsi="Arial" w:cs="Arial"/>
        </w:rPr>
        <w:tab/>
      </w:r>
      <w:r>
        <w:rPr>
          <w:rFonts w:ascii="Arial" w:hAnsi="Arial" w:cs="Arial"/>
        </w:rPr>
        <w:tab/>
      </w:r>
      <w:r>
        <w:rPr>
          <w:rFonts w:ascii="Arial" w:hAnsi="Arial" w:cs="Arial"/>
        </w:rPr>
        <w:tab/>
        <w:t xml:space="preserve">  100 </w:t>
      </w:r>
    </w:p>
    <w:p w:rsidR="004708F4" w:rsidRDefault="004708F4" w:rsidP="004708F4">
      <w:pPr>
        <w:pStyle w:val="Footer"/>
        <w:tabs>
          <w:tab w:val="clear" w:pos="4153"/>
          <w:tab w:val="clear" w:pos="8306"/>
        </w:tabs>
        <w:rPr>
          <w:rFonts w:ascii="Arial" w:hAnsi="Arial" w:cs="Arial"/>
        </w:rPr>
      </w:pPr>
    </w:p>
    <w:p w:rsidR="008930B9" w:rsidRDefault="004708F4" w:rsidP="004708F4">
      <w:r>
        <w:rPr>
          <w:rFonts w:ascii="Arial" w:hAnsi="Arial" w:cs="Arial"/>
        </w:rPr>
        <w:t xml:space="preserve">Comments:  An increasing trend and a high rate of return.  Comparison with a ‘similar sized </w:t>
      </w:r>
      <w:proofErr w:type="gramStart"/>
      <w:r>
        <w:rPr>
          <w:rFonts w:ascii="Arial" w:hAnsi="Arial" w:cs="Arial"/>
        </w:rPr>
        <w:t>business’</w:t>
      </w:r>
      <w:proofErr w:type="gramEnd"/>
      <w:r>
        <w:rPr>
          <w:rFonts w:ascii="Arial" w:hAnsi="Arial" w:cs="Arial"/>
        </w:rPr>
        <w:t>, and the ‘business sector norm’ would also be required.</w:t>
      </w:r>
    </w:p>
    <w:sectPr w:rsidR="008930B9" w:rsidSect="008930B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708F4"/>
    <w:rsid w:val="004708F4"/>
    <w:rsid w:val="00711783"/>
    <w:rsid w:val="008930B9"/>
    <w:rsid w:val="00D95F65"/>
    <w:rsid w:val="00FE23D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8F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4708F4"/>
    <w:pPr>
      <w:keepNext/>
      <w:outlineLvl w:val="1"/>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708F4"/>
    <w:rPr>
      <w:rFonts w:ascii="Arial" w:eastAsia="Times New Roman" w:hAnsi="Arial" w:cs="Arial"/>
      <w:sz w:val="24"/>
      <w:szCs w:val="24"/>
      <w:u w:val="single"/>
    </w:rPr>
  </w:style>
  <w:style w:type="paragraph" w:styleId="Footer">
    <w:name w:val="footer"/>
    <w:basedOn w:val="Normal"/>
    <w:link w:val="FooterChar"/>
    <w:semiHidden/>
    <w:rsid w:val="004708F4"/>
    <w:pPr>
      <w:tabs>
        <w:tab w:val="center" w:pos="4153"/>
        <w:tab w:val="right" w:pos="8306"/>
      </w:tabs>
    </w:pPr>
  </w:style>
  <w:style w:type="character" w:customStyle="1" w:styleId="FooterChar">
    <w:name w:val="Footer Char"/>
    <w:basedOn w:val="DefaultParagraphFont"/>
    <w:link w:val="Footer"/>
    <w:semiHidden/>
    <w:rsid w:val="004708F4"/>
    <w:rPr>
      <w:rFonts w:ascii="Times New Roman" w:eastAsia="Times New Roman" w:hAnsi="Times New Roman" w:cs="Times New Roman"/>
      <w:sz w:val="24"/>
      <w:szCs w:val="24"/>
    </w:rPr>
  </w:style>
  <w:style w:type="paragraph" w:styleId="BodyText">
    <w:name w:val="Body Text"/>
    <w:basedOn w:val="Normal"/>
    <w:link w:val="BodyTextChar"/>
    <w:semiHidden/>
    <w:rsid w:val="004708F4"/>
    <w:pPr>
      <w:jc w:val="both"/>
    </w:pPr>
    <w:rPr>
      <w:rFonts w:ascii="Arial" w:hAnsi="Arial" w:cs="Arial"/>
    </w:rPr>
  </w:style>
  <w:style w:type="character" w:customStyle="1" w:styleId="BodyTextChar">
    <w:name w:val="Body Text Char"/>
    <w:basedOn w:val="DefaultParagraphFont"/>
    <w:link w:val="BodyText"/>
    <w:semiHidden/>
    <w:rsid w:val="004708F4"/>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630</Words>
  <Characters>3597</Characters>
  <Application>Microsoft Office Word</Application>
  <DocSecurity>0</DocSecurity>
  <Lines>29</Lines>
  <Paragraphs>8</Paragraphs>
  <ScaleCrop>false</ScaleCrop>
  <Company>Swansea Metropolitan University</Company>
  <LinksUpToDate>false</LinksUpToDate>
  <CharactersWithSpaces>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2017-10-02T16:10:00Z</dcterms:created>
  <dcterms:modified xsi:type="dcterms:W3CDTF">2017-11-08T10:13:00Z</dcterms:modified>
</cp:coreProperties>
</file>