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40F515" w14:textId="5B309A9C" w:rsidR="00FA49FD" w:rsidRDefault="00C35EF2">
      <w:pPr>
        <w:rPr>
          <w:rFonts w:ascii="Times" w:hAnsi="Times" w:cs="Times"/>
          <w:lang w:val="en-US"/>
        </w:rPr>
      </w:pPr>
      <w:r>
        <w:rPr>
          <w:rFonts w:ascii="Times" w:hAnsi="Times" w:cs="Times"/>
          <w:lang w:val="en-US"/>
        </w:rPr>
        <w:t>What do manuscript traditions tell us? What don’t they tell us?</w:t>
      </w:r>
    </w:p>
    <w:p w14:paraId="72A828B0" w14:textId="382DECDC" w:rsidR="00C35EF2" w:rsidRDefault="00C35EF2"/>
    <w:p w14:paraId="0C42DC17" w14:textId="77777777" w:rsidR="00DF546E" w:rsidRDefault="00C35EF2">
      <w:r>
        <w:t>Abstract:</w:t>
      </w:r>
    </w:p>
    <w:p w14:paraId="1D361445" w14:textId="58545BF1" w:rsidR="004B4430" w:rsidRDefault="0094298C">
      <w:r>
        <w:t>Manuscript tradition is often looked upon so harshly by historians. The argument here is of moderation, and while there are many negatives to the manuscript tradition</w:t>
      </w:r>
      <w:r w:rsidR="004B4430">
        <w:t>s</w:t>
      </w:r>
      <w:r>
        <w:t xml:space="preserve"> that ha</w:t>
      </w:r>
      <w:r w:rsidR="004B4430">
        <w:t>ve</w:t>
      </w:r>
      <w:r>
        <w:t xml:space="preserve"> preserved most of our ancient sources, there are also positives.</w:t>
      </w:r>
      <w:r w:rsidR="004B4430">
        <w:t xml:space="preserve"> New technologies addressing the evolution of literary works have recently been developed, giving us insights into new areas, making this topic an important one to expand upon here.</w:t>
      </w:r>
      <w:r w:rsidR="004B4430">
        <w:rPr>
          <w:rStyle w:val="FootnoteReference"/>
        </w:rPr>
        <w:footnoteReference w:id="1"/>
      </w:r>
      <w:r>
        <w:t xml:space="preserve"> Correspondingly</w:t>
      </w:r>
      <w:r w:rsidR="00C62680">
        <w:t>, t</w:t>
      </w:r>
      <w:r w:rsidR="00DF546E">
        <w:t>his essay</w:t>
      </w:r>
      <w:r w:rsidR="00C62680">
        <w:t xml:space="preserve"> </w:t>
      </w:r>
      <w:r w:rsidR="00DF546E">
        <w:t xml:space="preserve">looks </w:t>
      </w:r>
      <w:r>
        <w:t>not just at</w:t>
      </w:r>
      <w:r w:rsidR="00DF546E">
        <w:t xml:space="preserve"> ways in which manuscript traditions, with reference to the topics of transcription, translation, and </w:t>
      </w:r>
      <w:r w:rsidR="006E0FF1">
        <w:t>accessibility</w:t>
      </w:r>
      <w:r w:rsidR="00DF546E">
        <w:t>, change the texts from their pure forms</w:t>
      </w:r>
      <w:r>
        <w:t>, but also the potential benefits of manuscript</w:t>
      </w:r>
      <w:r w:rsidR="004B4430">
        <w:t xml:space="preserve"> traditions</w:t>
      </w:r>
      <w:r w:rsidR="00DF546E">
        <w:t>.</w:t>
      </w:r>
      <w:r w:rsidR="00DF546E">
        <w:rPr>
          <w:rStyle w:val="FootnoteReference"/>
        </w:rPr>
        <w:footnoteReference w:id="2"/>
      </w:r>
      <w:r w:rsidR="00DF546E">
        <w:t xml:space="preserve"> </w:t>
      </w:r>
      <w:r w:rsidR="00FC2CAF">
        <w:t xml:space="preserve">Specifically, </w:t>
      </w:r>
      <w:r>
        <w:t xml:space="preserve">I will be looking at the </w:t>
      </w:r>
      <w:r w:rsidRPr="00FC2CAF">
        <w:rPr>
          <w:i/>
        </w:rPr>
        <w:t>Iliad</w:t>
      </w:r>
      <w:r>
        <w:t xml:space="preserve">, </w:t>
      </w:r>
      <w:r w:rsidR="00FC2CAF">
        <w:t xml:space="preserve">Sophocles’ play </w:t>
      </w:r>
      <w:r w:rsidR="00FC2CAF" w:rsidRPr="00FC2CAF">
        <w:rPr>
          <w:i/>
        </w:rPr>
        <w:t>Oedipus Tyrannus</w:t>
      </w:r>
      <w:r w:rsidR="00FC2CAF">
        <w:t xml:space="preserve">, and Plutarch’s </w:t>
      </w:r>
      <w:r w:rsidR="00FC2CAF" w:rsidRPr="00FC2CAF">
        <w:rPr>
          <w:i/>
        </w:rPr>
        <w:t xml:space="preserve">Vitae </w:t>
      </w:r>
      <w:proofErr w:type="spellStart"/>
      <w:r w:rsidR="00FC2CAF" w:rsidRPr="00FC2CAF">
        <w:rPr>
          <w:i/>
        </w:rPr>
        <w:t>parallelae</w:t>
      </w:r>
      <w:proofErr w:type="spellEnd"/>
      <w:r w:rsidR="00FC2CAF" w:rsidRPr="00FC2CAF">
        <w:rPr>
          <w:i/>
        </w:rPr>
        <w:t xml:space="preserve"> Alexander</w:t>
      </w:r>
      <w:r w:rsidR="00FC2CAF">
        <w:t>.</w:t>
      </w:r>
      <w:r w:rsidR="00413145">
        <w:rPr>
          <w:rStyle w:val="FootnoteReference"/>
        </w:rPr>
        <w:footnoteReference w:id="3"/>
      </w:r>
    </w:p>
    <w:p w14:paraId="6038EFB3" w14:textId="0007D5C3" w:rsidR="00C35EF2" w:rsidRDefault="00FC2CAF">
      <w:r>
        <w:t xml:space="preserve"> </w:t>
      </w:r>
      <w:r w:rsidR="0094298C">
        <w:t>Many</w:t>
      </w:r>
      <w:r w:rsidR="00DF546E">
        <w:t xml:space="preserve"> scholars comment on the harmful effects of th</w:t>
      </w:r>
      <w:r>
        <w:t xml:space="preserve">e </w:t>
      </w:r>
      <w:r w:rsidR="00DF546E">
        <w:t>process</w:t>
      </w:r>
      <w:r>
        <w:t>es of manuscript traditions</w:t>
      </w:r>
      <w:r w:rsidR="00DF546E">
        <w:t>, but it is often neglected that manuscripts have preserved and saved many texts from destruction</w:t>
      </w:r>
      <w:r w:rsidR="00C62680">
        <w:t>.</w:t>
      </w:r>
      <w:r w:rsidR="00DF546E">
        <w:t xml:space="preserve"> </w:t>
      </w:r>
      <w:r w:rsidR="00C62680">
        <w:t>In</w:t>
      </w:r>
      <w:r w:rsidR="00DF546E">
        <w:t xml:space="preserve"> the case of oral traditions, the original texts are not necessarily accurate to begin with</w:t>
      </w:r>
      <w:r w:rsidR="00C62680">
        <w:t>, but we can learn about the evolution of these traditions through the changes in the manuscripts</w:t>
      </w:r>
      <w:r w:rsidR="00DF546E">
        <w:t>.</w:t>
      </w:r>
      <w:r w:rsidR="00C62680">
        <w:rPr>
          <w:rStyle w:val="FootnoteReference"/>
        </w:rPr>
        <w:footnoteReference w:id="4"/>
      </w:r>
      <w:r w:rsidR="00DF546E">
        <w:t xml:space="preserve"> We must address what exactly manuscript traditions are, and how </w:t>
      </w:r>
      <w:r w:rsidR="006E0FF1">
        <w:t>they can—but do not necessarily—alter the text. These manuscripts should not be appraised based on how many times they were transcribed or translated, but through linguistic analysis and other evidence found.</w:t>
      </w:r>
      <w:r w:rsidR="006E0FF1">
        <w:rPr>
          <w:rStyle w:val="FootnoteReference"/>
        </w:rPr>
        <w:footnoteReference w:id="5"/>
      </w:r>
      <w:r w:rsidR="006E0FF1">
        <w:t xml:space="preserve"> </w:t>
      </w:r>
      <w:r w:rsidR="0094298C">
        <w:t>Translations improve the accessibility</w:t>
      </w:r>
      <w:r w:rsidR="006E0FF1">
        <w:t xml:space="preserve"> of these ancient texts </w:t>
      </w:r>
      <w:r w:rsidR="0094298C">
        <w:t xml:space="preserve">therefore </w:t>
      </w:r>
      <w:r w:rsidR="004B4430">
        <w:t>are</w:t>
      </w:r>
      <w:r w:rsidR="006E0FF1">
        <w:t xml:space="preserve"> </w:t>
      </w:r>
      <w:r w:rsidR="00C62680">
        <w:t xml:space="preserve">a </w:t>
      </w:r>
      <w:r w:rsidR="006E0FF1">
        <w:t>vital to</w:t>
      </w:r>
      <w:r w:rsidR="00C62680">
        <w:t>ol in</w:t>
      </w:r>
      <w:r w:rsidR="006E0FF1">
        <w:t xml:space="preserve"> </w:t>
      </w:r>
      <w:r w:rsidR="0094298C">
        <w:t>creating</w:t>
      </w:r>
      <w:r w:rsidR="006E0FF1">
        <w:t xml:space="preserve"> interest i</w:t>
      </w:r>
      <w:r w:rsidR="0094298C">
        <w:t>n future generations</w:t>
      </w:r>
      <w:r w:rsidR="006E0FF1">
        <w:t xml:space="preserve">, and encouraging further development that would be </w:t>
      </w:r>
      <w:r w:rsidR="004B4430">
        <w:t>im</w:t>
      </w:r>
      <w:r w:rsidR="006E0FF1">
        <w:t>possible without manuscripts, despite their potential errors.</w:t>
      </w:r>
      <w:r w:rsidR="00C62680" w:rsidRPr="00C62680">
        <w:t xml:space="preserve"> </w:t>
      </w:r>
      <w:r w:rsidR="00010A62">
        <w:t>W</w:t>
      </w:r>
      <w:r w:rsidR="00C62680">
        <w:t>e no longer have the original texts from the authors who wrote them, and this is fine</w:t>
      </w:r>
      <w:r w:rsidR="00010A62">
        <w:t>, because we can learn more than we could without any texts</w:t>
      </w:r>
      <w:r w:rsidR="00C62680">
        <w:t>.</w:t>
      </w:r>
    </w:p>
    <w:p w14:paraId="4275EB78" w14:textId="2A8C01FD" w:rsidR="004B4430" w:rsidRDefault="004B4430"/>
    <w:p w14:paraId="7BF14A8D" w14:textId="72C6055F" w:rsidR="00764680" w:rsidRDefault="00764680"/>
    <w:p w14:paraId="7BA695F6" w14:textId="77777777" w:rsidR="004535C4" w:rsidRDefault="004535C4"/>
    <w:p w14:paraId="1E55EA2C" w14:textId="77777777" w:rsidR="004535C4" w:rsidRDefault="004535C4"/>
    <w:p w14:paraId="264AF915" w14:textId="77777777" w:rsidR="004535C4" w:rsidRDefault="004535C4"/>
    <w:p w14:paraId="7BE091CC" w14:textId="77777777" w:rsidR="004535C4" w:rsidRDefault="004535C4"/>
    <w:p w14:paraId="2C9EECEA" w14:textId="77777777" w:rsidR="004535C4" w:rsidRDefault="004535C4"/>
    <w:p w14:paraId="08353171" w14:textId="77777777" w:rsidR="004535C4" w:rsidRDefault="004535C4"/>
    <w:p w14:paraId="1F54B190" w14:textId="77777777" w:rsidR="004535C4" w:rsidRDefault="004535C4"/>
    <w:p w14:paraId="4100A541" w14:textId="77777777" w:rsidR="004535C4" w:rsidRDefault="004535C4"/>
    <w:p w14:paraId="6CCA47E5" w14:textId="77777777" w:rsidR="004535C4" w:rsidRDefault="004535C4"/>
    <w:p w14:paraId="590B7B53" w14:textId="50D093FE" w:rsidR="00764680" w:rsidRDefault="00413145">
      <w:r>
        <w:lastRenderedPageBreak/>
        <w:t>Bibliography:</w:t>
      </w:r>
    </w:p>
    <w:p w14:paraId="51F4BF9C" w14:textId="73DF49CA" w:rsidR="00010A62" w:rsidRDefault="00010A62">
      <w:proofErr w:type="spellStart"/>
      <w:r>
        <w:t>Bordalejo</w:t>
      </w:r>
      <w:proofErr w:type="spellEnd"/>
      <w:r>
        <w:t xml:space="preserve">, B. 2016. ‘The genealogy of texts: Manuscript traditions and textual traditions.’. </w:t>
      </w:r>
      <w:r>
        <w:rPr>
          <w:i/>
        </w:rPr>
        <w:t>Digital Scholarship in the Humanities.</w:t>
      </w:r>
      <w:r>
        <w:t xml:space="preserve"> 31. 3, 563-577.  </w:t>
      </w:r>
    </w:p>
    <w:p w14:paraId="1CE894BB" w14:textId="6B309722" w:rsidR="00010A62" w:rsidRPr="00010A62" w:rsidRDefault="00010A62">
      <w:proofErr w:type="spellStart"/>
      <w:r>
        <w:t>Finkelberg</w:t>
      </w:r>
      <w:proofErr w:type="spellEnd"/>
      <w:r>
        <w:t xml:space="preserve">, M. 2000. ‘The </w:t>
      </w:r>
      <w:proofErr w:type="spellStart"/>
      <w:r>
        <w:t>Cypria</w:t>
      </w:r>
      <w:proofErr w:type="spellEnd"/>
      <w:r>
        <w:t xml:space="preserve">, the Iliad, and the problem of multiformity in oral and written tradition’, </w:t>
      </w:r>
      <w:r>
        <w:rPr>
          <w:i/>
        </w:rPr>
        <w:t>Classical Philology.</w:t>
      </w:r>
      <w:r>
        <w:t xml:space="preserve"> 95. 1, 1-11.</w:t>
      </w:r>
    </w:p>
    <w:p w14:paraId="2E20EBC9" w14:textId="40EF606C" w:rsidR="00413145" w:rsidRDefault="00413145">
      <w:r>
        <w:t xml:space="preserve">Homer. </w:t>
      </w:r>
      <w:r w:rsidRPr="00413145">
        <w:rPr>
          <w:i/>
        </w:rPr>
        <w:t>Iliad.</w:t>
      </w:r>
      <w:r>
        <w:t xml:space="preserve"> A.T. Murray (trans.). 1924. Cambridge: Harvard University Press. </w:t>
      </w:r>
    </w:p>
    <w:p w14:paraId="3A52EB9F" w14:textId="6FECFE6E" w:rsidR="00413145" w:rsidRDefault="00413145">
      <w:r>
        <w:t xml:space="preserve">Plutarch. </w:t>
      </w:r>
      <w:r w:rsidRPr="00413145">
        <w:rPr>
          <w:i/>
        </w:rPr>
        <w:t xml:space="preserve">Vitae </w:t>
      </w:r>
      <w:proofErr w:type="spellStart"/>
      <w:r w:rsidRPr="00413145">
        <w:rPr>
          <w:i/>
        </w:rPr>
        <w:t>parallelae</w:t>
      </w:r>
      <w:proofErr w:type="spellEnd"/>
      <w:r w:rsidRPr="00413145">
        <w:rPr>
          <w:i/>
        </w:rPr>
        <w:t xml:space="preserve"> Alexander</w:t>
      </w:r>
      <w:r>
        <w:t xml:space="preserve">. B. Perrin (trans.). 1919. London: Heinemann. </w:t>
      </w:r>
    </w:p>
    <w:p w14:paraId="2EAB23F0" w14:textId="219E80DC" w:rsidR="00B23DA9" w:rsidRDefault="00B23DA9" w:rsidP="00B23DA9">
      <w:r>
        <w:t xml:space="preserve">Sophocles. </w:t>
      </w:r>
      <w:r w:rsidRPr="00413145">
        <w:rPr>
          <w:i/>
        </w:rPr>
        <w:t>Oedipus Tyrannus.</w:t>
      </w:r>
      <w:r>
        <w:rPr>
          <w:i/>
        </w:rPr>
        <w:t xml:space="preserve"> </w:t>
      </w:r>
      <w:r>
        <w:t xml:space="preserve">R. </w:t>
      </w:r>
      <w:proofErr w:type="spellStart"/>
      <w:r>
        <w:t>Jebb</w:t>
      </w:r>
      <w:proofErr w:type="spellEnd"/>
      <w:r>
        <w:t xml:space="preserve"> (trans.). 1887. Cambridge: Cambridge University Press.</w:t>
      </w:r>
    </w:p>
    <w:p w14:paraId="58C230DE" w14:textId="79C59D6F" w:rsidR="00010A62" w:rsidRPr="00010A62" w:rsidRDefault="00010A62" w:rsidP="00B23DA9">
      <w:r>
        <w:t xml:space="preserve">Weitzman, M.P. 1987. ‘The Evolution of Manuscript Traditions’, </w:t>
      </w:r>
      <w:r>
        <w:rPr>
          <w:i/>
        </w:rPr>
        <w:t xml:space="preserve">Journal of the Royal Statistical Society. Series A (General). </w:t>
      </w:r>
      <w:r>
        <w:t>150. 4, 287-308.</w:t>
      </w:r>
    </w:p>
    <w:p w14:paraId="71E9BAAB" w14:textId="77777777" w:rsidR="00B23DA9" w:rsidRPr="00413145" w:rsidRDefault="00B23DA9"/>
    <w:sectPr w:rsidR="00B23DA9" w:rsidRPr="0041314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7FA2B4" w14:textId="77777777" w:rsidR="0002234E" w:rsidRDefault="0002234E" w:rsidP="00DF546E">
      <w:pPr>
        <w:spacing w:after="0" w:line="240" w:lineRule="auto"/>
      </w:pPr>
      <w:r>
        <w:separator/>
      </w:r>
    </w:p>
  </w:endnote>
  <w:endnote w:type="continuationSeparator" w:id="0">
    <w:p w14:paraId="769E99E6" w14:textId="77777777" w:rsidR="0002234E" w:rsidRDefault="0002234E" w:rsidP="00DF54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62E6DA" w14:textId="77777777" w:rsidR="0002234E" w:rsidRDefault="0002234E" w:rsidP="00DF546E">
      <w:pPr>
        <w:spacing w:after="0" w:line="240" w:lineRule="auto"/>
      </w:pPr>
      <w:r>
        <w:separator/>
      </w:r>
    </w:p>
  </w:footnote>
  <w:footnote w:type="continuationSeparator" w:id="0">
    <w:p w14:paraId="1D3DBAD0" w14:textId="77777777" w:rsidR="0002234E" w:rsidRDefault="0002234E" w:rsidP="00DF546E">
      <w:pPr>
        <w:spacing w:after="0" w:line="240" w:lineRule="auto"/>
      </w:pPr>
      <w:r>
        <w:continuationSeparator/>
      </w:r>
    </w:p>
  </w:footnote>
  <w:footnote w:id="1">
    <w:p w14:paraId="375810BB" w14:textId="73537038" w:rsidR="004B4430" w:rsidRDefault="004B4430">
      <w:pPr>
        <w:pStyle w:val="FootnoteText"/>
      </w:pPr>
      <w:r>
        <w:rPr>
          <w:rStyle w:val="FootnoteReference"/>
        </w:rPr>
        <w:footnoteRef/>
      </w:r>
      <w:r>
        <w:t xml:space="preserve"> </w:t>
      </w:r>
      <w:proofErr w:type="spellStart"/>
      <w:r>
        <w:t>Bordalejo</w:t>
      </w:r>
      <w:proofErr w:type="spellEnd"/>
      <w:r w:rsidR="000C017D">
        <w:t xml:space="preserve"> 2016</w:t>
      </w:r>
      <w:r>
        <w:t>: 567-</w:t>
      </w:r>
      <w:r w:rsidR="00010A62">
        <w:t>570</w:t>
      </w:r>
      <w:r w:rsidR="000C017D">
        <w:t>.</w:t>
      </w:r>
    </w:p>
  </w:footnote>
  <w:footnote w:id="2">
    <w:p w14:paraId="48F63BDA" w14:textId="408E4F5C" w:rsidR="00DF546E" w:rsidRDefault="00DF546E">
      <w:pPr>
        <w:pStyle w:val="FootnoteText"/>
      </w:pPr>
      <w:r>
        <w:rPr>
          <w:rStyle w:val="FootnoteReference"/>
        </w:rPr>
        <w:footnoteRef/>
      </w:r>
      <w:r>
        <w:t xml:space="preserve"> Weitzman</w:t>
      </w:r>
      <w:r w:rsidR="000C017D">
        <w:t xml:space="preserve"> 1987</w:t>
      </w:r>
      <w:bookmarkStart w:id="0" w:name="_GoBack"/>
      <w:bookmarkEnd w:id="0"/>
      <w:r>
        <w:t>: 287</w:t>
      </w:r>
      <w:r w:rsidR="000C017D">
        <w:t>.</w:t>
      </w:r>
    </w:p>
  </w:footnote>
  <w:footnote w:id="3">
    <w:p w14:paraId="3ECAFFAA" w14:textId="749927D8" w:rsidR="00413145" w:rsidRDefault="00413145">
      <w:pPr>
        <w:pStyle w:val="FootnoteText"/>
      </w:pPr>
      <w:r>
        <w:rPr>
          <w:rStyle w:val="FootnoteReference"/>
        </w:rPr>
        <w:footnoteRef/>
      </w:r>
      <w:r>
        <w:t xml:space="preserve"> </w:t>
      </w:r>
      <w:proofErr w:type="spellStart"/>
      <w:r>
        <w:t>Hom</w:t>
      </w:r>
      <w:proofErr w:type="spellEnd"/>
      <w:r>
        <w:t xml:space="preserve">. Il.; Soph. OT.; </w:t>
      </w:r>
      <w:proofErr w:type="spellStart"/>
      <w:r>
        <w:t>Plut</w:t>
      </w:r>
      <w:proofErr w:type="spellEnd"/>
      <w:r>
        <w:t xml:space="preserve">. </w:t>
      </w:r>
      <w:proofErr w:type="spellStart"/>
      <w:r>
        <w:t>Vit</w:t>
      </w:r>
      <w:proofErr w:type="spellEnd"/>
      <w:r>
        <w:t>. Alex.</w:t>
      </w:r>
    </w:p>
  </w:footnote>
  <w:footnote w:id="4">
    <w:p w14:paraId="0C63009B" w14:textId="27AC9FC9" w:rsidR="00C62680" w:rsidRDefault="00C62680">
      <w:pPr>
        <w:pStyle w:val="FootnoteText"/>
      </w:pPr>
      <w:r>
        <w:rPr>
          <w:rStyle w:val="FootnoteReference"/>
        </w:rPr>
        <w:footnoteRef/>
      </w:r>
      <w:r>
        <w:t xml:space="preserve"> </w:t>
      </w:r>
      <w:proofErr w:type="spellStart"/>
      <w:r>
        <w:t>Finkelberg</w:t>
      </w:r>
      <w:proofErr w:type="spellEnd"/>
      <w:r w:rsidR="000C017D">
        <w:t xml:space="preserve"> 2000</w:t>
      </w:r>
      <w:r>
        <w:t>: 1</w:t>
      </w:r>
      <w:r w:rsidR="000C017D">
        <w:t>.</w:t>
      </w:r>
    </w:p>
  </w:footnote>
  <w:footnote w:id="5">
    <w:p w14:paraId="66A27396" w14:textId="20828554" w:rsidR="006E0FF1" w:rsidRDefault="006E0FF1">
      <w:pPr>
        <w:pStyle w:val="FootnoteText"/>
      </w:pPr>
      <w:r>
        <w:rPr>
          <w:rStyle w:val="FootnoteReference"/>
        </w:rPr>
        <w:footnoteRef/>
      </w:r>
      <w:r>
        <w:t xml:space="preserve"> Weitzman</w:t>
      </w:r>
      <w:r w:rsidR="000C017D">
        <w:t xml:space="preserve"> 1987</w:t>
      </w:r>
      <w:r>
        <w:t>: 287</w:t>
      </w:r>
      <w:r w:rsidR="000C017D">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EF2"/>
    <w:rsid w:val="00010A62"/>
    <w:rsid w:val="00021FC8"/>
    <w:rsid w:val="0002234E"/>
    <w:rsid w:val="00031333"/>
    <w:rsid w:val="000C017D"/>
    <w:rsid w:val="000E3CB0"/>
    <w:rsid w:val="001938D0"/>
    <w:rsid w:val="0019491B"/>
    <w:rsid w:val="00195135"/>
    <w:rsid w:val="001C5E17"/>
    <w:rsid w:val="00214CCF"/>
    <w:rsid w:val="00233E23"/>
    <w:rsid w:val="00284C31"/>
    <w:rsid w:val="002D360C"/>
    <w:rsid w:val="003F6692"/>
    <w:rsid w:val="00413145"/>
    <w:rsid w:val="004368D2"/>
    <w:rsid w:val="004535C4"/>
    <w:rsid w:val="004B4430"/>
    <w:rsid w:val="00506DB2"/>
    <w:rsid w:val="00613F17"/>
    <w:rsid w:val="006E0FF1"/>
    <w:rsid w:val="007442AD"/>
    <w:rsid w:val="00764680"/>
    <w:rsid w:val="007B2E60"/>
    <w:rsid w:val="007F5ABB"/>
    <w:rsid w:val="00896029"/>
    <w:rsid w:val="008D7214"/>
    <w:rsid w:val="0094298C"/>
    <w:rsid w:val="009538A8"/>
    <w:rsid w:val="0099387D"/>
    <w:rsid w:val="00A02E8F"/>
    <w:rsid w:val="00A364B0"/>
    <w:rsid w:val="00A63FAC"/>
    <w:rsid w:val="00B23DA9"/>
    <w:rsid w:val="00B54163"/>
    <w:rsid w:val="00B663DD"/>
    <w:rsid w:val="00C14BD7"/>
    <w:rsid w:val="00C35EF2"/>
    <w:rsid w:val="00C62680"/>
    <w:rsid w:val="00DF546E"/>
    <w:rsid w:val="00EE00B0"/>
    <w:rsid w:val="00F544E8"/>
    <w:rsid w:val="00FA49FD"/>
    <w:rsid w:val="00FC2C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D18F7"/>
  <w15:chartTrackingRefBased/>
  <w15:docId w15:val="{D57A62F3-D82E-4DFF-9BAD-DAF786D47C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F546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F546E"/>
    <w:rPr>
      <w:sz w:val="20"/>
      <w:szCs w:val="20"/>
    </w:rPr>
  </w:style>
  <w:style w:type="character" w:styleId="FootnoteReference">
    <w:name w:val="footnote reference"/>
    <w:basedOn w:val="DefaultParagraphFont"/>
    <w:uiPriority w:val="99"/>
    <w:semiHidden/>
    <w:unhideWhenUsed/>
    <w:rsid w:val="00DF546E"/>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5482B2-D17A-4829-A9AF-347ACA7A7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2</Pages>
  <Words>395</Words>
  <Characters>2254</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Student</cp:lastModifiedBy>
  <cp:revision>6</cp:revision>
  <dcterms:created xsi:type="dcterms:W3CDTF">2017-12-04T17:32:00Z</dcterms:created>
  <dcterms:modified xsi:type="dcterms:W3CDTF">2017-12-04T22:59:00Z</dcterms:modified>
</cp:coreProperties>
</file>