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EB992" w14:textId="77777777" w:rsidR="00AB5A3D" w:rsidRPr="00752791" w:rsidRDefault="009661EF" w:rsidP="0013613D">
      <w:pPr>
        <w:ind w:firstLine="0"/>
        <w:jc w:val="both"/>
        <w:outlineLvl w:val="0"/>
        <w:rPr>
          <w:rFonts w:asciiTheme="majorHAnsi" w:eastAsia="Times New Roman" w:hAnsiTheme="majorHAnsi" w:cstheme="majorHAnsi"/>
          <w:color w:val="000000" w:themeColor="text1"/>
          <w:kern w:val="36"/>
          <w:lang w:eastAsia="en-GB"/>
          <w14:ligatures w14:val="none"/>
        </w:rPr>
      </w:pPr>
      <w:r w:rsidRPr="00752791">
        <w:rPr>
          <w:rFonts w:asciiTheme="majorHAnsi" w:eastAsia="Times New Roman" w:hAnsiTheme="majorHAnsi" w:cstheme="majorHAnsi"/>
          <w:color w:val="000000" w:themeColor="text1"/>
          <w:kern w:val="36"/>
          <w:lang w:eastAsia="en-GB"/>
          <w14:ligatures w14:val="none"/>
        </w:rPr>
        <w:t>Vikran Sanghera 2204036</w:t>
      </w:r>
    </w:p>
    <w:p w14:paraId="7E8E2400" w14:textId="75693121" w:rsidR="00A45639" w:rsidRPr="00752791" w:rsidRDefault="00EC7A5A" w:rsidP="0013613D">
      <w:pPr>
        <w:ind w:firstLine="0"/>
        <w:jc w:val="both"/>
        <w:outlineLvl w:val="0"/>
        <w:rPr>
          <w:rFonts w:asciiTheme="majorHAnsi" w:eastAsia="Times New Roman" w:hAnsiTheme="majorHAnsi" w:cstheme="majorHAnsi"/>
          <w:color w:val="000000" w:themeColor="text1"/>
          <w:kern w:val="36"/>
          <w:lang w:eastAsia="en-GB"/>
          <w14:ligatures w14:val="none"/>
        </w:rPr>
      </w:pPr>
      <w:r w:rsidRPr="00752791">
        <w:rPr>
          <w:rFonts w:asciiTheme="majorHAnsi" w:eastAsia="Times New Roman" w:hAnsiTheme="majorHAnsi" w:cstheme="majorHAnsi"/>
          <w:color w:val="000000" w:themeColor="text1"/>
          <w:kern w:val="36"/>
          <w:lang w:eastAsia="en-GB"/>
          <w14:ligatures w14:val="none"/>
        </w:rPr>
        <w:t>BSc Architecture</w:t>
      </w:r>
    </w:p>
    <w:p w14:paraId="28D47527" w14:textId="77777777" w:rsidR="00AB5A3D" w:rsidRPr="00752791" w:rsidRDefault="00EC7A5A" w:rsidP="0013613D">
      <w:pPr>
        <w:ind w:firstLine="0"/>
        <w:jc w:val="both"/>
        <w:outlineLvl w:val="0"/>
        <w:rPr>
          <w:rFonts w:asciiTheme="majorHAnsi" w:eastAsia="Times New Roman" w:hAnsiTheme="majorHAnsi" w:cstheme="majorHAnsi"/>
          <w:color w:val="000000" w:themeColor="text1"/>
          <w:kern w:val="36"/>
          <w:lang w:eastAsia="en-GB"/>
          <w14:ligatures w14:val="none"/>
        </w:rPr>
      </w:pPr>
      <w:r w:rsidRPr="00752791">
        <w:rPr>
          <w:rFonts w:asciiTheme="majorHAnsi" w:eastAsia="Times New Roman" w:hAnsiTheme="majorHAnsi" w:cstheme="majorHAnsi"/>
          <w:color w:val="000000" w:themeColor="text1"/>
          <w:kern w:val="36"/>
          <w:lang w:eastAsia="en-GB"/>
          <w14:ligatures w14:val="none"/>
        </w:rPr>
        <w:t>History and Theory 2</w:t>
      </w:r>
    </w:p>
    <w:p w14:paraId="7EC08F3C" w14:textId="5A33886E" w:rsidR="00EC7A5A" w:rsidRPr="00752791" w:rsidRDefault="009B19DC" w:rsidP="0013613D">
      <w:pPr>
        <w:ind w:firstLine="0"/>
        <w:jc w:val="both"/>
        <w:outlineLvl w:val="0"/>
        <w:rPr>
          <w:rFonts w:asciiTheme="majorHAnsi" w:eastAsia="Times New Roman" w:hAnsiTheme="majorHAnsi" w:cstheme="majorHAnsi"/>
          <w:color w:val="000000" w:themeColor="text1"/>
          <w:kern w:val="36"/>
          <w:lang w:eastAsia="en-GB"/>
          <w14:ligatures w14:val="none"/>
        </w:rPr>
      </w:pPr>
      <w:r w:rsidRPr="00752791">
        <w:rPr>
          <w:rFonts w:asciiTheme="majorHAnsi" w:eastAsia="Times New Roman" w:hAnsiTheme="majorHAnsi" w:cstheme="majorHAnsi"/>
          <w:color w:val="000000" w:themeColor="text1"/>
          <w:kern w:val="36"/>
          <w:lang w:eastAsia="en-GB"/>
          <w14:ligatures w14:val="none"/>
        </w:rPr>
        <w:t>ACAA5003</w:t>
      </w:r>
      <w:r w:rsidR="00A70299" w:rsidRPr="00752791">
        <w:rPr>
          <w:rFonts w:asciiTheme="majorHAnsi" w:eastAsia="Times New Roman" w:hAnsiTheme="majorHAnsi" w:cstheme="majorHAnsi"/>
          <w:color w:val="000000" w:themeColor="text1"/>
          <w:kern w:val="36"/>
          <w:lang w:eastAsia="en-GB"/>
          <w14:ligatures w14:val="none"/>
        </w:rPr>
        <w:t xml:space="preserve"> </w:t>
      </w:r>
    </w:p>
    <w:p w14:paraId="21E18830" w14:textId="1E6E7956" w:rsidR="00AB5A3D" w:rsidRPr="00752791" w:rsidRDefault="00AB5A3D" w:rsidP="0013613D">
      <w:pPr>
        <w:ind w:firstLine="0"/>
        <w:jc w:val="both"/>
        <w:outlineLvl w:val="0"/>
        <w:rPr>
          <w:rFonts w:asciiTheme="majorHAnsi" w:eastAsia="Times New Roman" w:hAnsiTheme="majorHAnsi" w:cstheme="majorHAnsi"/>
          <w:color w:val="000000" w:themeColor="text1"/>
          <w:kern w:val="36"/>
          <w:lang w:eastAsia="en-GB"/>
          <w14:ligatures w14:val="none"/>
        </w:rPr>
      </w:pPr>
      <w:r w:rsidRPr="00752791">
        <w:rPr>
          <w:rFonts w:asciiTheme="majorHAnsi" w:eastAsia="Times New Roman" w:hAnsiTheme="majorHAnsi" w:cstheme="majorHAnsi"/>
          <w:color w:val="000000" w:themeColor="text1"/>
          <w:kern w:val="36"/>
          <w:lang w:eastAsia="en-GB"/>
          <w14:ligatures w14:val="none"/>
        </w:rPr>
        <w:t>Ian Stan</w:t>
      </w:r>
      <w:r w:rsidR="00AF570E" w:rsidRPr="00752791">
        <w:rPr>
          <w:rFonts w:asciiTheme="majorHAnsi" w:eastAsia="Times New Roman" w:hAnsiTheme="majorHAnsi" w:cstheme="majorHAnsi"/>
          <w:color w:val="000000" w:themeColor="text1"/>
          <w:kern w:val="36"/>
          <w:lang w:eastAsia="en-GB"/>
          <w14:ligatures w14:val="none"/>
        </w:rPr>
        <w:t xml:space="preserve">den </w:t>
      </w:r>
    </w:p>
    <w:p w14:paraId="7F4D6F86" w14:textId="5D77BAD5" w:rsidR="00AF570E" w:rsidRPr="00752791" w:rsidRDefault="00AF570E" w:rsidP="0013613D">
      <w:pPr>
        <w:ind w:firstLine="0"/>
        <w:jc w:val="both"/>
        <w:outlineLvl w:val="0"/>
        <w:rPr>
          <w:rFonts w:asciiTheme="majorHAnsi" w:hAnsiTheme="majorHAnsi" w:cstheme="majorHAnsi"/>
          <w:color w:val="000000" w:themeColor="text1"/>
        </w:rPr>
      </w:pPr>
      <w:r w:rsidRPr="00752791">
        <w:rPr>
          <w:rFonts w:asciiTheme="majorHAnsi" w:hAnsiTheme="majorHAnsi" w:cstheme="majorHAnsi"/>
        </w:rPr>
        <w:t>Critical analysis on a piece of architecture post 1945.</w:t>
      </w:r>
    </w:p>
    <w:p w14:paraId="1CB81978" w14:textId="03D4694E" w:rsidR="00AB6243" w:rsidRDefault="00493571" w:rsidP="0013613D">
      <w:pPr>
        <w:ind w:firstLine="0"/>
        <w:jc w:val="both"/>
      </w:pPr>
      <w:r>
        <w:fldChar w:fldCharType="begin"/>
      </w:r>
      <w:r>
        <w:instrText xml:space="preserve"> INCLUDEPICTURE "/Users/vikrxn/Library/Group Containers/UBF8T346G9.ms/WebArchiveCopyPasteTempFiles/com.microsoft.Word/145_SwanseaArena_1920x1080.jpg?v=1665140304117" \* MERGEFORMATINET </w:instrText>
      </w:r>
      <w:r>
        <w:fldChar w:fldCharType="separate"/>
      </w:r>
      <w:r>
        <w:rPr>
          <w:noProof/>
        </w:rPr>
        <w:drawing>
          <wp:inline distT="0" distB="0" distL="0" distR="0" wp14:anchorId="36E50E09" wp14:editId="56A18814">
            <wp:extent cx="5731510" cy="3222625"/>
            <wp:effectExtent l="0" t="0" r="0" b="3175"/>
            <wp:docPr id="248834985" name="Picture 1" descr="A building with a curved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34985" name="Picture 1" descr="A building with a curved roof&#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fldChar w:fldCharType="end"/>
      </w:r>
    </w:p>
    <w:p w14:paraId="29050A75" w14:textId="123CFFE5" w:rsidR="00713D37" w:rsidRPr="00A177DC" w:rsidRDefault="00A177DC" w:rsidP="00A177DC">
      <w:pPr>
        <w:ind w:firstLine="0"/>
        <w:jc w:val="both"/>
        <w:rPr>
          <w:rFonts w:asciiTheme="majorHAnsi" w:hAnsiTheme="majorHAnsi" w:cstheme="majorHAnsi"/>
          <w:color w:val="000000" w:themeColor="text1"/>
        </w:rPr>
      </w:pPr>
      <w:r>
        <w:rPr>
          <w:rFonts w:asciiTheme="majorHAnsi" w:hAnsiTheme="majorHAnsi" w:cstheme="majorHAnsi"/>
          <w:color w:val="000000" w:themeColor="text1"/>
        </w:rPr>
        <w:t>Figure 1:</w:t>
      </w:r>
      <w:r w:rsidR="003101E9">
        <w:rPr>
          <w:rFonts w:asciiTheme="majorHAnsi" w:hAnsiTheme="majorHAnsi" w:cstheme="majorHAnsi"/>
          <w:color w:val="000000" w:themeColor="text1"/>
        </w:rPr>
        <w:t xml:space="preserve"> Swansea Arena Exterior (ACME</w:t>
      </w:r>
      <w:r w:rsidR="00E05EDD">
        <w:rPr>
          <w:rFonts w:asciiTheme="majorHAnsi" w:hAnsiTheme="majorHAnsi" w:cstheme="majorHAnsi"/>
          <w:color w:val="000000" w:themeColor="text1"/>
        </w:rPr>
        <w:t xml:space="preserve"> Architecture, 2022)</w:t>
      </w:r>
    </w:p>
    <w:p w14:paraId="11A6A08A" w14:textId="77777777" w:rsidR="00E05EDD" w:rsidRDefault="00E05EDD" w:rsidP="003912A4">
      <w:pPr>
        <w:ind w:left="720" w:firstLine="0"/>
        <w:jc w:val="both"/>
        <w:rPr>
          <w:rFonts w:asciiTheme="majorHAnsi" w:hAnsiTheme="majorHAnsi" w:cstheme="majorHAnsi"/>
        </w:rPr>
      </w:pPr>
    </w:p>
    <w:p w14:paraId="66034881" w14:textId="1869E903" w:rsidR="00713D37" w:rsidRPr="00E05EDD" w:rsidRDefault="00AB6243" w:rsidP="00E05EDD">
      <w:pPr>
        <w:ind w:left="720" w:firstLine="0"/>
        <w:jc w:val="both"/>
        <w:rPr>
          <w:rFonts w:asciiTheme="majorHAnsi" w:hAnsiTheme="majorHAnsi" w:cstheme="majorHAnsi"/>
          <w:color w:val="000000" w:themeColor="text1"/>
          <w:lang w:eastAsia="en-GB"/>
        </w:rPr>
      </w:pPr>
      <w:r w:rsidRPr="00752791">
        <w:rPr>
          <w:rFonts w:asciiTheme="majorHAnsi" w:hAnsiTheme="majorHAnsi" w:cstheme="majorHAnsi"/>
        </w:rPr>
        <w:t>Swansea Building Society Arena, Swansea, Sa1 3BX (Swansea Council, 2023).</w:t>
      </w:r>
    </w:p>
    <w:p w14:paraId="17F501C4" w14:textId="175E5FB0" w:rsidR="00936D0F" w:rsidRPr="00752791" w:rsidRDefault="00905F53" w:rsidP="00752791">
      <w:pPr>
        <w:spacing w:before="100" w:beforeAutospacing="1" w:after="100" w:afterAutospacing="1"/>
        <w:ind w:firstLine="720"/>
        <w:outlineLvl w:val="1"/>
        <w:rPr>
          <w:rFonts w:asciiTheme="majorHAnsi" w:eastAsia="Times New Roman" w:hAnsiTheme="majorHAnsi" w:cstheme="majorHAnsi"/>
          <w:color w:val="EE0000"/>
          <w:kern w:val="0"/>
          <w:lang w:eastAsia="en-GB"/>
          <w14:ligatures w14:val="none"/>
        </w:rPr>
      </w:pPr>
      <w:r w:rsidRPr="00752791">
        <w:rPr>
          <w:rFonts w:asciiTheme="majorHAnsi" w:eastAsia="Times New Roman" w:hAnsiTheme="majorHAnsi" w:cstheme="majorHAnsi"/>
          <w:color w:val="000000" w:themeColor="text1"/>
          <w:kern w:val="0"/>
          <w:lang w:eastAsia="en-GB"/>
          <w14:ligatures w14:val="none"/>
        </w:rPr>
        <w:t>Introduction</w:t>
      </w:r>
    </w:p>
    <w:p w14:paraId="532439E4" w14:textId="77777777" w:rsidR="00936D0F" w:rsidRPr="003F6974" w:rsidRDefault="00B217FF" w:rsidP="00936D0F">
      <w:pPr>
        <w:spacing w:before="100" w:beforeAutospacing="1" w:after="100" w:afterAutospacing="1"/>
        <w:ind w:firstLine="0"/>
        <w:outlineLvl w:val="1"/>
        <w:rPr>
          <w:rFonts w:asciiTheme="majorHAnsi" w:hAnsiTheme="majorHAnsi" w:cstheme="majorHAnsi"/>
          <w:color w:val="000000" w:themeColor="text1"/>
        </w:rPr>
      </w:pPr>
      <w:r w:rsidRPr="00752791">
        <w:rPr>
          <w:rFonts w:asciiTheme="majorHAnsi" w:hAnsiTheme="majorHAnsi" w:cstheme="majorHAnsi"/>
        </w:rPr>
        <w:t xml:space="preserve">Swansea Arena opened in 2022 on the city’s waterfront as the central building within the Copr Bay regeneration scheme (Swansea Council, 2023). Designed by ACME Architects, the 3,500 seat venue was commissioned by Swansea Council as a base for the wider redevelopment strategy focused on culture, tourism, and economic growth (ACME Architects, 2022) (Williams, 2022) (Swansea Council, 2023). The arena occupies a prominent urban site between the city centre and the coast, where planners aimed to reconnect Swansea with its maritime edge through new public spaces and landmark </w:t>
      </w:r>
      <w:r w:rsidRPr="003F6974">
        <w:rPr>
          <w:rFonts w:asciiTheme="majorHAnsi" w:hAnsiTheme="majorHAnsi" w:cstheme="majorHAnsi"/>
          <w:color w:val="000000" w:themeColor="text1"/>
        </w:rPr>
        <w:t>architecture (Swansea Council, 2023). Architectural press has described the building as a bold civic presence, defined by a gold anodised aluminium façade and illuminated exterior intended to establish a new visual identity for the city (ACME Architects, 2022) (Williams, 2022). As a contemporary cultural flagship, Swansea Arena represents the growing use of large public venues as drivers of post-industrial urban transformation (Evans, 2005) (Comunian and Mould, 2014).</w:t>
      </w:r>
    </w:p>
    <w:p w14:paraId="0E8A4DD2" w14:textId="55EF4EFE" w:rsidR="00346EB9" w:rsidRPr="00752791" w:rsidRDefault="00E82A08" w:rsidP="00752791">
      <w:pPr>
        <w:spacing w:before="100" w:beforeAutospacing="1" w:after="100" w:afterAutospacing="1"/>
        <w:ind w:firstLine="0"/>
        <w:outlineLvl w:val="1"/>
        <w:rPr>
          <w:rFonts w:asciiTheme="majorHAnsi" w:eastAsia="Times New Roman" w:hAnsiTheme="majorHAnsi" w:cstheme="majorHAnsi"/>
          <w:color w:val="EE0000"/>
          <w:kern w:val="0"/>
          <w:lang w:eastAsia="en-GB"/>
          <w14:ligatures w14:val="none"/>
        </w:rPr>
      </w:pPr>
      <w:r w:rsidRPr="003F6974">
        <w:rPr>
          <w:rFonts w:asciiTheme="majorHAnsi" w:hAnsiTheme="majorHAnsi" w:cstheme="majorHAnsi"/>
          <w:color w:val="000000" w:themeColor="text1"/>
        </w:rPr>
        <w:t xml:space="preserve">This essay argues that Swansea Arena operates primarily as a regeneration tool where architecture functions as economic branding rather than purely civic space (Swansea Council, 2023). The building’s iconic gold façade and waterfront positioning aim to project a renewed urban image designed to attract visitors and investment, a strategy widely used in culture-led regeneration since the late twentieth century (ACME Architects, 2022) (Williams, 2022). While such landmark projects often stimulate short-term economic activity, research shows they frequently struggle to deliver long-term social value or everyday urban integration (Evans, 2005) (Comunian and Mould, 2014). Swansea Arena therefore reveals a tension between visual impact and public benefit, where architectural spectacle </w:t>
      </w:r>
      <w:r w:rsidRPr="003F6974">
        <w:rPr>
          <w:rFonts w:asciiTheme="majorHAnsi" w:hAnsiTheme="majorHAnsi" w:cstheme="majorHAnsi"/>
          <w:color w:val="000000" w:themeColor="text1"/>
        </w:rPr>
        <w:lastRenderedPageBreak/>
        <w:t xml:space="preserve">risks outweighing genuine civic engagement (Swansea Council, </w:t>
      </w:r>
      <w:r w:rsidRPr="00752791">
        <w:rPr>
          <w:rFonts w:asciiTheme="majorHAnsi" w:hAnsiTheme="majorHAnsi" w:cstheme="majorHAnsi"/>
        </w:rPr>
        <w:t>2023). The essay evaluates whether the arena strengthens Swansea’s urban life or serves mainly as a symbolic anchor for regeneration policy (Swansea Council, 2023).</w:t>
      </w:r>
    </w:p>
    <w:p w14:paraId="113D63DB" w14:textId="77777777" w:rsidR="00713D37" w:rsidRDefault="00713D37" w:rsidP="00752791">
      <w:pPr>
        <w:spacing w:before="100" w:beforeAutospacing="1" w:after="100" w:afterAutospacing="1"/>
        <w:ind w:firstLine="720"/>
        <w:outlineLvl w:val="0"/>
        <w:rPr>
          <w:rFonts w:asciiTheme="majorHAnsi" w:eastAsia="Times New Roman" w:hAnsiTheme="majorHAnsi" w:cstheme="majorHAnsi"/>
          <w:color w:val="000000" w:themeColor="text1"/>
          <w:kern w:val="36"/>
          <w:lang w:eastAsia="en-GB"/>
          <w14:ligatures w14:val="none"/>
        </w:rPr>
      </w:pPr>
    </w:p>
    <w:p w14:paraId="477436A3" w14:textId="2AD51842" w:rsidR="00346EB9" w:rsidRPr="00752791" w:rsidRDefault="00752791" w:rsidP="00752791">
      <w:pPr>
        <w:spacing w:before="100" w:beforeAutospacing="1" w:after="100" w:afterAutospacing="1"/>
        <w:ind w:firstLine="720"/>
        <w:outlineLvl w:val="0"/>
        <w:rPr>
          <w:rFonts w:asciiTheme="majorHAnsi" w:eastAsia="Times New Roman" w:hAnsiTheme="majorHAnsi" w:cstheme="majorHAnsi"/>
          <w:color w:val="EE0000"/>
          <w:kern w:val="36"/>
          <w:lang w:eastAsia="en-GB"/>
          <w14:ligatures w14:val="none"/>
        </w:rPr>
      </w:pPr>
      <w:r>
        <w:rPr>
          <w:rFonts w:asciiTheme="majorHAnsi" w:eastAsia="Times New Roman" w:hAnsiTheme="majorHAnsi" w:cstheme="majorHAnsi"/>
          <w:color w:val="000000" w:themeColor="text1"/>
          <w:kern w:val="36"/>
          <w:lang w:eastAsia="en-GB"/>
          <w14:ligatures w14:val="none"/>
        </w:rPr>
        <w:t>Urban and Historical Context</w:t>
      </w:r>
    </w:p>
    <w:p w14:paraId="3FA8849D" w14:textId="77777777" w:rsidR="0089156F" w:rsidRPr="00752791" w:rsidRDefault="005833A6" w:rsidP="0089156F">
      <w:pPr>
        <w:pStyle w:val="p1"/>
        <w:rPr>
          <w:rFonts w:asciiTheme="majorHAnsi" w:hAnsiTheme="majorHAnsi" w:cstheme="majorHAnsi"/>
          <w:sz w:val="22"/>
          <w:szCs w:val="22"/>
        </w:rPr>
      </w:pPr>
      <w:r w:rsidRPr="00752791">
        <w:rPr>
          <w:rFonts w:asciiTheme="majorHAnsi" w:hAnsiTheme="majorHAnsi" w:cstheme="majorHAnsi"/>
          <w:sz w:val="22"/>
          <w:szCs w:val="22"/>
        </w:rPr>
        <w:t>Swansea’s post-industrial decline forms the social and economic backdrop to the arena’s development (Swansea Council, 2023). During the late twentieth century, the collapse of heavy industry and port activity led to long-term job losses, population outflow, and large areas of underused waterfront land across Swansea (ACME Architects, 2022) (Williams, 2022). Former docklands shifted from productive infrastructure into fragmented brownfield zones, weakening connections between the city centre and the coast and reducing everyday public use of the waterfront (Swansea Council, 2023). Local authorities responded by adopting regeneration strategies centred on leisure, culture, and flagship developments, aiming to replace industrial employment with tourism and service-based economies (Evans, 2005) (Comunian and Mould, 2014). The arena emerges directly from this transition, positioned as a catalyst intended to reverse decline through architectural visibility and cultural consumption rather than industrial production (Swansea Council, 2023).</w:t>
      </w:r>
    </w:p>
    <w:p w14:paraId="5BCA2B7C" w14:textId="4524D7AF" w:rsidR="002B3092" w:rsidRDefault="005E6152" w:rsidP="0089156F">
      <w:pPr>
        <w:pStyle w:val="p1"/>
        <w:rPr>
          <w:rFonts w:asciiTheme="majorHAnsi" w:hAnsiTheme="majorHAnsi" w:cstheme="majorHAnsi"/>
          <w:sz w:val="22"/>
          <w:szCs w:val="22"/>
        </w:rPr>
      </w:pPr>
      <w:r w:rsidRPr="00752791">
        <w:rPr>
          <w:rFonts w:asciiTheme="majorHAnsi" w:hAnsiTheme="majorHAnsi" w:cstheme="majorHAnsi"/>
          <w:sz w:val="22"/>
          <w:szCs w:val="22"/>
        </w:rPr>
        <w:t>The waterfront redevelopment strategy in Swansea emerged as a direct response to post-industrial land abandonment and declining urban activity along the bay (Swansea Council, 2023). Local authorities repositioned the former docklands as a mixed-use cultural and leisure district through the Copr Bay regeneration programme, combining public realm investment with landmark buildings to attract private development and tourism (Swansea Council, 2023). The strategy prioritised visibility, footfall, and event-based use over industrial productivity, reflecting a wider shift in British coastal cities toward experience-driven urban economies (Swansea Council, 2023). Swansea Arena was placed at the centre of this framework to act as a constant draw for visitors, using architecture as a spatial anchor intended to stimulate surrounding commercial and residential growth (Swansea Council, 2023).</w:t>
      </w:r>
    </w:p>
    <w:p w14:paraId="72B3E5E3" w14:textId="3805A0F4" w:rsidR="00B467DD" w:rsidRDefault="00B467DD" w:rsidP="00644588">
      <w:pPr>
        <w:pStyle w:val="p1"/>
        <w:jc w:val="center"/>
      </w:pPr>
      <w:r>
        <w:fldChar w:fldCharType="begin"/>
      </w:r>
      <w:r>
        <w:instrText xml:space="preserve"> INCLUDEPICTURE "/Users/vikrxn/Library/Group Containers/UBF8T346G9.ms/WebArchiveCopyPasteTempFiles/com.microsoft.Word/the-swansea-lc2-leisure-centre.jpg?s=612x612&amp;w=0&amp;k=20&amp;c=skT_XX8uMPTIEK2qbNiiiWn6iPeD2ki15xjh6u-Gwzg=" \* MERGEFORMATINET </w:instrText>
      </w:r>
      <w:r>
        <w:fldChar w:fldCharType="separate"/>
      </w:r>
      <w:r>
        <w:rPr>
          <w:noProof/>
        </w:rPr>
        <w:drawing>
          <wp:inline distT="0" distB="0" distL="0" distR="0" wp14:anchorId="572E8655" wp14:editId="329D3957">
            <wp:extent cx="3745224" cy="2498753"/>
            <wp:effectExtent l="0" t="0" r="1905" b="3175"/>
            <wp:docPr id="462770833" name="Picture 4" descr="The Swansea Lc2 Leisure Centre Stock Photo - Download Image Now -  Architecture, Asphalt, Blue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Swansea Lc2 Leisure Centre Stock Photo - Download Image Now -  Architecture, Asphalt, Blue - iSt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55512" cy="2572335"/>
                    </a:xfrm>
                    <a:prstGeom prst="rect">
                      <a:avLst/>
                    </a:prstGeom>
                    <a:noFill/>
                    <a:ln>
                      <a:noFill/>
                    </a:ln>
                  </pic:spPr>
                </pic:pic>
              </a:graphicData>
            </a:graphic>
          </wp:inline>
        </w:drawing>
      </w:r>
      <w:r>
        <w:fldChar w:fldCharType="end"/>
      </w:r>
    </w:p>
    <w:p w14:paraId="3273E585" w14:textId="6B84CF28" w:rsidR="005E17DF" w:rsidRPr="005E17DF" w:rsidRDefault="006C487D" w:rsidP="005E17DF">
      <w:pPr>
        <w:ind w:firstLine="0"/>
        <w:rPr>
          <w:rFonts w:asciiTheme="majorHAnsi" w:eastAsia="Times New Roman" w:hAnsiTheme="majorHAnsi" w:cstheme="majorHAnsi"/>
          <w:color w:val="0E0E0E"/>
          <w:kern w:val="0"/>
          <w:lang w:eastAsia="en-GB"/>
          <w14:ligatures w14:val="none"/>
        </w:rPr>
      </w:pPr>
      <w:r>
        <w:rPr>
          <w:rFonts w:asciiTheme="majorHAnsi" w:eastAsia="Times New Roman" w:hAnsiTheme="majorHAnsi" w:cstheme="majorHAnsi"/>
          <w:color w:val="000000" w:themeColor="text1"/>
          <w:kern w:val="0"/>
          <w:lang w:eastAsia="en-GB"/>
          <w14:ligatures w14:val="none"/>
        </w:rPr>
        <w:t xml:space="preserve">Figure 2: Showing </w:t>
      </w:r>
      <w:r w:rsidR="004618CE">
        <w:rPr>
          <w:rFonts w:asciiTheme="majorHAnsi" w:eastAsia="Times New Roman" w:hAnsiTheme="majorHAnsi" w:cstheme="majorHAnsi"/>
          <w:color w:val="000000" w:themeColor="text1"/>
          <w:kern w:val="0"/>
          <w:lang w:eastAsia="en-GB"/>
          <w14:ligatures w14:val="none"/>
        </w:rPr>
        <w:t>the site before development and t</w:t>
      </w:r>
      <w:r w:rsidR="005E17DF" w:rsidRPr="005E17DF">
        <w:rPr>
          <w:rFonts w:asciiTheme="majorHAnsi" w:eastAsia="Times New Roman" w:hAnsiTheme="majorHAnsi" w:cstheme="majorHAnsi"/>
          <w:color w:val="000000" w:themeColor="text1"/>
          <w:kern w:val="0"/>
          <w:lang w:eastAsia="en-GB"/>
          <w14:ligatures w14:val="none"/>
        </w:rPr>
        <w:t xml:space="preserve">he facade of the LC2 demonstrates </w:t>
      </w:r>
      <w:r>
        <w:rPr>
          <w:rFonts w:asciiTheme="majorHAnsi" w:eastAsia="Times New Roman" w:hAnsiTheme="majorHAnsi" w:cstheme="majorHAnsi"/>
          <w:color w:val="000000" w:themeColor="text1"/>
          <w:kern w:val="0"/>
          <w:lang w:eastAsia="en-GB"/>
          <w14:ligatures w14:val="none"/>
        </w:rPr>
        <w:t xml:space="preserve">early </w:t>
      </w:r>
      <w:r w:rsidR="005E17DF" w:rsidRPr="005E17DF">
        <w:rPr>
          <w:rFonts w:asciiTheme="majorHAnsi" w:eastAsia="Times New Roman" w:hAnsiTheme="majorHAnsi" w:cstheme="majorHAnsi"/>
          <w:color w:val="000000" w:themeColor="text1"/>
          <w:kern w:val="0"/>
          <w:lang w:eastAsia="en-GB"/>
          <w14:ligatures w14:val="none"/>
        </w:rPr>
        <w:t>contemporary waterfront regeneration (Getty Images, 2019).</w:t>
      </w:r>
    </w:p>
    <w:p w14:paraId="1080DB84" w14:textId="77777777" w:rsidR="005E17DF" w:rsidRPr="00752791" w:rsidRDefault="005E17DF" w:rsidP="0089156F">
      <w:pPr>
        <w:pStyle w:val="p1"/>
        <w:rPr>
          <w:rFonts w:asciiTheme="majorHAnsi" w:hAnsiTheme="majorHAnsi" w:cstheme="majorHAnsi"/>
          <w:color w:val="EE0000"/>
          <w:sz w:val="22"/>
          <w:szCs w:val="22"/>
        </w:rPr>
      </w:pPr>
    </w:p>
    <w:p w14:paraId="5986AED5" w14:textId="3B01D27D" w:rsidR="00142459" w:rsidRDefault="00142459" w:rsidP="002B3092">
      <w:pPr>
        <w:spacing w:before="100" w:beforeAutospacing="1" w:after="100" w:afterAutospacing="1"/>
        <w:ind w:firstLine="0"/>
        <w:rPr>
          <w:rFonts w:asciiTheme="majorHAnsi" w:hAnsiTheme="majorHAnsi" w:cstheme="majorHAnsi"/>
        </w:rPr>
      </w:pPr>
      <w:r w:rsidRPr="00752791">
        <w:rPr>
          <w:rFonts w:asciiTheme="majorHAnsi" w:hAnsiTheme="majorHAnsi" w:cstheme="majorHAnsi"/>
        </w:rPr>
        <w:lastRenderedPageBreak/>
        <w:t>Cultural buildings have become central tools in urban regeneration strategies across post-industrial cities, where large public venues are used to attract visitors, stimulate private investment, and reshape city identity (Swansea Council, 2023). Urban studies research shows</w:t>
      </w:r>
      <w:r w:rsidR="00413CCE">
        <w:rPr>
          <w:rFonts w:asciiTheme="majorHAnsi" w:hAnsiTheme="majorHAnsi" w:cstheme="majorHAnsi"/>
        </w:rPr>
        <w:t xml:space="preserve">, </w:t>
      </w:r>
      <w:r w:rsidRPr="00752791">
        <w:rPr>
          <w:rFonts w:asciiTheme="majorHAnsi" w:hAnsiTheme="majorHAnsi" w:cstheme="majorHAnsi"/>
        </w:rPr>
        <w:t>cultural catalysts often succeed in raising a city’s profile and increasing short-term tourism while delivering uneven long-term social benefits for local communities (Evans, 2005) (Comunian and Mould, 2014). The reliance on landmark architecture within regeneration policy reflects a shift from production</w:t>
      </w:r>
      <w:r w:rsidR="003D3578">
        <w:rPr>
          <w:rFonts w:asciiTheme="majorHAnsi" w:hAnsiTheme="majorHAnsi" w:cstheme="majorHAnsi"/>
        </w:rPr>
        <w:t xml:space="preserve"> </w:t>
      </w:r>
      <w:r w:rsidRPr="00752791">
        <w:rPr>
          <w:rFonts w:asciiTheme="majorHAnsi" w:hAnsiTheme="majorHAnsi" w:cstheme="majorHAnsi"/>
        </w:rPr>
        <w:t>based economies to experience</w:t>
      </w:r>
      <w:r w:rsidR="003D3578">
        <w:rPr>
          <w:rFonts w:asciiTheme="majorHAnsi" w:hAnsiTheme="majorHAnsi" w:cstheme="majorHAnsi"/>
        </w:rPr>
        <w:t xml:space="preserve"> </w:t>
      </w:r>
      <w:r w:rsidRPr="00752791">
        <w:rPr>
          <w:rFonts w:asciiTheme="majorHAnsi" w:hAnsiTheme="majorHAnsi" w:cstheme="majorHAnsi"/>
        </w:rPr>
        <w:t>based urban development, where cultural consumption replaces industrial labour as the primary driver of growth (Swansea Council, 2023).</w:t>
      </w:r>
    </w:p>
    <w:p w14:paraId="10219BEC" w14:textId="7CFFA900" w:rsidR="0031042E" w:rsidRDefault="0031042E" w:rsidP="002B3092">
      <w:pPr>
        <w:spacing w:before="100" w:beforeAutospacing="1" w:after="100" w:afterAutospacing="1"/>
        <w:ind w:firstLine="0"/>
      </w:pPr>
      <w:r>
        <w:fldChar w:fldCharType="begin"/>
      </w:r>
      <w:r>
        <w:instrText xml:space="preserve"> INCLUDEPICTURE "/Users/vikrxn/Library/Group Containers/UBF8T346G9.ms/WebArchiveCopyPasteTempFiles/com.microsoft.Word/0_JS191547804.jpg" \* MERGEFORMATINET </w:instrText>
      </w:r>
      <w:r>
        <w:fldChar w:fldCharType="separate"/>
      </w:r>
      <w:r>
        <w:rPr>
          <w:noProof/>
        </w:rPr>
        <w:drawing>
          <wp:inline distT="0" distB="0" distL="0" distR="0" wp14:anchorId="222CFC86" wp14:editId="29B0C198">
            <wp:extent cx="5731510" cy="3223895"/>
            <wp:effectExtent l="0" t="0" r="0" b="1905"/>
            <wp:docPr id="685980955" name="Picture 5" descr="When this popular Swansea car park is closing for good and the changes at  the multi-storey opposite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en this popular Swansea car park is closing for good and the changes at  the multi-storey opposite | Wales On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0EDAA280" w14:textId="116D66E7" w:rsidR="0021218F" w:rsidRPr="007D4B7A" w:rsidRDefault="007D4B7A" w:rsidP="002B3092">
      <w:pPr>
        <w:spacing w:before="100" w:beforeAutospacing="1" w:after="100" w:afterAutospacing="1"/>
        <w:ind w:firstLine="0"/>
        <w:rPr>
          <w:rFonts w:asciiTheme="majorHAnsi" w:hAnsiTheme="majorHAnsi" w:cstheme="majorHAnsi"/>
        </w:rPr>
      </w:pPr>
      <w:r>
        <w:rPr>
          <w:rFonts w:asciiTheme="majorHAnsi" w:hAnsiTheme="majorHAnsi" w:cstheme="majorHAnsi"/>
        </w:rPr>
        <w:t xml:space="preserve">Figure 3: Aerial View of </w:t>
      </w:r>
      <w:r w:rsidR="00D05CD3">
        <w:rPr>
          <w:rFonts w:asciiTheme="majorHAnsi" w:hAnsiTheme="majorHAnsi" w:cstheme="majorHAnsi"/>
        </w:rPr>
        <w:t>site during early stages of construction (</w:t>
      </w:r>
      <w:proofErr w:type="spellStart"/>
      <w:r w:rsidR="00D05CD3">
        <w:rPr>
          <w:rFonts w:asciiTheme="majorHAnsi" w:hAnsiTheme="majorHAnsi" w:cstheme="majorHAnsi"/>
        </w:rPr>
        <w:t>Wales</w:t>
      </w:r>
      <w:r w:rsidR="007E747B">
        <w:rPr>
          <w:rFonts w:asciiTheme="majorHAnsi" w:hAnsiTheme="majorHAnsi" w:cstheme="majorHAnsi"/>
        </w:rPr>
        <w:t>Online</w:t>
      </w:r>
      <w:proofErr w:type="spellEnd"/>
      <w:r w:rsidR="007E747B">
        <w:rPr>
          <w:rFonts w:asciiTheme="majorHAnsi" w:hAnsiTheme="majorHAnsi" w:cstheme="majorHAnsi"/>
        </w:rPr>
        <w:t>, 2019)</w:t>
      </w:r>
    </w:p>
    <w:p w14:paraId="56D89E73" w14:textId="4D2A03F4" w:rsidR="0031042E" w:rsidRPr="0031042E" w:rsidRDefault="0031042E" w:rsidP="002B3092">
      <w:pPr>
        <w:spacing w:before="100" w:beforeAutospacing="1" w:after="100" w:afterAutospacing="1"/>
        <w:ind w:firstLine="0"/>
        <w:rPr>
          <w:rFonts w:asciiTheme="majorHAnsi" w:eastAsia="Times New Roman" w:hAnsiTheme="majorHAnsi" w:cstheme="majorHAnsi"/>
          <w:color w:val="EE0000"/>
          <w:kern w:val="0"/>
          <w:lang w:eastAsia="en-GB"/>
          <w14:ligatures w14:val="none"/>
        </w:rPr>
      </w:pPr>
    </w:p>
    <w:p w14:paraId="6166FFE5" w14:textId="61575CFE" w:rsidR="006D0C42" w:rsidRDefault="00CE69E3" w:rsidP="006D0C42">
      <w:pPr>
        <w:spacing w:before="100" w:beforeAutospacing="1" w:after="100" w:afterAutospacing="1"/>
        <w:ind w:firstLine="0"/>
        <w:rPr>
          <w:rFonts w:asciiTheme="majorHAnsi" w:eastAsia="Times New Roman" w:hAnsiTheme="majorHAnsi" w:cstheme="majorHAnsi"/>
          <w:color w:val="EE0000"/>
          <w:kern w:val="0"/>
          <w:lang w:eastAsia="en-GB"/>
          <w14:ligatures w14:val="none"/>
        </w:rPr>
      </w:pPr>
      <w:r w:rsidRPr="00752791">
        <w:rPr>
          <w:rFonts w:asciiTheme="majorHAnsi" w:hAnsiTheme="majorHAnsi" w:cstheme="majorHAnsi"/>
        </w:rPr>
        <w:t xml:space="preserve">The arena was selected as the central project within the Copr Bay redevelopment because large entertainment venues generate predictable visitor numbers, high media visibility, and consistent evening and weekend activity, which smaller public buildings rarely achieve (Swansea Council, 2023). In Swansea, local authorities identified a mid-scale indoor arena as a gap in the regional cultural economy, where touring concerts and events were previously concentrated in Cardiff and Bristol (Swansea Council, 2021). By introducing a 3,500 seat venue, planners aimed to retain spending within the city, attract external visitors, and support surrounding restaurants, hotels, and public spaces (Swansea Council, 2023). Regeneration policy increasingly favours arenas because they offer measurable economic outputs such as ticket sales, footfall data, and job creation, aligning cultural investment with performance-driven urban development models (Swansea Council, 2023). The choice of an arena therefore reflects economic </w:t>
      </w:r>
      <w:r w:rsidR="000003A0" w:rsidRPr="000003A0">
        <w:rPr>
          <w:rFonts w:asciiTheme="majorHAnsi" w:hAnsiTheme="majorHAnsi" w:cstheme="majorHAnsi"/>
        </w:rPr>
        <w:t>simplicity</w:t>
      </w:r>
      <w:r w:rsidR="000003A0">
        <w:rPr>
          <w:rFonts w:asciiTheme="majorHAnsi" w:hAnsiTheme="majorHAnsi" w:cstheme="majorHAnsi"/>
        </w:rPr>
        <w:t xml:space="preserve"> </w:t>
      </w:r>
      <w:r w:rsidRPr="00752791">
        <w:rPr>
          <w:rFonts w:asciiTheme="majorHAnsi" w:hAnsiTheme="majorHAnsi" w:cstheme="majorHAnsi"/>
        </w:rPr>
        <w:t>rather than purely architectural ambition, positioning the building as infrastructure for growth as much as a civic space (Swansea Council, 2023).</w:t>
      </w:r>
    </w:p>
    <w:p w14:paraId="451AA7E2" w14:textId="77777777" w:rsidR="006D0C42" w:rsidRDefault="006D0C42" w:rsidP="006D0C42">
      <w:pPr>
        <w:spacing w:before="100" w:beforeAutospacing="1" w:after="100" w:afterAutospacing="1"/>
        <w:ind w:firstLine="720"/>
        <w:rPr>
          <w:rFonts w:asciiTheme="majorHAnsi" w:eastAsia="Times New Roman" w:hAnsiTheme="majorHAnsi" w:cstheme="majorHAnsi"/>
          <w:color w:val="EE0000"/>
          <w:kern w:val="0"/>
          <w:lang w:eastAsia="en-GB"/>
          <w14:ligatures w14:val="none"/>
        </w:rPr>
      </w:pPr>
    </w:p>
    <w:p w14:paraId="3B1B5BBA" w14:textId="45011696" w:rsidR="00346EB9" w:rsidRPr="006D0C42" w:rsidRDefault="001F1D32" w:rsidP="006D0C42">
      <w:pPr>
        <w:spacing w:before="100" w:beforeAutospacing="1" w:after="100" w:afterAutospacing="1"/>
        <w:ind w:firstLine="720"/>
        <w:rPr>
          <w:rFonts w:asciiTheme="majorHAnsi" w:eastAsia="Times New Roman" w:hAnsiTheme="majorHAnsi" w:cstheme="majorHAnsi"/>
          <w:color w:val="EE0000"/>
          <w:kern w:val="0"/>
          <w:lang w:eastAsia="en-GB"/>
          <w14:ligatures w14:val="none"/>
        </w:rPr>
      </w:pPr>
      <w:r>
        <w:rPr>
          <w:rFonts w:asciiTheme="majorHAnsi" w:eastAsia="Times New Roman" w:hAnsiTheme="majorHAnsi" w:cstheme="majorHAnsi"/>
          <w:color w:val="000000" w:themeColor="text1"/>
          <w:kern w:val="36"/>
          <w:lang w:eastAsia="en-GB"/>
          <w14:ligatures w14:val="none"/>
        </w:rPr>
        <w:t>Architect and Design Philosophy</w:t>
      </w:r>
    </w:p>
    <w:p w14:paraId="034D3CF3" w14:textId="1CA27FF4" w:rsidR="005A55E9" w:rsidRDefault="005A55E9" w:rsidP="005A55E9">
      <w:pPr>
        <w:ind w:firstLine="0"/>
        <w:jc w:val="both"/>
        <w:rPr>
          <w:rFonts w:asciiTheme="majorHAnsi" w:hAnsiTheme="majorHAnsi" w:cstheme="majorHAnsi"/>
          <w:color w:val="000000" w:themeColor="text1"/>
        </w:rPr>
      </w:pPr>
      <w:r w:rsidRPr="005A55E9">
        <w:rPr>
          <w:rFonts w:asciiTheme="majorHAnsi" w:hAnsiTheme="majorHAnsi" w:cstheme="majorHAnsi"/>
          <w:color w:val="000000" w:themeColor="text1"/>
        </w:rPr>
        <w:lastRenderedPageBreak/>
        <w:t>ACME Architects is a design</w:t>
      </w:r>
      <w:r w:rsidRPr="005A55E9">
        <w:rPr>
          <w:rFonts w:asciiTheme="majorHAnsi" w:hAnsiTheme="majorHAnsi" w:cstheme="majorHAnsi"/>
          <w:color w:val="000000" w:themeColor="text1"/>
        </w:rPr>
        <w:noBreakHyphen/>
        <w:t>focused practice recognised for producing expressive public buildings that assert a strong presence within the urban landscape, often using materiality and light to shape civic identity. Their work frequently positions architecture as a prominent visual marker rather than background fabric, particularly within regeneration contexts where buildings are expected to attract attention, increase footfall, and contribute to place branding (ACME Architects, 2022; Williams, 2022). This emphasis on distinctiveness aligns with contemporary development models in which architectural form supports wider economic and marketing objectives. </w:t>
      </w:r>
      <w:r w:rsidRPr="005A55E9">
        <w:rPr>
          <w:rFonts w:asciiTheme="majorHAnsi" w:hAnsiTheme="majorHAnsi" w:cstheme="majorHAnsi"/>
          <w:color w:val="000000" w:themeColor="text1"/>
        </w:rPr>
        <w:t xml:space="preserve"> </w:t>
      </w:r>
    </w:p>
    <w:p w14:paraId="6CEDDCAD" w14:textId="77777777" w:rsidR="005A55E9" w:rsidRPr="005A55E9" w:rsidRDefault="005A55E9" w:rsidP="005A55E9">
      <w:pPr>
        <w:ind w:left="360" w:firstLine="0"/>
        <w:rPr>
          <w:rFonts w:asciiTheme="majorHAnsi" w:hAnsiTheme="majorHAnsi" w:cstheme="majorHAnsi"/>
          <w:color w:val="000000" w:themeColor="text1"/>
        </w:rPr>
      </w:pPr>
    </w:p>
    <w:p w14:paraId="04F08083" w14:textId="77777777" w:rsidR="005A55E9" w:rsidRDefault="005A55E9" w:rsidP="005A55E9">
      <w:pPr>
        <w:ind w:firstLine="0"/>
        <w:rPr>
          <w:rFonts w:asciiTheme="majorHAnsi" w:hAnsiTheme="majorHAnsi" w:cstheme="majorHAnsi"/>
          <w:color w:val="000000" w:themeColor="text1"/>
        </w:rPr>
      </w:pPr>
      <w:r w:rsidRPr="005A55E9">
        <w:rPr>
          <w:rFonts w:asciiTheme="majorHAnsi" w:hAnsiTheme="majorHAnsi" w:cstheme="majorHAnsi"/>
          <w:color w:val="000000" w:themeColor="text1"/>
        </w:rPr>
        <w:t>Swansea Arena was conceived within this philosophy as a compact, curved structure designed to be read as a single, recognisable landmark rather than a fragmented complex. Its form responds to the openness of the waterfront setting, where the absence of tall surrounding buildings enables it to function as a dominant visual object visible from both the city centre and Swansea Bay (Swansea Council, 2023). Instead of integrating into the low</w:t>
      </w:r>
      <w:r w:rsidRPr="005A55E9">
        <w:rPr>
          <w:rFonts w:asciiTheme="majorHAnsi" w:hAnsiTheme="majorHAnsi" w:cstheme="majorHAnsi"/>
          <w:color w:val="000000" w:themeColor="text1"/>
        </w:rPr>
        <w:noBreakHyphen/>
        <w:t>rise post</w:t>
      </w:r>
      <w:r w:rsidRPr="005A55E9">
        <w:rPr>
          <w:rFonts w:asciiTheme="majorHAnsi" w:hAnsiTheme="majorHAnsi" w:cstheme="majorHAnsi"/>
          <w:color w:val="000000" w:themeColor="text1"/>
        </w:rPr>
        <w:noBreakHyphen/>
        <w:t>industrial townscape, the arena intentionally contrasts with its surroundings through a smooth metallic façade and a continuous illuminated surface, reinforcing its identity as a contemporary civic symbol (ACME Architects, 2022; Williams, 2022). </w:t>
      </w:r>
    </w:p>
    <w:p w14:paraId="4527DD04" w14:textId="7C37D4ED" w:rsidR="005A55E9" w:rsidRPr="005A55E9" w:rsidRDefault="005A55E9" w:rsidP="005A55E9">
      <w:pPr>
        <w:rPr>
          <w:rFonts w:asciiTheme="majorHAnsi" w:hAnsiTheme="majorHAnsi" w:cstheme="majorHAnsi"/>
          <w:color w:val="000000" w:themeColor="text1"/>
        </w:rPr>
      </w:pPr>
      <w:r w:rsidRPr="005A55E9">
        <w:rPr>
          <w:rFonts w:asciiTheme="majorHAnsi" w:hAnsiTheme="majorHAnsi" w:cstheme="majorHAnsi"/>
          <w:color w:val="000000" w:themeColor="text1"/>
        </w:rPr>
        <w:t xml:space="preserve"> </w:t>
      </w:r>
    </w:p>
    <w:p w14:paraId="2556B8C6" w14:textId="4D2DF52D" w:rsidR="005A55E9" w:rsidRPr="005A55E9" w:rsidRDefault="005A55E9" w:rsidP="005A55E9">
      <w:pPr>
        <w:ind w:firstLine="0"/>
        <w:rPr>
          <w:rFonts w:asciiTheme="majorHAnsi" w:hAnsiTheme="majorHAnsi" w:cstheme="majorHAnsi"/>
          <w:color w:val="000000" w:themeColor="text1"/>
        </w:rPr>
      </w:pPr>
      <w:r w:rsidRPr="005A55E9">
        <w:rPr>
          <w:rFonts w:asciiTheme="majorHAnsi" w:hAnsiTheme="majorHAnsi" w:cstheme="majorHAnsi"/>
          <w:color w:val="000000" w:themeColor="text1"/>
        </w:rPr>
        <w:t>The programmable LED façade further strengthens this approach by transforming the building into a dynamic public image, using light not only as an aesthetic feature but also as a tool for urban branding. Through its material and visual strategy, ACME positions the arena as an emblem of Swansea’s forward</w:t>
      </w:r>
      <w:r w:rsidRPr="005A55E9">
        <w:rPr>
          <w:rFonts w:asciiTheme="majorHAnsi" w:hAnsiTheme="majorHAnsi" w:cstheme="majorHAnsi"/>
          <w:color w:val="000000" w:themeColor="text1"/>
        </w:rPr>
        <w:noBreakHyphen/>
        <w:t>looking waterfront regeneration rather than an extension of its industrial past. </w:t>
      </w:r>
      <w:r w:rsidRPr="005A55E9">
        <w:rPr>
          <w:rFonts w:asciiTheme="majorHAnsi" w:hAnsiTheme="majorHAnsi" w:cstheme="majorHAnsi"/>
          <w:color w:val="000000" w:themeColor="text1"/>
        </w:rPr>
        <w:t xml:space="preserve"> </w:t>
      </w:r>
    </w:p>
    <w:p w14:paraId="45A900C1" w14:textId="776F65C6" w:rsidR="00F65FD7" w:rsidRDefault="00611391" w:rsidP="0089156F">
      <w:pPr>
        <w:spacing w:before="100" w:beforeAutospacing="1" w:after="100" w:afterAutospacing="1"/>
        <w:ind w:firstLine="0"/>
      </w:pPr>
      <w:r>
        <w:fldChar w:fldCharType="begin"/>
      </w:r>
      <w:r>
        <w:instrText xml:space="preserve"> INCLUDEPICTURE "/Users/vikrxn/Library/Group Containers/UBF8T346G9.ms/WebArchiveCopyPasteTempFiles/com.microsoft.Word/swansea-arena-3.jpg" \* MERGEFORMATINET </w:instrText>
      </w:r>
      <w:r>
        <w:fldChar w:fldCharType="separate"/>
      </w:r>
      <w:r>
        <w:rPr>
          <w:noProof/>
        </w:rPr>
        <w:drawing>
          <wp:inline distT="0" distB="0" distL="0" distR="0" wp14:anchorId="3FDE5D2A" wp14:editId="50A8E57B">
            <wp:extent cx="5731510" cy="3851275"/>
            <wp:effectExtent l="0" t="0" r="0" b="0"/>
            <wp:docPr id="192402225" name="Picture 1" descr="Swansea Building Society Arena | Swansea Bay City De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Building Society Arena | Swansea Bay City De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51275"/>
                    </a:xfrm>
                    <a:prstGeom prst="rect">
                      <a:avLst/>
                    </a:prstGeom>
                    <a:noFill/>
                    <a:ln>
                      <a:noFill/>
                    </a:ln>
                  </pic:spPr>
                </pic:pic>
              </a:graphicData>
            </a:graphic>
          </wp:inline>
        </w:drawing>
      </w:r>
      <w:r>
        <w:fldChar w:fldCharType="end"/>
      </w:r>
    </w:p>
    <w:p w14:paraId="52D062C5" w14:textId="6BB05863" w:rsidR="00611391" w:rsidRPr="00752791" w:rsidRDefault="00611391" w:rsidP="0089156F">
      <w:pPr>
        <w:spacing w:before="100" w:beforeAutospacing="1" w:after="100" w:afterAutospacing="1"/>
        <w:ind w:firstLine="0"/>
        <w:rPr>
          <w:rFonts w:asciiTheme="majorHAnsi" w:eastAsia="Times New Roman" w:hAnsiTheme="majorHAnsi" w:cstheme="majorHAnsi"/>
          <w:color w:val="000000" w:themeColor="text1"/>
          <w:kern w:val="0"/>
          <w:lang w:eastAsia="en-GB"/>
          <w14:ligatures w14:val="none"/>
        </w:rPr>
      </w:pPr>
      <w:r>
        <w:t xml:space="preserve">Figure 4: </w:t>
      </w:r>
      <w:r w:rsidR="0018190C">
        <w:t xml:space="preserve">Exterior view </w:t>
      </w:r>
      <w:r w:rsidR="005C06FA">
        <w:t>of Swansea Arena</w:t>
      </w:r>
      <w:r w:rsidR="000001AA">
        <w:t>’s</w:t>
      </w:r>
      <w:r w:rsidR="005C06FA">
        <w:t xml:space="preserve"> </w:t>
      </w:r>
      <w:r w:rsidR="009B2910">
        <w:t xml:space="preserve">façade </w:t>
      </w:r>
      <w:r w:rsidR="000001AA">
        <w:t xml:space="preserve">(Swansea Bay City Deal, </w:t>
      </w:r>
      <w:proofErr w:type="spellStart"/>
      <w:r w:rsidR="000001AA">
        <w:t>n</w:t>
      </w:r>
      <w:r w:rsidR="005323E2">
        <w:t>.d</w:t>
      </w:r>
      <w:proofErr w:type="spellEnd"/>
      <w:r w:rsidR="005323E2">
        <w:t>)</w:t>
      </w:r>
    </w:p>
    <w:p w14:paraId="3B4A37CA" w14:textId="219B4FD2" w:rsidR="00713D37" w:rsidRDefault="007475BD" w:rsidP="006D0C42">
      <w:pPr>
        <w:pStyle w:val="p1"/>
        <w:rPr>
          <w:rFonts w:asciiTheme="majorHAnsi" w:hAnsiTheme="majorHAnsi" w:cstheme="majorHAnsi"/>
          <w:sz w:val="22"/>
          <w:szCs w:val="22"/>
        </w:rPr>
      </w:pPr>
      <w:r w:rsidRPr="00752791">
        <w:rPr>
          <w:rFonts w:asciiTheme="majorHAnsi" w:hAnsiTheme="majorHAnsi" w:cstheme="majorHAnsi"/>
          <w:sz w:val="22"/>
          <w:szCs w:val="22"/>
        </w:rPr>
        <w:t xml:space="preserve">The design philosophy behind Swansea Arena prioritises visual identity and landmark presence, yet this raises questions about its success as contextual architecture within Swansea (Swansea Council, 2023). While ACME Architects intended the curved form and illuminated façade to reconnect the city with its waterfront, the building operates more as a standalone object than as an integrated piece of </w:t>
      </w:r>
      <w:r w:rsidRPr="00752791">
        <w:rPr>
          <w:rFonts w:asciiTheme="majorHAnsi" w:hAnsiTheme="majorHAnsi" w:cstheme="majorHAnsi"/>
          <w:sz w:val="22"/>
          <w:szCs w:val="22"/>
        </w:rPr>
        <w:lastRenderedPageBreak/>
        <w:t>urban fabric (ACME Architects, 2022</w:t>
      </w:r>
      <w:r w:rsidR="00027B63">
        <w:rPr>
          <w:rFonts w:asciiTheme="majorHAnsi" w:hAnsiTheme="majorHAnsi" w:cstheme="majorHAnsi"/>
          <w:sz w:val="22"/>
          <w:szCs w:val="22"/>
        </w:rPr>
        <w:t xml:space="preserve">; </w:t>
      </w:r>
      <w:r w:rsidRPr="00752791">
        <w:rPr>
          <w:rFonts w:asciiTheme="majorHAnsi" w:hAnsiTheme="majorHAnsi" w:cstheme="majorHAnsi"/>
          <w:sz w:val="22"/>
          <w:szCs w:val="22"/>
        </w:rPr>
        <w:t>Williams, 2022). The arena’s scale</w:t>
      </w:r>
      <w:r w:rsidR="007F1FCB">
        <w:rPr>
          <w:rFonts w:asciiTheme="majorHAnsi" w:hAnsiTheme="majorHAnsi" w:cstheme="majorHAnsi"/>
          <w:sz w:val="22"/>
          <w:szCs w:val="22"/>
        </w:rPr>
        <w:t xml:space="preserve"> </w:t>
      </w:r>
      <w:r w:rsidRPr="00752791">
        <w:rPr>
          <w:rFonts w:asciiTheme="majorHAnsi" w:hAnsiTheme="majorHAnsi" w:cstheme="majorHAnsi"/>
          <w:sz w:val="22"/>
          <w:szCs w:val="22"/>
        </w:rPr>
        <w:t>and inward-focused programme limit everyday engagement outside event times, reducing the surrounding public realm to a transitional space rather than an active civic zone (Swansea Council, 2021) (Swansea Council, 2023). The architecture therefore achieves strong visual recognition yet offers limited spatial dialogue with its post-industrial context. This outcome suggests the Project Succeeds as an iconic marker of regeneration while falling short as a contextual urban building that supports continuous public life (Swansea Council, 2023).</w:t>
      </w:r>
    </w:p>
    <w:p w14:paraId="5CFA4020" w14:textId="77777777" w:rsidR="006D0C42" w:rsidRPr="006D0C42" w:rsidRDefault="006D0C42" w:rsidP="006D0C42">
      <w:pPr>
        <w:pStyle w:val="p1"/>
        <w:rPr>
          <w:rFonts w:asciiTheme="majorHAnsi" w:hAnsiTheme="majorHAnsi" w:cstheme="majorHAnsi"/>
          <w:color w:val="000000" w:themeColor="text1"/>
          <w:sz w:val="22"/>
          <w:szCs w:val="22"/>
        </w:rPr>
      </w:pPr>
    </w:p>
    <w:p w14:paraId="4FCE81D9" w14:textId="31DA2E9A" w:rsidR="00346EB9" w:rsidRPr="00752791" w:rsidRDefault="003912A4" w:rsidP="003912A4">
      <w:pPr>
        <w:ind w:firstLine="720"/>
        <w:rPr>
          <w:rFonts w:asciiTheme="majorHAnsi" w:eastAsia="Times New Roman" w:hAnsiTheme="majorHAnsi" w:cstheme="majorHAnsi"/>
          <w:color w:val="EE0000"/>
          <w:kern w:val="0"/>
          <w:lang w:eastAsia="en-GB"/>
          <w14:ligatures w14:val="none"/>
        </w:rPr>
      </w:pPr>
      <w:r>
        <w:rPr>
          <w:rFonts w:asciiTheme="majorHAnsi" w:eastAsia="Times New Roman" w:hAnsiTheme="majorHAnsi" w:cstheme="majorHAnsi"/>
          <w:color w:val="000000" w:themeColor="text1"/>
          <w:kern w:val="36"/>
          <w:lang w:eastAsia="en-GB"/>
          <w14:ligatures w14:val="none"/>
        </w:rPr>
        <w:t>Form, Space and Experience</w:t>
      </w:r>
      <w:r w:rsidR="00346EB9" w:rsidRPr="00752791">
        <w:rPr>
          <w:rFonts w:asciiTheme="majorHAnsi" w:eastAsia="Times New Roman" w:hAnsiTheme="majorHAnsi" w:cstheme="majorHAnsi"/>
          <w:color w:val="EE0000"/>
          <w:kern w:val="36"/>
          <w:lang w:eastAsia="en-GB"/>
          <w14:ligatures w14:val="none"/>
        </w:rPr>
        <w:t xml:space="preserve"> </w:t>
      </w:r>
    </w:p>
    <w:p w14:paraId="727EB360" w14:textId="71AECFC9" w:rsidR="00736842" w:rsidRDefault="00515722" w:rsidP="002B3092">
      <w:pPr>
        <w:pStyle w:val="p1"/>
      </w:pPr>
      <w:r w:rsidRPr="00752791">
        <w:rPr>
          <w:rFonts w:asciiTheme="majorHAnsi" w:hAnsiTheme="majorHAnsi" w:cstheme="majorHAnsi"/>
          <w:sz w:val="22"/>
          <w:szCs w:val="22"/>
        </w:rPr>
        <w:t xml:space="preserve">The overall massing of Swansea Arena adopts a smooth sculptural form that reads as a single continuous volume rising from the flat waterfront plane (ACME Architects, 2022) (Williams, 2022). Rather than stepping down to reflect the </w:t>
      </w:r>
      <w:proofErr w:type="gramStart"/>
      <w:r w:rsidRPr="00752791">
        <w:rPr>
          <w:rFonts w:asciiTheme="majorHAnsi" w:hAnsiTheme="majorHAnsi" w:cstheme="majorHAnsi"/>
          <w:sz w:val="22"/>
          <w:szCs w:val="22"/>
        </w:rPr>
        <w:t>low rise</w:t>
      </w:r>
      <w:proofErr w:type="gramEnd"/>
      <w:r w:rsidRPr="00752791">
        <w:rPr>
          <w:rFonts w:asciiTheme="majorHAnsi" w:hAnsiTheme="majorHAnsi" w:cstheme="majorHAnsi"/>
          <w:sz w:val="22"/>
          <w:szCs w:val="22"/>
        </w:rPr>
        <w:t xml:space="preserve"> post-industrial surroundings, the arena presents a bold silhouette intended to register immediately within the urban horizon (Swansea Council, 2023). Its waterfront positioning </w:t>
      </w:r>
      <w:r w:rsidR="0066048A" w:rsidRPr="00752791">
        <w:rPr>
          <w:rFonts w:asciiTheme="majorHAnsi" w:hAnsiTheme="majorHAnsi" w:cstheme="majorHAnsi"/>
          <w:sz w:val="22"/>
          <w:szCs w:val="22"/>
        </w:rPr>
        <w:t>open</w:t>
      </w:r>
      <w:r w:rsidR="0066048A">
        <w:rPr>
          <w:rFonts w:asciiTheme="majorHAnsi" w:hAnsiTheme="majorHAnsi" w:cstheme="majorHAnsi"/>
          <w:sz w:val="22"/>
          <w:szCs w:val="22"/>
        </w:rPr>
        <w:t>s</w:t>
      </w:r>
      <w:r w:rsidRPr="00752791">
        <w:rPr>
          <w:rFonts w:asciiTheme="majorHAnsi" w:hAnsiTheme="majorHAnsi" w:cstheme="majorHAnsi"/>
          <w:sz w:val="22"/>
          <w:szCs w:val="22"/>
        </w:rPr>
        <w:t xml:space="preserve"> sightlines allow the building to dominate long-distance views and operate as a visual anchor for the Copr Bay redevelopment in Swansea (Swansea Council, 2023). </w:t>
      </w:r>
      <w:r w:rsidR="00B811A1">
        <w:fldChar w:fldCharType="begin"/>
      </w:r>
      <w:r w:rsidR="00B811A1">
        <w:instrText xml:space="preserve"> INCLUDEPICTURE "/Users/vikrxn/Library/Group Containers/UBF8T346G9.ms/WebArchiveCopyPasteTempFiles/com.microsoft.Word/Swansea-Arena.jpg" \* MERGEFORMATINET </w:instrText>
      </w:r>
      <w:r w:rsidR="00B811A1">
        <w:fldChar w:fldCharType="separate"/>
      </w:r>
      <w:r w:rsidR="00B811A1">
        <w:rPr>
          <w:noProof/>
        </w:rPr>
        <w:drawing>
          <wp:inline distT="0" distB="0" distL="0" distR="0" wp14:anchorId="050381FD" wp14:editId="1B748CAD">
            <wp:extent cx="5731510" cy="3439160"/>
            <wp:effectExtent l="0" t="0" r="0" b="2540"/>
            <wp:docPr id="1569886321" name="Picture 2" descr="Swansea Arena Welcomes 750,000 Visitors in Thre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ansea Arena Welcomes 750,000 Visitors in Three Yea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r w:rsidR="00B811A1">
        <w:fldChar w:fldCharType="end"/>
      </w:r>
    </w:p>
    <w:p w14:paraId="44CF55E7" w14:textId="31AC8D99" w:rsidR="00D22D68" w:rsidRPr="00D22D68" w:rsidRDefault="00D22D68" w:rsidP="00D22D68">
      <w:pPr>
        <w:pStyle w:val="p1"/>
        <w:jc w:val="both"/>
        <w:rPr>
          <w:rFonts w:asciiTheme="majorHAnsi" w:hAnsiTheme="majorHAnsi" w:cstheme="majorHAnsi"/>
        </w:rPr>
      </w:pPr>
      <w:r w:rsidRPr="00D22D68">
        <w:rPr>
          <w:rStyle w:val="s1"/>
          <w:rFonts w:asciiTheme="majorHAnsi" w:hAnsiTheme="majorHAnsi" w:cstheme="majorHAnsi"/>
        </w:rPr>
        <w:t>Figure 5:</w:t>
      </w:r>
      <w:r w:rsidRPr="00D22D68">
        <w:rPr>
          <w:rFonts w:asciiTheme="majorHAnsi" w:hAnsiTheme="majorHAnsi" w:cstheme="majorHAnsi"/>
        </w:rPr>
        <w:t xml:space="preserve"> Exterior view of Swansea Arena, Swansea (Business News Wales, </w:t>
      </w:r>
      <w:r w:rsidR="00497258">
        <w:rPr>
          <w:rFonts w:asciiTheme="majorHAnsi" w:hAnsiTheme="majorHAnsi" w:cstheme="majorHAnsi"/>
        </w:rPr>
        <w:t>2025</w:t>
      </w:r>
      <w:r w:rsidRPr="00D22D68">
        <w:rPr>
          <w:rFonts w:asciiTheme="majorHAnsi" w:hAnsiTheme="majorHAnsi" w:cstheme="majorHAnsi"/>
        </w:rPr>
        <w:t>).</w:t>
      </w:r>
    </w:p>
    <w:p w14:paraId="71133E9B" w14:textId="77777777" w:rsidR="00D22D68" w:rsidRDefault="00D22D68" w:rsidP="002B3092">
      <w:pPr>
        <w:pStyle w:val="p1"/>
      </w:pPr>
    </w:p>
    <w:p w14:paraId="39D1D197" w14:textId="003F4F8D" w:rsidR="00304F95" w:rsidRPr="00752791" w:rsidRDefault="00304F95" w:rsidP="00ED13B5">
      <w:pPr>
        <w:pStyle w:val="p1"/>
        <w:rPr>
          <w:rFonts w:asciiTheme="majorHAnsi" w:hAnsiTheme="majorHAnsi" w:cstheme="majorHAnsi"/>
          <w:sz w:val="22"/>
          <w:szCs w:val="22"/>
        </w:rPr>
      </w:pPr>
      <w:r w:rsidRPr="00752791">
        <w:rPr>
          <w:rFonts w:asciiTheme="majorHAnsi" w:hAnsiTheme="majorHAnsi" w:cstheme="majorHAnsi"/>
          <w:sz w:val="22"/>
          <w:szCs w:val="22"/>
        </w:rPr>
        <w:t>Swansea Arena uses gold anodised aluminium panels to create a continuous reflective skin across the curved exterior (ACME Architects, 2022) (Williams, 2022). The textured surface changes appearance in different weather conditions, shifting from muted tones under cloud cover to high reflectivity in direct sunlight. Integrated LED lighting wraps the façade, producing programmed colour sequences that animate the building at night and extend its visibility across the waterfront (ACME Architects, 2022) (Williams, 2022). This combination of metal and light transforms the arena into a moving visual object within the city, prioritising recognition and spectacle over material depth or tactile experience at pedestrian level (ACME Architects, 2022) (Williams, 2022).</w:t>
      </w:r>
    </w:p>
    <w:p w14:paraId="102F8080" w14:textId="140DB46C" w:rsidR="0030328E" w:rsidRDefault="0030328E" w:rsidP="00ED13B5">
      <w:pPr>
        <w:pStyle w:val="p1"/>
        <w:rPr>
          <w:rFonts w:asciiTheme="majorHAnsi" w:hAnsiTheme="majorHAnsi" w:cstheme="majorHAnsi"/>
          <w:sz w:val="22"/>
          <w:szCs w:val="22"/>
        </w:rPr>
      </w:pPr>
      <w:r w:rsidRPr="00752791">
        <w:rPr>
          <w:rFonts w:asciiTheme="majorHAnsi" w:hAnsiTheme="majorHAnsi" w:cstheme="majorHAnsi"/>
          <w:sz w:val="22"/>
          <w:szCs w:val="22"/>
        </w:rPr>
        <w:lastRenderedPageBreak/>
        <w:t xml:space="preserve">The arena sits within an open waterfront plaza designed to accommodate large crowds approaching from the city centre and coastal promenade in Swansea (Swansea Council, 2023). The curved façade remains visible from long distances, directing pedestrian movement toward a single dominant entrance point (ACME Architects, 2022) (Williams, 2022). While the expansive hard landscaping supports event circulation, it offers limited everyday activity outside performance times due to the lack of active ground-floor uses such as cafés or transparent frontages (ACME Architects, 2022) (Williams, 2022). </w:t>
      </w:r>
    </w:p>
    <w:p w14:paraId="7A0E69D7" w14:textId="632AFA7F" w:rsidR="004F5716" w:rsidRPr="00752791" w:rsidRDefault="004F5716" w:rsidP="00ED13B5">
      <w:pPr>
        <w:pStyle w:val="p1"/>
        <w:rPr>
          <w:rFonts w:asciiTheme="majorHAnsi" w:hAnsiTheme="majorHAnsi" w:cstheme="majorHAnsi"/>
          <w:sz w:val="22"/>
          <w:szCs w:val="22"/>
        </w:rPr>
      </w:pPr>
      <w:r>
        <w:fldChar w:fldCharType="begin"/>
      </w:r>
      <w:r>
        <w:instrText xml:space="preserve"> INCLUDEPICTURE "/Users/vikrxn/Library/Group Containers/UBF8T346G9.ms/WebArchiveCopyPasteTempFiles/com.microsoft.Word/65ba464c1c8a4971d9b8cf6b_PhotoManJohan_3_LOW_Resized.png" \* MERGEFORMATINET </w:instrText>
      </w:r>
      <w:r>
        <w:fldChar w:fldCharType="separate"/>
      </w:r>
      <w:r>
        <w:rPr>
          <w:noProof/>
        </w:rPr>
        <w:drawing>
          <wp:inline distT="0" distB="0" distL="0" distR="0" wp14:anchorId="308BC544" wp14:editId="1A3AA390">
            <wp:extent cx="5731510" cy="2724785"/>
            <wp:effectExtent l="0" t="0" r="0" b="5715"/>
            <wp:docPr id="387610091" name="Picture 4" descr="Visitors | Swansea 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sitors | Swansea Aren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r>
        <w:fldChar w:fldCharType="end"/>
      </w:r>
    </w:p>
    <w:p w14:paraId="36067FAA" w14:textId="4BF1A2F1" w:rsidR="00F71355" w:rsidRDefault="00F71355" w:rsidP="00ED13B5">
      <w:pPr>
        <w:pStyle w:val="p1"/>
        <w:rPr>
          <w:rFonts w:asciiTheme="majorHAnsi" w:hAnsiTheme="majorHAnsi" w:cstheme="majorHAnsi"/>
          <w:sz w:val="22"/>
          <w:szCs w:val="22"/>
        </w:rPr>
      </w:pPr>
      <w:r w:rsidRPr="00752791">
        <w:rPr>
          <w:rFonts w:asciiTheme="majorHAnsi" w:hAnsiTheme="majorHAnsi" w:cstheme="majorHAnsi"/>
          <w:sz w:val="22"/>
          <w:szCs w:val="22"/>
        </w:rPr>
        <w:t>Circulation routes wrap the perimeter of the seating bowl, allowing efficient crowd movement between entrances, seating levels, and concessions (ACME Architects, 2022) (Williams, 2022). The interior prioritises controlled flow and focused spectacle, reinforcing the building’s role as event infrastructure rather than flexible civic space (ACME Architects, 2022) (Williams, 2022).</w:t>
      </w:r>
    </w:p>
    <w:p w14:paraId="327C2B7C" w14:textId="24920D45" w:rsidR="0024613B" w:rsidRPr="00752791" w:rsidRDefault="0024613B" w:rsidP="00ED13B5">
      <w:pPr>
        <w:pStyle w:val="p1"/>
        <w:rPr>
          <w:rFonts w:asciiTheme="majorHAnsi" w:hAnsiTheme="majorHAnsi" w:cstheme="majorHAnsi"/>
          <w:sz w:val="22"/>
          <w:szCs w:val="22"/>
        </w:rPr>
      </w:pPr>
      <w:r>
        <w:fldChar w:fldCharType="begin"/>
      </w:r>
      <w:r>
        <w:instrText xml:space="preserve"> INCLUDEPICTURE "/Users/vikrxn/Library/Group Containers/UBF8T346G9.ms/WebArchiveCopyPasteTempFiles/com.microsoft.Word/621f73e9748b65ac74074ec7_New_Concourses_1080x608.jpg" \* MERGEFORMATINET </w:instrText>
      </w:r>
      <w:r>
        <w:fldChar w:fldCharType="separate"/>
      </w:r>
      <w:r>
        <w:rPr>
          <w:noProof/>
        </w:rPr>
        <w:drawing>
          <wp:inline distT="0" distB="0" distL="0" distR="0" wp14:anchorId="2E8C74E9" wp14:editId="6B1520A3">
            <wp:extent cx="5731510" cy="3227705"/>
            <wp:effectExtent l="0" t="0" r="0" b="0"/>
            <wp:docPr id="1445472644" name="Picture 3" descr="The Venue | Swansea 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Venue | Swansea Aren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r>
        <w:fldChar w:fldCharType="end"/>
      </w:r>
    </w:p>
    <w:p w14:paraId="0D9D89EE" w14:textId="437959AC" w:rsidR="00346EB9" w:rsidRPr="00752791" w:rsidRDefault="002B3092" w:rsidP="00777198">
      <w:pPr>
        <w:pStyle w:val="p1"/>
        <w:rPr>
          <w:rFonts w:asciiTheme="majorHAnsi" w:hAnsiTheme="majorHAnsi" w:cstheme="majorHAnsi"/>
          <w:sz w:val="22"/>
          <w:szCs w:val="22"/>
        </w:rPr>
      </w:pPr>
      <w:r w:rsidRPr="00752791">
        <w:rPr>
          <w:rFonts w:asciiTheme="majorHAnsi" w:hAnsiTheme="majorHAnsi" w:cstheme="majorHAnsi"/>
          <w:sz w:val="22"/>
          <w:szCs w:val="22"/>
        </w:rPr>
        <w:lastRenderedPageBreak/>
        <w:t>The arena’s sculptural mass projects strong civic presence along the waterfront and dominates long-range views across Swansea Bay (Swansea Council, 2023). At street level, the scale shifts abruptly from open plaza to enclosed volume, producing an experience driven by visual impact rather than intimacy (Swansea Council, 2021) (Swansea Council, 2023). Limited transparency along the lower façade reduces visual connection between interior life and the public realm, particularly during non-event hours (ACME Architects, 2022) (Williams, 2022). The building reads as impressive and symbolic, yet offers restricted everyday engagement, positioning monumentality above human-scale interaction (Swansea Council, 2021).</w:t>
      </w:r>
    </w:p>
    <w:p w14:paraId="3A471D0F" w14:textId="77777777" w:rsidR="000443B3" w:rsidRDefault="000443B3" w:rsidP="00346EB9">
      <w:pPr>
        <w:spacing w:before="100" w:beforeAutospacing="1" w:after="100" w:afterAutospacing="1"/>
        <w:ind w:firstLine="0"/>
        <w:outlineLvl w:val="0"/>
        <w:rPr>
          <w:rFonts w:asciiTheme="majorHAnsi" w:eastAsia="Times New Roman" w:hAnsiTheme="majorHAnsi" w:cstheme="majorHAnsi"/>
          <w:color w:val="000000" w:themeColor="text1"/>
          <w:kern w:val="36"/>
          <w:lang w:eastAsia="en-GB"/>
          <w14:ligatures w14:val="none"/>
        </w:rPr>
      </w:pPr>
    </w:p>
    <w:p w14:paraId="20BBCC61" w14:textId="3FD06483" w:rsidR="00346EB9" w:rsidRPr="00752791" w:rsidRDefault="00346EB9" w:rsidP="000443B3">
      <w:pPr>
        <w:spacing w:before="100" w:beforeAutospacing="1" w:after="100" w:afterAutospacing="1"/>
        <w:ind w:firstLine="720"/>
        <w:outlineLvl w:val="0"/>
        <w:rPr>
          <w:rFonts w:asciiTheme="majorHAnsi" w:eastAsia="Times New Roman" w:hAnsiTheme="majorHAnsi" w:cstheme="majorHAnsi"/>
          <w:color w:val="EE0000"/>
          <w:kern w:val="36"/>
          <w:lang w:eastAsia="en-GB"/>
          <w14:ligatures w14:val="none"/>
        </w:rPr>
      </w:pPr>
      <w:r w:rsidRPr="000443B3">
        <w:rPr>
          <w:rFonts w:asciiTheme="majorHAnsi" w:eastAsia="Times New Roman" w:hAnsiTheme="majorHAnsi" w:cstheme="majorHAnsi"/>
          <w:color w:val="000000" w:themeColor="text1"/>
          <w:kern w:val="36"/>
          <w:lang w:eastAsia="en-GB"/>
          <w14:ligatures w14:val="none"/>
        </w:rPr>
        <w:t>P</w:t>
      </w:r>
      <w:r w:rsidR="000443B3">
        <w:rPr>
          <w:rFonts w:asciiTheme="majorHAnsi" w:eastAsia="Times New Roman" w:hAnsiTheme="majorHAnsi" w:cstheme="majorHAnsi"/>
          <w:color w:val="000000" w:themeColor="text1"/>
          <w:kern w:val="36"/>
          <w:lang w:eastAsia="en-GB"/>
          <w14:ligatures w14:val="none"/>
        </w:rPr>
        <w:t>lanning</w:t>
      </w:r>
      <w:r w:rsidRPr="000443B3">
        <w:rPr>
          <w:rFonts w:asciiTheme="majorHAnsi" w:eastAsia="Times New Roman" w:hAnsiTheme="majorHAnsi" w:cstheme="majorHAnsi"/>
          <w:color w:val="000000" w:themeColor="text1"/>
          <w:kern w:val="36"/>
          <w:lang w:eastAsia="en-GB"/>
          <w14:ligatures w14:val="none"/>
        </w:rPr>
        <w:t xml:space="preserve"> </w:t>
      </w:r>
      <w:r w:rsidR="000443B3">
        <w:rPr>
          <w:rFonts w:asciiTheme="majorHAnsi" w:eastAsia="Times New Roman" w:hAnsiTheme="majorHAnsi" w:cstheme="majorHAnsi"/>
          <w:color w:val="000000" w:themeColor="text1"/>
          <w:kern w:val="36"/>
          <w:lang w:eastAsia="en-GB"/>
          <w14:ligatures w14:val="none"/>
        </w:rPr>
        <w:t>and Public Response</w:t>
      </w:r>
    </w:p>
    <w:p w14:paraId="1AC7578D" w14:textId="29E50749" w:rsidR="00B2493B" w:rsidRPr="00752791" w:rsidRDefault="00B2493B" w:rsidP="00ED13B5">
      <w:pPr>
        <w:pStyle w:val="p1"/>
        <w:rPr>
          <w:rFonts w:asciiTheme="majorHAnsi" w:hAnsiTheme="majorHAnsi" w:cstheme="majorHAnsi"/>
          <w:sz w:val="22"/>
          <w:szCs w:val="22"/>
        </w:rPr>
      </w:pPr>
      <w:r w:rsidRPr="00752791">
        <w:rPr>
          <w:rFonts w:asciiTheme="majorHAnsi" w:hAnsiTheme="majorHAnsi" w:cstheme="majorHAnsi"/>
          <w:sz w:val="22"/>
          <w:szCs w:val="22"/>
        </w:rPr>
        <w:t>Planning documents framed Swansea Arena as a central driver of economic recovery within Swansea (Swansea Council, 2023). The council presented the arena as a catalyst for job creation, increased tourism, and private investment across the Copr Bay district, linking cultural infrastructure directly to long-term urban growth targets (Swansea Council, 2023). National government reinforced these aims through City Deal funding, describing the project as a major boost to the regional economy and a step toward repositioning Swansea as a cultural destination (UK Government, 2022). Economic forecasts emphasised visitor spending, hospitality growth, and improved city image, placing financial performance at the centre of planning justification rather than everyday civic use (Swansea Council, 2023).</w:t>
      </w:r>
    </w:p>
    <w:p w14:paraId="0A0A465D" w14:textId="3E6C8B69" w:rsidR="00BF36F3" w:rsidRPr="00752791" w:rsidRDefault="00BF36F3" w:rsidP="00BF36F3">
      <w:pPr>
        <w:pStyle w:val="p1"/>
        <w:rPr>
          <w:rFonts w:asciiTheme="majorHAnsi" w:hAnsiTheme="majorHAnsi" w:cstheme="majorHAnsi"/>
          <w:sz w:val="22"/>
          <w:szCs w:val="22"/>
        </w:rPr>
      </w:pPr>
      <w:r w:rsidRPr="00752791">
        <w:rPr>
          <w:rFonts w:asciiTheme="majorHAnsi" w:hAnsiTheme="majorHAnsi" w:cstheme="majorHAnsi"/>
          <w:sz w:val="22"/>
          <w:szCs w:val="22"/>
        </w:rPr>
        <w:t>Public consultation raised concerns over increased traffic congestion, pressure on surrounding infrastructure, and disruption during major events (Swansea Council, 2021). Residents questioned the scale of the building within a low-rise waterfront environment and warned that noise spill from late-night performances would affect nearby housing areas (Swansea Council, 2021) (Swansea Council, 2023). Financial cost also attracted criticism, with opponents arguing that public funds should prioritise housing, transport, and community services over large entertainment venues (Swansea Council, 2021). These objections highlighted tension between regeneration ambition and local quality of life, revealing how economic promises often overshadow environmental and social impacts within large urban developments (Swansea Council, 2021) (Swansea Council, 2023).</w:t>
      </w:r>
    </w:p>
    <w:p w14:paraId="0D5E11A8" w14:textId="60B263C1" w:rsidR="00873646" w:rsidRPr="00752791" w:rsidRDefault="00BF36F3" w:rsidP="00ED13B5">
      <w:pPr>
        <w:pStyle w:val="p1"/>
        <w:rPr>
          <w:rFonts w:asciiTheme="majorHAnsi" w:hAnsiTheme="majorHAnsi" w:cstheme="majorHAnsi"/>
          <w:sz w:val="22"/>
          <w:szCs w:val="22"/>
        </w:rPr>
      </w:pPr>
      <w:r w:rsidRPr="00752791">
        <w:rPr>
          <w:rFonts w:asciiTheme="majorHAnsi" w:hAnsiTheme="majorHAnsi" w:cstheme="majorHAnsi"/>
          <w:sz w:val="22"/>
          <w:szCs w:val="22"/>
        </w:rPr>
        <w:t>Decision-making power remained concentrated within local government and development partners, with economic growth targets shaping the outcome more strongly than community feedback (Swansea Council, 2023).</w:t>
      </w:r>
      <w:r w:rsidR="00032991">
        <w:rPr>
          <w:rFonts w:asciiTheme="majorHAnsi" w:hAnsiTheme="majorHAnsi" w:cstheme="majorHAnsi"/>
          <w:sz w:val="22"/>
          <w:szCs w:val="22"/>
        </w:rPr>
        <w:t xml:space="preserve"> </w:t>
      </w:r>
      <w:r w:rsidRPr="00752791">
        <w:rPr>
          <w:rFonts w:asciiTheme="majorHAnsi" w:hAnsiTheme="majorHAnsi" w:cstheme="majorHAnsi"/>
          <w:sz w:val="22"/>
          <w:szCs w:val="22"/>
        </w:rPr>
        <w:t>Community concerns over disruption and long-term value held limited influence against projected financial benefits and political pressure to deliver visible regeneration projects (Swansea Council, 2021) (Swansea Council, 2023). The arena therefore reflects a top-down model of urban redevelopment, where civic leadership and economic performance metrics outweighed everyday public experience in shaping the built environment (Swansea Council, 2023).</w:t>
      </w:r>
    </w:p>
    <w:p w14:paraId="561B645D" w14:textId="77777777" w:rsidR="000443B3" w:rsidRDefault="000443B3" w:rsidP="000443B3">
      <w:pPr>
        <w:spacing w:before="100" w:beforeAutospacing="1" w:after="100" w:afterAutospacing="1"/>
        <w:ind w:firstLine="720"/>
        <w:rPr>
          <w:rFonts w:asciiTheme="majorHAnsi" w:eastAsia="Times New Roman" w:hAnsiTheme="majorHAnsi" w:cstheme="majorHAnsi"/>
          <w:color w:val="000000" w:themeColor="text1"/>
          <w:kern w:val="36"/>
          <w:lang w:eastAsia="en-GB"/>
          <w14:ligatures w14:val="none"/>
        </w:rPr>
      </w:pPr>
    </w:p>
    <w:p w14:paraId="61DF4B89" w14:textId="57820470" w:rsidR="00346EB9" w:rsidRPr="00752791" w:rsidRDefault="000443B3" w:rsidP="000443B3">
      <w:pPr>
        <w:spacing w:before="100" w:beforeAutospacing="1" w:after="100" w:afterAutospacing="1"/>
        <w:ind w:firstLine="720"/>
        <w:rPr>
          <w:rFonts w:asciiTheme="majorHAnsi" w:eastAsia="Times New Roman" w:hAnsiTheme="majorHAnsi" w:cstheme="majorHAnsi"/>
          <w:color w:val="EE0000"/>
          <w:kern w:val="0"/>
          <w:lang w:eastAsia="en-GB"/>
          <w14:ligatures w14:val="none"/>
        </w:rPr>
      </w:pPr>
      <w:r>
        <w:rPr>
          <w:rFonts w:asciiTheme="majorHAnsi" w:eastAsia="Times New Roman" w:hAnsiTheme="majorHAnsi" w:cstheme="majorHAnsi"/>
          <w:color w:val="000000" w:themeColor="text1"/>
          <w:kern w:val="36"/>
          <w:lang w:eastAsia="en-GB"/>
          <w14:ligatures w14:val="none"/>
        </w:rPr>
        <w:t>Critical Response</w:t>
      </w:r>
    </w:p>
    <w:p w14:paraId="00E500F5" w14:textId="7B9E49BA" w:rsidR="00ED13B5" w:rsidRPr="00752791" w:rsidRDefault="00ED13B5" w:rsidP="00ED13B5">
      <w:pPr>
        <w:pStyle w:val="p1"/>
        <w:rPr>
          <w:rFonts w:asciiTheme="majorHAnsi" w:hAnsiTheme="majorHAnsi" w:cstheme="majorHAnsi"/>
          <w:sz w:val="22"/>
          <w:szCs w:val="22"/>
        </w:rPr>
      </w:pPr>
      <w:r w:rsidRPr="00752791">
        <w:rPr>
          <w:rFonts w:asciiTheme="majorHAnsi" w:hAnsiTheme="majorHAnsi" w:cstheme="majorHAnsi"/>
          <w:sz w:val="22"/>
          <w:szCs w:val="22"/>
        </w:rPr>
        <w:t xml:space="preserve">Architectural critics largely framed Swansea Arena as a confident contemporary landmark that strengthens the cultural profile of Swansea (Swansea Council, 2023). Coverage in Architects’ Journal praised the building’s sculptural clarity, integrated lighting strategy, and strong urban presence, describing the arena as a bold civic intervention that gives the waterfront a new visual focus (ACME Architects, 2022) (Williams, 2022). The project also received peer recognition through shortlisting for the Welsh Architecture Awards by Royal Society of Architects in Wales, signalling professional </w:t>
      </w:r>
      <w:r w:rsidRPr="00752791">
        <w:rPr>
          <w:rFonts w:asciiTheme="majorHAnsi" w:hAnsiTheme="majorHAnsi" w:cstheme="majorHAnsi"/>
          <w:sz w:val="22"/>
          <w:szCs w:val="22"/>
        </w:rPr>
        <w:lastRenderedPageBreak/>
        <w:t>approval of both design quality and urban ambition (RSAW, 2023). Critics highlighted the façade’s material innovation and the arena’s ability to operate as a recognisable city symbol, positioning the building as a successful example of contemporary public architecture used to anchor regeneration (ACME Architects, 2022) (Williams, 2022).</w:t>
      </w:r>
    </w:p>
    <w:p w14:paraId="2BF4F362" w14:textId="78A36F32" w:rsidR="00D13C3F" w:rsidRPr="00752791" w:rsidRDefault="00D13C3F" w:rsidP="004E038E">
      <w:pPr>
        <w:pStyle w:val="p1"/>
        <w:rPr>
          <w:rFonts w:asciiTheme="majorHAnsi" w:hAnsiTheme="majorHAnsi" w:cstheme="majorHAnsi"/>
          <w:sz w:val="22"/>
          <w:szCs w:val="22"/>
        </w:rPr>
      </w:pPr>
      <w:r w:rsidRPr="00752791">
        <w:rPr>
          <w:rFonts w:asciiTheme="majorHAnsi" w:hAnsiTheme="majorHAnsi" w:cstheme="majorHAnsi"/>
          <w:sz w:val="22"/>
          <w:szCs w:val="22"/>
        </w:rPr>
        <w:t>Alongside professional praise, critical concerns focused on isolation, public cost, and long-term regeneration impact (Swansea Council, 2021) (Swansea Council, 2023). Some commentators questioned whether the arena’s object-like form limits everyday urban life by concentrating activity only around major events, leaving surrounding public space underused for much of the week (Swansea Council, 2023). Wider public debate reflected anxieties over large-scale public spending on entertainment infrastructure rather than housing, transport, or community services, with scepticism about whether projected economic benefits would reach residents (Swansea Council, 2021). While architectural peers celebrated innovation and identity, community responses centred on affordability, disruption, and social return (Swansea Council, 2021). This contrast reveals a common divide in regeneration projects, where professional acclaim prioritises form and symbolism while public judgement focuses on lived experience and resource distribution (Swansea Council, 2023).</w:t>
      </w:r>
    </w:p>
    <w:p w14:paraId="66A1EADA" w14:textId="77777777" w:rsidR="00064B77" w:rsidRDefault="00064B77" w:rsidP="007F22CF">
      <w:pPr>
        <w:spacing w:before="100" w:beforeAutospacing="1" w:after="100" w:afterAutospacing="1"/>
        <w:ind w:firstLine="0"/>
        <w:rPr>
          <w:rFonts w:asciiTheme="majorHAnsi" w:eastAsia="Times New Roman" w:hAnsiTheme="majorHAnsi" w:cstheme="majorHAnsi"/>
          <w:color w:val="EE0000"/>
          <w:kern w:val="0"/>
          <w:lang w:eastAsia="en-GB"/>
          <w14:ligatures w14:val="none"/>
        </w:rPr>
      </w:pPr>
    </w:p>
    <w:p w14:paraId="27A4490E" w14:textId="0B33311D" w:rsidR="00777198" w:rsidRPr="00752791" w:rsidRDefault="000443B3" w:rsidP="00064B77">
      <w:pPr>
        <w:spacing w:before="100" w:beforeAutospacing="1" w:after="100" w:afterAutospacing="1"/>
        <w:ind w:firstLine="720"/>
        <w:rPr>
          <w:rFonts w:asciiTheme="majorHAnsi" w:eastAsia="Times New Roman" w:hAnsiTheme="majorHAnsi" w:cstheme="majorHAnsi"/>
          <w:color w:val="EE0000"/>
          <w:kern w:val="0"/>
          <w:lang w:eastAsia="en-GB"/>
          <w14:ligatures w14:val="none"/>
        </w:rPr>
      </w:pPr>
      <w:r>
        <w:rPr>
          <w:rFonts w:asciiTheme="majorHAnsi" w:eastAsia="Times New Roman" w:hAnsiTheme="majorHAnsi" w:cstheme="majorHAnsi"/>
          <w:color w:val="000000" w:themeColor="text1"/>
          <w:kern w:val="36"/>
          <w:lang w:eastAsia="en-GB"/>
          <w14:ligatures w14:val="none"/>
        </w:rPr>
        <w:t>Evalu</w:t>
      </w:r>
      <w:r w:rsidR="00064B77">
        <w:rPr>
          <w:rFonts w:asciiTheme="majorHAnsi" w:eastAsia="Times New Roman" w:hAnsiTheme="majorHAnsi" w:cstheme="majorHAnsi"/>
          <w:color w:val="000000" w:themeColor="text1"/>
          <w:kern w:val="36"/>
          <w:lang w:eastAsia="en-GB"/>
          <w14:ligatures w14:val="none"/>
        </w:rPr>
        <w:t>ation</w:t>
      </w:r>
    </w:p>
    <w:p w14:paraId="2F344955" w14:textId="165074FA" w:rsidR="007F22CF" w:rsidRPr="00752791" w:rsidRDefault="00E164B4" w:rsidP="007F22CF">
      <w:pPr>
        <w:spacing w:before="100" w:beforeAutospacing="1" w:after="100" w:afterAutospacing="1"/>
        <w:ind w:firstLine="0"/>
        <w:rPr>
          <w:rFonts w:asciiTheme="majorHAnsi" w:eastAsia="Times New Roman" w:hAnsiTheme="majorHAnsi" w:cstheme="majorHAnsi"/>
          <w:color w:val="EE0000"/>
          <w:kern w:val="0"/>
          <w:lang w:eastAsia="en-GB"/>
          <w14:ligatures w14:val="none"/>
        </w:rPr>
      </w:pPr>
      <w:r w:rsidRPr="00752791">
        <w:rPr>
          <w:rFonts w:asciiTheme="majorHAnsi" w:hAnsiTheme="majorHAnsi" w:cstheme="majorHAnsi"/>
        </w:rPr>
        <w:t>Swansea Arena demonstrates strong architectural control through clear form, coherent material strategy, and efficient spatial organisation (ACME Architects, 2022) (Williams, 2022). The uninterrupted interior volume delivers strong sightlines and acoustic performance, supporting a wide range of large-scale events while maintaining focused audience experience (Swansea Council, 2021) (ACME Architects, 2022) (Williams, 2022). Circulation routes function clearly and prevent congestion during peak use, showing careful planning for crowd movement (ACME Architects, 2022) (Williams, 2022). Externally, the sculptural mass and illuminated façade establish a distinct civic identity for the waterfront in Swansea, achieving the ambition of a recognisable contemporary landmark (ACME Architects, 2022) (Williams, 2022). The project succeeds as event architecture through spatial clarity, technical performance, and visual impact, meeting its design brief with precision.</w:t>
      </w:r>
    </w:p>
    <w:p w14:paraId="0221C87E" w14:textId="4E9FFBD6" w:rsidR="006A64AD" w:rsidRPr="00752791" w:rsidRDefault="006A0B29" w:rsidP="00777198">
      <w:pPr>
        <w:pStyle w:val="p1"/>
        <w:rPr>
          <w:rFonts w:asciiTheme="majorHAnsi" w:hAnsiTheme="majorHAnsi" w:cstheme="majorHAnsi"/>
          <w:sz w:val="22"/>
          <w:szCs w:val="22"/>
        </w:rPr>
      </w:pPr>
      <w:r w:rsidRPr="00752791">
        <w:rPr>
          <w:rFonts w:asciiTheme="majorHAnsi" w:hAnsiTheme="majorHAnsi" w:cstheme="majorHAnsi"/>
          <w:sz w:val="22"/>
          <w:szCs w:val="22"/>
        </w:rPr>
        <w:t>Despite architectural quality, the arena reflects wider limits of culture-led regeneration strategies (ACME Architects, 2022) (Williams, 2022). Studies show flagship cultural buildings often generate visibility and short-term economic activity while failing to deliver sustained social benefit for surrounding communities (Evans, 2005) (Comunian and Mould, 2014). In Swansea, the arena’s event-focused use restricts everyday public engagement and weakens integration with surrounding urban life, concentrating activity into specific times rather than supporting continuous civic occupation (Swansea Council, 2023).</w:t>
      </w:r>
      <w:r w:rsidR="00C257F6">
        <w:rPr>
          <w:rFonts w:asciiTheme="majorHAnsi" w:hAnsiTheme="majorHAnsi" w:cstheme="majorHAnsi"/>
          <w:sz w:val="22"/>
          <w:szCs w:val="22"/>
        </w:rPr>
        <w:t xml:space="preserve"> </w:t>
      </w:r>
      <w:r w:rsidRPr="00752791">
        <w:rPr>
          <w:rFonts w:asciiTheme="majorHAnsi" w:hAnsiTheme="majorHAnsi" w:cstheme="majorHAnsi"/>
          <w:sz w:val="22"/>
          <w:szCs w:val="22"/>
        </w:rPr>
        <w:t>The arena therefore risks reinforcing a regeneration model where architectural spectacle signals renewal without resolving deeper social and spatial challenges (Evans, 2005) (Comunian and Mould, 2014).</w:t>
      </w:r>
    </w:p>
    <w:p w14:paraId="006FFB38" w14:textId="77777777" w:rsidR="00777198" w:rsidRPr="00752791" w:rsidRDefault="00777198" w:rsidP="00777198">
      <w:pPr>
        <w:pStyle w:val="p1"/>
        <w:rPr>
          <w:rFonts w:asciiTheme="majorHAnsi" w:hAnsiTheme="majorHAnsi" w:cstheme="majorHAnsi"/>
          <w:color w:val="000000" w:themeColor="text1"/>
          <w:sz w:val="22"/>
          <w:szCs w:val="22"/>
        </w:rPr>
      </w:pPr>
    </w:p>
    <w:p w14:paraId="4302C9AD" w14:textId="45EFCE39" w:rsidR="00346EB9" w:rsidRPr="00752791" w:rsidRDefault="00A742B6" w:rsidP="00064B77">
      <w:pPr>
        <w:spacing w:before="100" w:beforeAutospacing="1" w:after="100" w:afterAutospacing="1"/>
        <w:ind w:firstLine="720"/>
        <w:rPr>
          <w:rFonts w:asciiTheme="majorHAnsi" w:eastAsia="Times New Roman" w:hAnsiTheme="majorHAnsi" w:cstheme="majorHAnsi"/>
          <w:color w:val="EE0000"/>
          <w:kern w:val="0"/>
          <w:lang w:eastAsia="en-GB"/>
          <w14:ligatures w14:val="none"/>
        </w:rPr>
      </w:pPr>
      <w:r>
        <w:rPr>
          <w:rFonts w:asciiTheme="majorHAnsi" w:eastAsia="Times New Roman" w:hAnsiTheme="majorHAnsi" w:cstheme="majorHAnsi"/>
          <w:color w:val="000000" w:themeColor="text1"/>
          <w:kern w:val="36"/>
          <w:lang w:eastAsia="en-GB"/>
          <w14:ligatures w14:val="none"/>
        </w:rPr>
        <w:t>Conclusion</w:t>
      </w:r>
      <w:r w:rsidRPr="00752791">
        <w:rPr>
          <w:rFonts w:asciiTheme="majorHAnsi" w:eastAsia="Times New Roman" w:hAnsiTheme="majorHAnsi" w:cstheme="majorHAnsi"/>
          <w:color w:val="EE0000"/>
          <w:kern w:val="36"/>
          <w:lang w:eastAsia="en-GB"/>
          <w14:ligatures w14:val="none"/>
        </w:rPr>
        <w:t xml:space="preserve"> </w:t>
      </w:r>
    </w:p>
    <w:p w14:paraId="365D74A5" w14:textId="6E0261D4" w:rsidR="00F204AA" w:rsidRPr="00752791" w:rsidRDefault="00F204AA" w:rsidP="00F204AA">
      <w:pPr>
        <w:spacing w:before="100" w:beforeAutospacing="1" w:after="100" w:afterAutospacing="1"/>
        <w:ind w:firstLine="0"/>
        <w:rPr>
          <w:rFonts w:asciiTheme="majorHAnsi" w:eastAsia="Times New Roman" w:hAnsiTheme="majorHAnsi" w:cstheme="majorHAnsi"/>
          <w:color w:val="EE0000"/>
          <w:kern w:val="0"/>
          <w:lang w:eastAsia="en-GB"/>
          <w14:ligatures w14:val="none"/>
        </w:rPr>
      </w:pPr>
      <w:r w:rsidRPr="00752791">
        <w:rPr>
          <w:rFonts w:asciiTheme="majorHAnsi" w:hAnsiTheme="majorHAnsi" w:cstheme="majorHAnsi"/>
        </w:rPr>
        <w:t xml:space="preserve">Swansea Arena demonstrates how contemporary civic architecture operates at the intersection of design ambition and economic strategy (Swansea Council, 2023). The project achieves formal clarity, technical competence, and strong visual identity, establishing a recognisable landmark within Swansea (Swansea Council, 2023). Yet its broader value depends less on architectural expression and more on long-term social integration and urban continuity. Evidence from regeneration research shows flagship </w:t>
      </w:r>
      <w:r w:rsidRPr="00752791">
        <w:rPr>
          <w:rFonts w:asciiTheme="majorHAnsi" w:hAnsiTheme="majorHAnsi" w:cstheme="majorHAnsi"/>
        </w:rPr>
        <w:lastRenderedPageBreak/>
        <w:t>cultural projects often struggle to translate symbolic presence into sustained community benefit (Evans, 2005) (Comunian and Mould, 2014). Swansea Arena therefore stands as both a successful object of design and a case study in the limits of culture-led redevelopment (ACME Architects, 2022) (Williams, 2022).</w:t>
      </w:r>
    </w:p>
    <w:p w14:paraId="7E381461" w14:textId="1098DF18" w:rsidR="00F53A8D" w:rsidRPr="00752791" w:rsidRDefault="003048FE" w:rsidP="003048FE">
      <w:pPr>
        <w:spacing w:before="100" w:beforeAutospacing="1" w:after="100" w:afterAutospacing="1"/>
        <w:ind w:firstLine="0"/>
        <w:rPr>
          <w:rFonts w:asciiTheme="majorHAnsi" w:hAnsiTheme="majorHAnsi" w:cstheme="majorHAnsi"/>
        </w:rPr>
      </w:pPr>
      <w:r w:rsidRPr="00752791">
        <w:rPr>
          <w:rFonts w:asciiTheme="majorHAnsi" w:hAnsiTheme="majorHAnsi" w:cstheme="majorHAnsi"/>
        </w:rPr>
        <w:t>Swansea Arena illustrates a wider shift in contemporary architecture where civic buildings function as economic instruments as much as public spaces (Swansea Council, 2023). Cities increasingly commission iconic cultural venues to signal renewal, attract visitors, and reposition urban identity within competitive regional markets. This model places pressure on architects to produce recognisable forms that support branding objectives while still delivering social and spatial value. The future of civic buildings depends on resolving this tension. Architects must design structures that sustain everyday public life, integrate with surrounding urban fabric, and respond to measurable community needs rather than relying solely on landmark visibility. Swansea Arena shows that design excellence alone does not secure civic success (Swansea Council, 2023). Long-term urban relevance requires deeper alignment between architectural form, public use, and inclusive policy outcomes.</w:t>
      </w:r>
    </w:p>
    <w:p w14:paraId="436752D6" w14:textId="77777777" w:rsidR="00AA2C92" w:rsidRPr="00752791" w:rsidRDefault="00AA2C92" w:rsidP="003048FE">
      <w:pPr>
        <w:spacing w:before="100" w:beforeAutospacing="1" w:after="100" w:afterAutospacing="1"/>
        <w:ind w:firstLine="0"/>
        <w:rPr>
          <w:rFonts w:asciiTheme="majorHAnsi" w:hAnsiTheme="majorHAnsi" w:cstheme="majorHAnsi"/>
        </w:rPr>
      </w:pPr>
    </w:p>
    <w:p w14:paraId="07C35E03" w14:textId="77777777" w:rsidR="00AA2C92" w:rsidRPr="00752791" w:rsidRDefault="00AA2C92" w:rsidP="003048FE">
      <w:pPr>
        <w:spacing w:before="100" w:beforeAutospacing="1" w:after="100" w:afterAutospacing="1"/>
        <w:ind w:firstLine="0"/>
        <w:rPr>
          <w:rFonts w:asciiTheme="majorHAnsi" w:hAnsiTheme="majorHAnsi" w:cstheme="majorHAnsi"/>
        </w:rPr>
      </w:pPr>
    </w:p>
    <w:p w14:paraId="57867D4C" w14:textId="77777777" w:rsidR="00AA2C92" w:rsidRPr="00752791" w:rsidRDefault="00AA2C92" w:rsidP="003048FE">
      <w:pPr>
        <w:spacing w:before="100" w:beforeAutospacing="1" w:after="100" w:afterAutospacing="1"/>
        <w:ind w:firstLine="0"/>
        <w:rPr>
          <w:rFonts w:asciiTheme="majorHAnsi" w:hAnsiTheme="majorHAnsi" w:cstheme="majorHAnsi"/>
        </w:rPr>
      </w:pPr>
    </w:p>
    <w:p w14:paraId="541A4195" w14:textId="77777777" w:rsidR="00AA2C92" w:rsidRPr="00752791" w:rsidRDefault="00AA2C92" w:rsidP="003048FE">
      <w:pPr>
        <w:spacing w:before="100" w:beforeAutospacing="1" w:after="100" w:afterAutospacing="1"/>
        <w:ind w:firstLine="0"/>
        <w:rPr>
          <w:rFonts w:asciiTheme="majorHAnsi" w:hAnsiTheme="majorHAnsi" w:cstheme="majorHAnsi"/>
        </w:rPr>
      </w:pPr>
    </w:p>
    <w:p w14:paraId="1C26FC67" w14:textId="77777777" w:rsidR="00AA2C92" w:rsidRPr="00752791" w:rsidRDefault="00AA2C92" w:rsidP="003048FE">
      <w:pPr>
        <w:spacing w:before="100" w:beforeAutospacing="1" w:after="100" w:afterAutospacing="1"/>
        <w:ind w:firstLine="0"/>
        <w:rPr>
          <w:rFonts w:asciiTheme="majorHAnsi" w:hAnsiTheme="majorHAnsi" w:cstheme="majorHAnsi"/>
        </w:rPr>
      </w:pPr>
    </w:p>
    <w:p w14:paraId="09ADC6C3" w14:textId="77777777" w:rsidR="00AA2C92" w:rsidRPr="00752791" w:rsidRDefault="00AA2C92" w:rsidP="003048FE">
      <w:pPr>
        <w:spacing w:before="100" w:beforeAutospacing="1" w:after="100" w:afterAutospacing="1"/>
        <w:ind w:firstLine="0"/>
        <w:rPr>
          <w:rFonts w:asciiTheme="majorHAnsi" w:hAnsiTheme="majorHAnsi" w:cstheme="majorHAnsi"/>
        </w:rPr>
      </w:pPr>
    </w:p>
    <w:p w14:paraId="439321D3" w14:textId="7EB9079F" w:rsidR="002C4C12" w:rsidRPr="00752791" w:rsidRDefault="00176DB6" w:rsidP="004A1840">
      <w:pPr>
        <w:ind w:firstLine="0"/>
        <w:rPr>
          <w:rFonts w:asciiTheme="majorHAnsi" w:hAnsiTheme="majorHAnsi" w:cstheme="majorHAnsi"/>
        </w:rPr>
      </w:pPr>
      <w:r w:rsidRPr="00752791">
        <w:rPr>
          <w:rFonts w:asciiTheme="majorHAnsi" w:eastAsia="Times New Roman" w:hAnsiTheme="majorHAnsi" w:cstheme="majorHAnsi"/>
          <w:kern w:val="0"/>
          <w:lang w:eastAsia="en-GB"/>
          <w14:ligatures w14:val="none"/>
        </w:rPr>
        <w:t xml:space="preserve"> </w:t>
      </w:r>
    </w:p>
    <w:p w14:paraId="51FFF72B" w14:textId="77777777" w:rsidR="00F64BA4" w:rsidRPr="00752791" w:rsidRDefault="00F64BA4" w:rsidP="00895BF8">
      <w:pPr>
        <w:spacing w:before="100" w:beforeAutospacing="1" w:after="100" w:afterAutospacing="1"/>
        <w:ind w:firstLine="720"/>
        <w:rPr>
          <w:rFonts w:asciiTheme="majorHAnsi" w:eastAsia="Times New Roman" w:hAnsiTheme="majorHAnsi" w:cstheme="majorHAnsi"/>
          <w:kern w:val="0"/>
          <w:lang w:eastAsia="en-GB"/>
          <w14:ligatures w14:val="none"/>
        </w:rPr>
      </w:pPr>
    </w:p>
    <w:p w14:paraId="06B10955" w14:textId="19ABB39B" w:rsidR="00F61931" w:rsidRPr="00752791" w:rsidRDefault="00F61931" w:rsidP="00A240DB">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ACME Architects (2022) </w:t>
      </w:r>
      <w:r w:rsidRPr="00752791">
        <w:rPr>
          <w:rFonts w:asciiTheme="majorHAnsi" w:eastAsia="Times New Roman" w:hAnsiTheme="majorHAnsi" w:cstheme="majorHAnsi"/>
          <w:i/>
          <w:iCs/>
          <w:color w:val="000000"/>
          <w:kern w:val="0"/>
          <w:lang w:eastAsia="en-GB"/>
          <w14:ligatures w14:val="none"/>
        </w:rPr>
        <w:t>Swansea Arena</w:t>
      </w:r>
      <w:r w:rsidRPr="00752791">
        <w:rPr>
          <w:rFonts w:asciiTheme="majorHAnsi" w:eastAsia="Times New Roman" w:hAnsiTheme="majorHAnsi" w:cstheme="majorHAnsi"/>
          <w:color w:val="000000"/>
          <w:kern w:val="0"/>
          <w:lang w:eastAsia="en-GB"/>
          <w14:ligatures w14:val="none"/>
        </w:rPr>
        <w:t xml:space="preserve">. Available at: </w:t>
      </w:r>
      <w:hyperlink r:id="rId13" w:history="1">
        <w:r w:rsidR="00587B52" w:rsidRPr="00040CF4">
          <w:rPr>
            <w:rStyle w:val="Hyperlink"/>
            <w:rFonts w:asciiTheme="majorHAnsi" w:eastAsia="Times New Roman" w:hAnsiTheme="majorHAnsi" w:cstheme="majorHAnsi"/>
            <w:kern w:val="0"/>
            <w:lang w:eastAsia="en-GB"/>
            <w14:ligatures w14:val="none"/>
          </w:rPr>
          <w:t>https://www.acme.world/projects/swansea-arena</w:t>
        </w:r>
      </w:hyperlink>
      <w:r w:rsidR="00587B52">
        <w:rPr>
          <w:rFonts w:asciiTheme="majorHAnsi" w:eastAsia="Times New Roman" w:hAnsiTheme="majorHAnsi" w:cstheme="majorHAnsi"/>
          <w:color w:val="000000"/>
          <w:kern w:val="0"/>
          <w:lang w:eastAsia="en-GB"/>
          <w14:ligatures w14:val="none"/>
        </w:rPr>
        <w:t xml:space="preserve"> </w:t>
      </w:r>
      <w:r w:rsidRPr="00752791">
        <w:rPr>
          <w:rFonts w:asciiTheme="majorHAnsi" w:eastAsia="Times New Roman" w:hAnsiTheme="majorHAnsi" w:cstheme="majorHAnsi"/>
          <w:color w:val="000000"/>
          <w:kern w:val="0"/>
          <w:lang w:eastAsia="en-GB"/>
          <w14:ligatures w14:val="none"/>
        </w:rPr>
        <w:t xml:space="preserve">(Accessed: </w:t>
      </w:r>
      <w:r w:rsidR="00676C59">
        <w:rPr>
          <w:rFonts w:asciiTheme="majorHAnsi" w:eastAsia="Times New Roman" w:hAnsiTheme="majorHAnsi" w:cstheme="majorHAnsi"/>
          <w:color w:val="000000"/>
          <w:kern w:val="0"/>
          <w:lang w:eastAsia="en-GB"/>
          <w14:ligatures w14:val="none"/>
        </w:rPr>
        <w:t>18/02/2026</w:t>
      </w:r>
      <w:r w:rsidRPr="00752791">
        <w:rPr>
          <w:rFonts w:asciiTheme="majorHAnsi" w:eastAsia="Times New Roman" w:hAnsiTheme="majorHAnsi" w:cstheme="majorHAnsi"/>
          <w:color w:val="000000"/>
          <w:kern w:val="0"/>
          <w:lang w:eastAsia="en-GB"/>
          <w14:ligatures w14:val="none"/>
        </w:rPr>
        <w:t>).</w:t>
      </w:r>
    </w:p>
    <w:p w14:paraId="50BFC337" w14:textId="00092625" w:rsidR="00F61931" w:rsidRDefault="00F61931" w:rsidP="00A240DB">
      <w:pPr>
        <w:spacing w:before="100" w:beforeAutospacing="1" w:after="100" w:afterAutospacing="1" w:line="300" w:lineRule="atLeast"/>
        <w:ind w:firstLine="0"/>
        <w:jc w:val="both"/>
        <w:rPr>
          <w:rFonts w:asciiTheme="majorHAnsi" w:hAnsiTheme="majorHAnsi" w:cstheme="majorHAnsi"/>
        </w:rPr>
      </w:pPr>
      <w:r w:rsidRPr="00752791">
        <w:rPr>
          <w:rFonts w:asciiTheme="majorHAnsi" w:hAnsiTheme="majorHAnsi" w:cstheme="majorHAnsi"/>
        </w:rPr>
        <w:t>Architects’ Journal (2022) </w:t>
      </w:r>
      <w:r w:rsidRPr="00343FBD">
        <w:rPr>
          <w:rFonts w:asciiTheme="majorHAnsi" w:hAnsiTheme="majorHAnsi" w:cstheme="majorHAnsi"/>
          <w:i/>
          <w:iCs/>
        </w:rPr>
        <w:t>ACME completes gold-coloured arena in Swansea</w:t>
      </w:r>
      <w:r w:rsidR="00343FBD">
        <w:rPr>
          <w:rFonts w:asciiTheme="majorHAnsi" w:hAnsiTheme="majorHAnsi" w:cstheme="majorHAnsi"/>
        </w:rPr>
        <w:t>.</w:t>
      </w:r>
      <w:r w:rsidRPr="00752791">
        <w:rPr>
          <w:rFonts w:asciiTheme="majorHAnsi" w:hAnsiTheme="majorHAnsi" w:cstheme="majorHAnsi"/>
        </w:rPr>
        <w:t xml:space="preserve"> Available at: https://www.architectsjournal.co.uk/buildings/acme-completes-gold-coloured-arena-in-swansea (Accessed: </w:t>
      </w:r>
      <w:r w:rsidR="00970811">
        <w:rPr>
          <w:rFonts w:asciiTheme="majorHAnsi" w:hAnsiTheme="majorHAnsi" w:cstheme="majorHAnsi"/>
        </w:rPr>
        <w:t>18/02/2026</w:t>
      </w:r>
      <w:r w:rsidRPr="00752791">
        <w:rPr>
          <w:rFonts w:asciiTheme="majorHAnsi" w:hAnsiTheme="majorHAnsi" w:cstheme="majorHAnsi"/>
        </w:rPr>
        <w:t>).</w:t>
      </w:r>
    </w:p>
    <w:p w14:paraId="35EB1179" w14:textId="3B620670" w:rsidR="00E838EA" w:rsidRPr="00E838EA" w:rsidRDefault="00E838EA" w:rsidP="00E838EA">
      <w:pPr>
        <w:pStyle w:val="p1"/>
        <w:jc w:val="both"/>
        <w:rPr>
          <w:rFonts w:asciiTheme="majorHAnsi" w:hAnsiTheme="majorHAnsi" w:cstheme="majorHAnsi"/>
          <w:sz w:val="22"/>
          <w:szCs w:val="22"/>
        </w:rPr>
      </w:pPr>
      <w:r w:rsidRPr="00E838EA">
        <w:rPr>
          <w:rFonts w:asciiTheme="majorHAnsi" w:hAnsiTheme="majorHAnsi" w:cstheme="majorHAnsi"/>
          <w:sz w:val="22"/>
          <w:szCs w:val="22"/>
        </w:rPr>
        <w:t xml:space="preserve">Business News Wales (2025) </w:t>
      </w:r>
      <w:r w:rsidRPr="00E838EA">
        <w:rPr>
          <w:rFonts w:asciiTheme="majorHAnsi" w:hAnsiTheme="majorHAnsi" w:cstheme="majorHAnsi"/>
          <w:i/>
          <w:iCs/>
          <w:sz w:val="22"/>
          <w:szCs w:val="22"/>
        </w:rPr>
        <w:t>Swansea Arena</w:t>
      </w:r>
      <w:r w:rsidRPr="00E838EA">
        <w:rPr>
          <w:rFonts w:asciiTheme="majorHAnsi" w:hAnsiTheme="majorHAnsi" w:cstheme="majorHAnsi"/>
          <w:sz w:val="22"/>
          <w:szCs w:val="22"/>
        </w:rPr>
        <w:t>. Available at: https://businessnewswales.com/wp-content/uploads/Swansea-Arena.jpg (Accessed: 16/02/26).</w:t>
      </w:r>
    </w:p>
    <w:p w14:paraId="67B0FDCE" w14:textId="77777777" w:rsidR="00F61931" w:rsidRPr="00752791" w:rsidRDefault="00F61931" w:rsidP="00A240DB">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Comunian, R. and Mould, O. (2014) ‘</w:t>
      </w:r>
      <w:r w:rsidRPr="00343FBD">
        <w:rPr>
          <w:rFonts w:asciiTheme="majorHAnsi" w:eastAsia="Times New Roman" w:hAnsiTheme="majorHAnsi" w:cstheme="majorHAnsi"/>
          <w:i/>
          <w:iCs/>
          <w:color w:val="000000"/>
          <w:kern w:val="0"/>
          <w:lang w:eastAsia="en-GB"/>
          <w14:ligatures w14:val="none"/>
        </w:rPr>
        <w:t>The weakest link: culture-led regeneration, flagship cultural projects and social sustainability’</w:t>
      </w:r>
      <w:r w:rsidRPr="00752791">
        <w:rPr>
          <w:rFonts w:asciiTheme="majorHAnsi" w:eastAsia="Times New Roman" w:hAnsiTheme="majorHAnsi" w:cstheme="majorHAnsi"/>
          <w:color w:val="000000"/>
          <w:kern w:val="0"/>
          <w:lang w:eastAsia="en-GB"/>
          <w14:ligatures w14:val="none"/>
        </w:rPr>
        <w:t>, </w:t>
      </w:r>
      <w:r w:rsidRPr="00752791">
        <w:rPr>
          <w:rFonts w:asciiTheme="majorHAnsi" w:eastAsia="Times New Roman" w:hAnsiTheme="majorHAnsi" w:cstheme="majorHAnsi"/>
          <w:i/>
          <w:iCs/>
          <w:color w:val="000000"/>
          <w:kern w:val="0"/>
          <w:lang w:eastAsia="en-GB"/>
          <w14:ligatures w14:val="none"/>
        </w:rPr>
        <w:t>Urban Studies</w:t>
      </w:r>
      <w:r w:rsidRPr="00752791">
        <w:rPr>
          <w:rFonts w:asciiTheme="majorHAnsi" w:eastAsia="Times New Roman" w:hAnsiTheme="majorHAnsi" w:cstheme="majorHAnsi"/>
          <w:color w:val="000000"/>
          <w:kern w:val="0"/>
          <w:lang w:eastAsia="en-GB"/>
          <w14:ligatures w14:val="none"/>
        </w:rPr>
        <w:t>, 51(10), pp. 2189–2205.</w:t>
      </w:r>
    </w:p>
    <w:p w14:paraId="0C05A619" w14:textId="77777777" w:rsidR="00F6193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Evans, G. (2005) ‘Measure for measure: evaluating the evidence of culture’s contribution to regeneration’, </w:t>
      </w:r>
      <w:r w:rsidRPr="00752791">
        <w:rPr>
          <w:rFonts w:asciiTheme="majorHAnsi" w:eastAsia="Times New Roman" w:hAnsiTheme="majorHAnsi" w:cstheme="majorHAnsi"/>
          <w:i/>
          <w:iCs/>
          <w:color w:val="000000"/>
          <w:kern w:val="0"/>
          <w:lang w:eastAsia="en-GB"/>
          <w14:ligatures w14:val="none"/>
        </w:rPr>
        <w:t>Urban Studies</w:t>
      </w:r>
      <w:r w:rsidRPr="00752791">
        <w:rPr>
          <w:rFonts w:asciiTheme="majorHAnsi" w:eastAsia="Times New Roman" w:hAnsiTheme="majorHAnsi" w:cstheme="majorHAnsi"/>
          <w:color w:val="000000"/>
          <w:kern w:val="0"/>
          <w:lang w:eastAsia="en-GB"/>
          <w14:ligatures w14:val="none"/>
        </w:rPr>
        <w:t>, 42(5–6), pp. 959–983.</w:t>
      </w:r>
    </w:p>
    <w:p w14:paraId="6BCD4404" w14:textId="4B8CD5F3" w:rsidR="00D26126" w:rsidRPr="00D26126" w:rsidRDefault="00D26126" w:rsidP="00D26126">
      <w:pPr>
        <w:pStyle w:val="p1"/>
        <w:jc w:val="both"/>
        <w:rPr>
          <w:rFonts w:asciiTheme="majorHAnsi" w:hAnsiTheme="majorHAnsi" w:cstheme="majorHAnsi"/>
          <w:sz w:val="22"/>
          <w:szCs w:val="22"/>
        </w:rPr>
      </w:pPr>
      <w:r w:rsidRPr="00D26126">
        <w:rPr>
          <w:rFonts w:asciiTheme="majorHAnsi" w:hAnsiTheme="majorHAnsi" w:cstheme="majorHAnsi"/>
          <w:sz w:val="22"/>
          <w:szCs w:val="22"/>
        </w:rPr>
        <w:lastRenderedPageBreak/>
        <w:t xml:space="preserve">Getty Images (2019) </w:t>
      </w:r>
      <w:r w:rsidRPr="00D26126">
        <w:rPr>
          <w:rFonts w:asciiTheme="majorHAnsi" w:hAnsiTheme="majorHAnsi" w:cstheme="majorHAnsi"/>
          <w:i/>
          <w:iCs/>
          <w:sz w:val="22"/>
          <w:szCs w:val="22"/>
        </w:rPr>
        <w:t>The Swansea LC2 Leisure Centre</w:t>
      </w:r>
      <w:r w:rsidRPr="00D26126">
        <w:rPr>
          <w:rFonts w:asciiTheme="majorHAnsi" w:hAnsiTheme="majorHAnsi" w:cstheme="majorHAnsi"/>
          <w:sz w:val="22"/>
          <w:szCs w:val="22"/>
        </w:rPr>
        <w:t>. iStock. Available at: https://www.istockphoto.com/photo/the-swansea-lc2-leisure-centre-gm1163969306-319788767 (Accessed: 20</w:t>
      </w:r>
      <w:r w:rsidR="003047EB">
        <w:rPr>
          <w:rFonts w:asciiTheme="majorHAnsi" w:hAnsiTheme="majorHAnsi" w:cstheme="majorHAnsi"/>
          <w:sz w:val="22"/>
          <w:szCs w:val="22"/>
        </w:rPr>
        <w:t>/02/</w:t>
      </w:r>
      <w:r w:rsidRPr="00D26126">
        <w:rPr>
          <w:rFonts w:asciiTheme="majorHAnsi" w:hAnsiTheme="majorHAnsi" w:cstheme="majorHAnsi"/>
          <w:sz w:val="22"/>
          <w:szCs w:val="22"/>
        </w:rPr>
        <w:t>26).</w:t>
      </w:r>
    </w:p>
    <w:p w14:paraId="4FC1D3E3" w14:textId="77777777" w:rsidR="00F61931" w:rsidRPr="0075279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OECD (2025) </w:t>
      </w:r>
      <w:r w:rsidRPr="00752791">
        <w:rPr>
          <w:rFonts w:asciiTheme="majorHAnsi" w:eastAsia="Times New Roman" w:hAnsiTheme="majorHAnsi" w:cstheme="majorHAnsi"/>
          <w:i/>
          <w:iCs/>
          <w:color w:val="000000"/>
          <w:kern w:val="0"/>
          <w:lang w:eastAsia="en-GB"/>
          <w14:ligatures w14:val="none"/>
        </w:rPr>
        <w:t>Culture and local development: maximising the impact of cultural regeneration</w:t>
      </w:r>
      <w:r w:rsidRPr="00752791">
        <w:rPr>
          <w:rFonts w:asciiTheme="majorHAnsi" w:eastAsia="Times New Roman" w:hAnsiTheme="majorHAnsi" w:cstheme="majorHAnsi"/>
          <w:color w:val="000000"/>
          <w:kern w:val="0"/>
          <w:lang w:eastAsia="en-GB"/>
          <w14:ligatures w14:val="none"/>
        </w:rPr>
        <w:t>. Paris: Organisation for Economic Co-operation and Development.</w:t>
      </w:r>
    </w:p>
    <w:p w14:paraId="59EA9E41" w14:textId="77777777" w:rsidR="00F6193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RSAW (2023) </w:t>
      </w:r>
      <w:r w:rsidRPr="00752791">
        <w:rPr>
          <w:rFonts w:asciiTheme="majorHAnsi" w:eastAsia="Times New Roman" w:hAnsiTheme="majorHAnsi" w:cstheme="majorHAnsi"/>
          <w:i/>
          <w:iCs/>
          <w:color w:val="000000"/>
          <w:kern w:val="0"/>
          <w:lang w:eastAsia="en-GB"/>
          <w14:ligatures w14:val="none"/>
        </w:rPr>
        <w:t>Welsh Architecture Awards – Shortlist</w:t>
      </w:r>
      <w:r w:rsidRPr="00752791">
        <w:rPr>
          <w:rFonts w:asciiTheme="majorHAnsi" w:eastAsia="Times New Roman" w:hAnsiTheme="majorHAnsi" w:cstheme="majorHAnsi"/>
          <w:color w:val="000000"/>
          <w:kern w:val="0"/>
          <w:lang w:eastAsia="en-GB"/>
          <w14:ligatures w14:val="none"/>
        </w:rPr>
        <w:t>. Royal Society of Architects in Wales.</w:t>
      </w:r>
    </w:p>
    <w:p w14:paraId="480FA54D" w14:textId="3E69A399" w:rsidR="006A2392" w:rsidRPr="00CE646D" w:rsidRDefault="006A2392" w:rsidP="00CE646D">
      <w:pPr>
        <w:pStyle w:val="p1"/>
        <w:jc w:val="both"/>
        <w:rPr>
          <w:rFonts w:asciiTheme="majorHAnsi" w:hAnsiTheme="majorHAnsi" w:cstheme="majorHAnsi"/>
          <w:sz w:val="22"/>
          <w:szCs w:val="22"/>
        </w:rPr>
      </w:pPr>
      <w:r w:rsidRPr="00CE646D">
        <w:rPr>
          <w:rFonts w:asciiTheme="majorHAnsi" w:hAnsiTheme="majorHAnsi" w:cstheme="majorHAnsi"/>
          <w:sz w:val="22"/>
          <w:szCs w:val="22"/>
        </w:rPr>
        <w:t xml:space="preserve">Swansea Bay City Deal (n.d.) </w:t>
      </w:r>
      <w:r w:rsidRPr="00CE646D">
        <w:rPr>
          <w:rFonts w:asciiTheme="majorHAnsi" w:hAnsiTheme="majorHAnsi" w:cstheme="majorHAnsi"/>
          <w:i/>
          <w:iCs/>
          <w:sz w:val="22"/>
          <w:szCs w:val="22"/>
        </w:rPr>
        <w:t>Swansea Arena</w:t>
      </w:r>
      <w:r w:rsidRPr="00CE646D">
        <w:rPr>
          <w:rFonts w:asciiTheme="majorHAnsi" w:hAnsiTheme="majorHAnsi" w:cstheme="majorHAnsi"/>
          <w:sz w:val="22"/>
          <w:szCs w:val="22"/>
        </w:rPr>
        <w:t>. Available at: https://swanseabaycitydeal.wales/media/4rxfqni3/swansea-arena-3.jpg (Accessed: 16</w:t>
      </w:r>
      <w:r w:rsidR="00827993">
        <w:rPr>
          <w:rFonts w:asciiTheme="majorHAnsi" w:hAnsiTheme="majorHAnsi" w:cstheme="majorHAnsi"/>
          <w:sz w:val="22"/>
          <w:szCs w:val="22"/>
        </w:rPr>
        <w:t>/02/</w:t>
      </w:r>
      <w:r w:rsidRPr="00CE646D">
        <w:rPr>
          <w:rFonts w:asciiTheme="majorHAnsi" w:hAnsiTheme="majorHAnsi" w:cstheme="majorHAnsi"/>
          <w:sz w:val="22"/>
          <w:szCs w:val="22"/>
        </w:rPr>
        <w:t>2026).</w:t>
      </w:r>
    </w:p>
    <w:p w14:paraId="18C607F2" w14:textId="77777777" w:rsidR="00F61931" w:rsidRPr="0075279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hAnsiTheme="majorHAnsi" w:cstheme="majorHAnsi"/>
        </w:rPr>
        <w:t>Swansea Council (2021) Public consultation documents for Copr Bay development (Swansea Council, 2021) (Swansea Council, 2023). Swansea Council (Swansea Council, 2023).</w:t>
      </w:r>
    </w:p>
    <w:p w14:paraId="002B8AB6" w14:textId="1045FCED" w:rsidR="00F61931" w:rsidRPr="0075279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Swansea Council (2023) </w:t>
      </w:r>
      <w:r w:rsidRPr="00752791">
        <w:rPr>
          <w:rFonts w:asciiTheme="majorHAnsi" w:eastAsia="Times New Roman" w:hAnsiTheme="majorHAnsi" w:cstheme="majorHAnsi"/>
          <w:i/>
          <w:iCs/>
          <w:color w:val="000000"/>
          <w:kern w:val="0"/>
          <w:lang w:eastAsia="en-GB"/>
          <w14:ligatures w14:val="none"/>
        </w:rPr>
        <w:t>Copr Bay regeneration project</w:t>
      </w:r>
      <w:r w:rsidRPr="00752791">
        <w:rPr>
          <w:rFonts w:asciiTheme="majorHAnsi" w:eastAsia="Times New Roman" w:hAnsiTheme="majorHAnsi" w:cstheme="majorHAnsi"/>
          <w:color w:val="000000"/>
          <w:kern w:val="0"/>
          <w:lang w:eastAsia="en-GB"/>
          <w14:ligatures w14:val="none"/>
        </w:rPr>
        <w:t>. Available at: https://www.swansea.gov.uk/coprbay (Accessed:</w:t>
      </w:r>
      <w:r w:rsidR="00970811">
        <w:rPr>
          <w:rFonts w:asciiTheme="majorHAnsi" w:eastAsia="Times New Roman" w:hAnsiTheme="majorHAnsi" w:cstheme="majorHAnsi"/>
          <w:color w:val="000000"/>
          <w:kern w:val="0"/>
          <w:lang w:eastAsia="en-GB"/>
          <w14:ligatures w14:val="none"/>
        </w:rPr>
        <w:t xml:space="preserve"> 19/02/2026</w:t>
      </w:r>
      <w:r w:rsidRPr="00752791">
        <w:rPr>
          <w:rFonts w:asciiTheme="majorHAnsi" w:eastAsia="Times New Roman" w:hAnsiTheme="majorHAnsi" w:cstheme="majorHAnsi"/>
          <w:color w:val="000000"/>
          <w:kern w:val="0"/>
          <w:lang w:eastAsia="en-GB"/>
          <w14:ligatures w14:val="none"/>
        </w:rPr>
        <w:t>).</w:t>
      </w:r>
    </w:p>
    <w:p w14:paraId="217519A6" w14:textId="77777777" w:rsidR="00F61931" w:rsidRPr="0075279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hAnsiTheme="majorHAnsi" w:cstheme="majorHAnsi"/>
        </w:rPr>
        <w:t>Tommarchi, L. (2025) ‘Contesting culture-led regeneration in post-industrial cities’, Journal of Urban Affairs, 47(2), pp (ACME Architects, 2022) (Williams, 2022). 215–233.</w:t>
      </w:r>
    </w:p>
    <w:p w14:paraId="2465AB42" w14:textId="77777777" w:rsidR="00F61931" w:rsidRPr="0075279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UK Government (2022) </w:t>
      </w:r>
      <w:r w:rsidRPr="00752791">
        <w:rPr>
          <w:rFonts w:asciiTheme="majorHAnsi" w:eastAsia="Times New Roman" w:hAnsiTheme="majorHAnsi" w:cstheme="majorHAnsi"/>
          <w:i/>
          <w:iCs/>
          <w:color w:val="000000"/>
          <w:kern w:val="0"/>
          <w:lang w:eastAsia="en-GB"/>
          <w14:ligatures w14:val="none"/>
        </w:rPr>
        <w:t>Swansea Arena City Deal funding announcement</w:t>
      </w:r>
      <w:r w:rsidRPr="00752791">
        <w:rPr>
          <w:rFonts w:asciiTheme="majorHAnsi" w:eastAsia="Times New Roman" w:hAnsiTheme="majorHAnsi" w:cstheme="majorHAnsi"/>
          <w:color w:val="000000"/>
          <w:kern w:val="0"/>
          <w:lang w:eastAsia="en-GB"/>
          <w14:ligatures w14:val="none"/>
        </w:rPr>
        <w:t>. UK Government Press Release.</w:t>
      </w:r>
    </w:p>
    <w:p w14:paraId="6B67BC72" w14:textId="716DC99E" w:rsidR="00F61931" w:rsidRPr="00752791" w:rsidRDefault="00F61931" w:rsidP="00F61931">
      <w:pPr>
        <w:spacing w:before="100" w:beforeAutospacing="1" w:after="100" w:afterAutospacing="1" w:line="300" w:lineRule="atLeast"/>
        <w:ind w:firstLine="0"/>
        <w:jc w:val="both"/>
        <w:rPr>
          <w:rFonts w:asciiTheme="majorHAnsi" w:eastAsia="Times New Roman" w:hAnsiTheme="majorHAnsi" w:cstheme="majorHAnsi"/>
          <w:color w:val="000000"/>
          <w:kern w:val="0"/>
          <w:lang w:eastAsia="en-GB"/>
          <w14:ligatures w14:val="none"/>
        </w:rPr>
      </w:pPr>
      <w:r w:rsidRPr="00752791">
        <w:rPr>
          <w:rFonts w:asciiTheme="majorHAnsi" w:eastAsia="Times New Roman" w:hAnsiTheme="majorHAnsi" w:cstheme="majorHAnsi"/>
          <w:color w:val="000000"/>
          <w:kern w:val="0"/>
          <w:lang w:eastAsia="en-GB"/>
          <w14:ligatures w14:val="none"/>
        </w:rPr>
        <w:t>Williams, F. (2022) ‘ACME completes gold-coloured arena in Swansea’, </w:t>
      </w:r>
      <w:r w:rsidRPr="00752791">
        <w:rPr>
          <w:rFonts w:asciiTheme="majorHAnsi" w:eastAsia="Times New Roman" w:hAnsiTheme="majorHAnsi" w:cstheme="majorHAnsi"/>
          <w:i/>
          <w:iCs/>
          <w:color w:val="000000"/>
          <w:kern w:val="0"/>
          <w:lang w:eastAsia="en-GB"/>
          <w14:ligatures w14:val="none"/>
        </w:rPr>
        <w:t>Architects’ Journal</w:t>
      </w:r>
      <w:r w:rsidRPr="00752791">
        <w:rPr>
          <w:rFonts w:asciiTheme="majorHAnsi" w:eastAsia="Times New Roman" w:hAnsiTheme="majorHAnsi" w:cstheme="majorHAnsi"/>
          <w:color w:val="000000"/>
          <w:kern w:val="0"/>
          <w:lang w:eastAsia="en-GB"/>
          <w14:ligatures w14:val="none"/>
        </w:rPr>
        <w:t xml:space="preserve">. Available at: https://www.architectsjournal.co.uk/buildings/acme-completes-gold-coloured-arena-in-swansea (Accessed: </w:t>
      </w:r>
      <w:r w:rsidR="00970811">
        <w:rPr>
          <w:rFonts w:asciiTheme="majorHAnsi" w:eastAsia="Times New Roman" w:hAnsiTheme="majorHAnsi" w:cstheme="majorHAnsi"/>
          <w:color w:val="000000"/>
          <w:kern w:val="0"/>
          <w:lang w:eastAsia="en-GB"/>
          <w14:ligatures w14:val="none"/>
        </w:rPr>
        <w:t>18/02/2026</w:t>
      </w:r>
      <w:r w:rsidRPr="00752791">
        <w:rPr>
          <w:rFonts w:asciiTheme="majorHAnsi" w:eastAsia="Times New Roman" w:hAnsiTheme="majorHAnsi" w:cstheme="majorHAnsi"/>
          <w:color w:val="000000"/>
          <w:kern w:val="0"/>
          <w:lang w:eastAsia="en-GB"/>
          <w14:ligatures w14:val="none"/>
        </w:rPr>
        <w:t>).</w:t>
      </w:r>
    </w:p>
    <w:p w14:paraId="74349BEA" w14:textId="0F4307A7" w:rsidR="00F64BA4" w:rsidRPr="00752791" w:rsidRDefault="00F64BA4" w:rsidP="008E16B9">
      <w:pPr>
        <w:spacing w:before="100" w:beforeAutospacing="1" w:after="100" w:afterAutospacing="1"/>
        <w:ind w:firstLine="0"/>
        <w:rPr>
          <w:rFonts w:asciiTheme="majorHAnsi" w:eastAsia="Times New Roman" w:hAnsiTheme="majorHAnsi" w:cstheme="majorHAnsi"/>
          <w:kern w:val="0"/>
          <w:lang w:eastAsia="en-GB"/>
          <w14:ligatures w14:val="none"/>
        </w:rPr>
      </w:pPr>
    </w:p>
    <w:p w14:paraId="2C2F290C" w14:textId="099C7C34" w:rsidR="000674CE" w:rsidRPr="00895BF8" w:rsidRDefault="000674CE" w:rsidP="007367D5">
      <w:pPr>
        <w:pStyle w:val="NoSpacing"/>
        <w:rPr>
          <w:lang w:eastAsia="en-GB"/>
        </w:rPr>
      </w:pPr>
    </w:p>
    <w:sectPr w:rsidR="000674CE" w:rsidRPr="00895B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57B71"/>
    <w:multiLevelType w:val="multilevel"/>
    <w:tmpl w:val="CF847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D56A7"/>
    <w:multiLevelType w:val="multilevel"/>
    <w:tmpl w:val="088E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6052D"/>
    <w:multiLevelType w:val="multilevel"/>
    <w:tmpl w:val="6C44F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85279"/>
    <w:multiLevelType w:val="multilevel"/>
    <w:tmpl w:val="6568C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85B3E"/>
    <w:multiLevelType w:val="multilevel"/>
    <w:tmpl w:val="3BB60B1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69096D"/>
    <w:multiLevelType w:val="multilevel"/>
    <w:tmpl w:val="72FCB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B00816"/>
    <w:multiLevelType w:val="multilevel"/>
    <w:tmpl w:val="E96C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800A3"/>
    <w:multiLevelType w:val="multilevel"/>
    <w:tmpl w:val="1A22E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BA7C62"/>
    <w:multiLevelType w:val="multilevel"/>
    <w:tmpl w:val="00AC3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B105BC"/>
    <w:multiLevelType w:val="multilevel"/>
    <w:tmpl w:val="4E022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744746"/>
    <w:multiLevelType w:val="multilevel"/>
    <w:tmpl w:val="3228A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4900BC"/>
    <w:multiLevelType w:val="multilevel"/>
    <w:tmpl w:val="9EF49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EB3CE4"/>
    <w:multiLevelType w:val="multilevel"/>
    <w:tmpl w:val="7C5AE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AA48EA"/>
    <w:multiLevelType w:val="multilevel"/>
    <w:tmpl w:val="E9F861E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F6588F"/>
    <w:multiLevelType w:val="multilevel"/>
    <w:tmpl w:val="48B6E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5F78"/>
    <w:multiLevelType w:val="multilevel"/>
    <w:tmpl w:val="ADCE5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AB5089"/>
    <w:multiLevelType w:val="multilevel"/>
    <w:tmpl w:val="AC2A6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1D79C2"/>
    <w:multiLevelType w:val="multilevel"/>
    <w:tmpl w:val="C0CA9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0C7C52"/>
    <w:multiLevelType w:val="multilevel"/>
    <w:tmpl w:val="6252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1B3C43"/>
    <w:multiLevelType w:val="multilevel"/>
    <w:tmpl w:val="1C5C5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194651"/>
    <w:multiLevelType w:val="multilevel"/>
    <w:tmpl w:val="C15EA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0E3A52"/>
    <w:multiLevelType w:val="multilevel"/>
    <w:tmpl w:val="25E66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623221"/>
    <w:multiLevelType w:val="multilevel"/>
    <w:tmpl w:val="CD3E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9009A0"/>
    <w:multiLevelType w:val="multilevel"/>
    <w:tmpl w:val="BC78E5F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67D5EB0"/>
    <w:multiLevelType w:val="multilevel"/>
    <w:tmpl w:val="BCB6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1248A6"/>
    <w:multiLevelType w:val="multilevel"/>
    <w:tmpl w:val="7E8A0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DE3732"/>
    <w:multiLevelType w:val="multilevel"/>
    <w:tmpl w:val="83C0E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451513">
    <w:abstractNumId w:val="18"/>
  </w:num>
  <w:num w:numId="2" w16cid:durableId="1758674187">
    <w:abstractNumId w:val="26"/>
  </w:num>
  <w:num w:numId="3" w16cid:durableId="1624730186">
    <w:abstractNumId w:val="1"/>
  </w:num>
  <w:num w:numId="4" w16cid:durableId="814878390">
    <w:abstractNumId w:val="19"/>
  </w:num>
  <w:num w:numId="5" w16cid:durableId="1539053249">
    <w:abstractNumId w:val="0"/>
  </w:num>
  <w:num w:numId="6" w16cid:durableId="1677809524">
    <w:abstractNumId w:val="8"/>
  </w:num>
  <w:num w:numId="7" w16cid:durableId="1586524770">
    <w:abstractNumId w:val="14"/>
  </w:num>
  <w:num w:numId="8" w16cid:durableId="1776899341">
    <w:abstractNumId w:val="25"/>
  </w:num>
  <w:num w:numId="9" w16cid:durableId="758136388">
    <w:abstractNumId w:val="10"/>
  </w:num>
  <w:num w:numId="10" w16cid:durableId="1802845296">
    <w:abstractNumId w:val="21"/>
  </w:num>
  <w:num w:numId="11" w16cid:durableId="54817516">
    <w:abstractNumId w:val="15"/>
  </w:num>
  <w:num w:numId="12" w16cid:durableId="1172186336">
    <w:abstractNumId w:val="11"/>
  </w:num>
  <w:num w:numId="13" w16cid:durableId="1002465019">
    <w:abstractNumId w:val="22"/>
  </w:num>
  <w:num w:numId="14" w16cid:durableId="958334667">
    <w:abstractNumId w:val="20"/>
  </w:num>
  <w:num w:numId="15" w16cid:durableId="1803112022">
    <w:abstractNumId w:val="17"/>
  </w:num>
  <w:num w:numId="16" w16cid:durableId="477469">
    <w:abstractNumId w:val="24"/>
  </w:num>
  <w:num w:numId="17" w16cid:durableId="2100834545">
    <w:abstractNumId w:val="7"/>
  </w:num>
  <w:num w:numId="18" w16cid:durableId="355352813">
    <w:abstractNumId w:val="16"/>
  </w:num>
  <w:num w:numId="19" w16cid:durableId="1526210515">
    <w:abstractNumId w:val="6"/>
  </w:num>
  <w:num w:numId="20" w16cid:durableId="592134079">
    <w:abstractNumId w:val="9"/>
  </w:num>
  <w:num w:numId="21" w16cid:durableId="370304393">
    <w:abstractNumId w:val="12"/>
  </w:num>
  <w:num w:numId="22" w16cid:durableId="1490708180">
    <w:abstractNumId w:val="3"/>
  </w:num>
  <w:num w:numId="23" w16cid:durableId="1931347209">
    <w:abstractNumId w:val="2"/>
  </w:num>
  <w:num w:numId="24" w16cid:durableId="820730257">
    <w:abstractNumId w:val="5"/>
  </w:num>
  <w:num w:numId="25" w16cid:durableId="547424427">
    <w:abstractNumId w:val="23"/>
  </w:num>
  <w:num w:numId="26" w16cid:durableId="78909981">
    <w:abstractNumId w:val="13"/>
  </w:num>
  <w:num w:numId="27" w16cid:durableId="1076706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EB9"/>
    <w:rsid w:val="000001AA"/>
    <w:rsid w:val="000003A0"/>
    <w:rsid w:val="00005C66"/>
    <w:rsid w:val="00021506"/>
    <w:rsid w:val="00027B63"/>
    <w:rsid w:val="00032991"/>
    <w:rsid w:val="00044171"/>
    <w:rsid w:val="000443B3"/>
    <w:rsid w:val="000641D3"/>
    <w:rsid w:val="00064B77"/>
    <w:rsid w:val="000674CE"/>
    <w:rsid w:val="00082112"/>
    <w:rsid w:val="000E00C5"/>
    <w:rsid w:val="000F677B"/>
    <w:rsid w:val="00111B0A"/>
    <w:rsid w:val="00114EC4"/>
    <w:rsid w:val="00116F8E"/>
    <w:rsid w:val="0013613D"/>
    <w:rsid w:val="00137A16"/>
    <w:rsid w:val="00142459"/>
    <w:rsid w:val="00146E9E"/>
    <w:rsid w:val="001546C4"/>
    <w:rsid w:val="00171752"/>
    <w:rsid w:val="00172072"/>
    <w:rsid w:val="00176DB6"/>
    <w:rsid w:val="00176FC4"/>
    <w:rsid w:val="0018001B"/>
    <w:rsid w:val="0018190C"/>
    <w:rsid w:val="00194FD5"/>
    <w:rsid w:val="00195193"/>
    <w:rsid w:val="001B2679"/>
    <w:rsid w:val="001B50B8"/>
    <w:rsid w:val="001C0CD9"/>
    <w:rsid w:val="001C1E0E"/>
    <w:rsid w:val="001D36E8"/>
    <w:rsid w:val="001D4A2C"/>
    <w:rsid w:val="001D4C23"/>
    <w:rsid w:val="001D7647"/>
    <w:rsid w:val="001E0D38"/>
    <w:rsid w:val="001F1D32"/>
    <w:rsid w:val="001F7577"/>
    <w:rsid w:val="0021218F"/>
    <w:rsid w:val="00215FF2"/>
    <w:rsid w:val="00225618"/>
    <w:rsid w:val="0024613B"/>
    <w:rsid w:val="00264564"/>
    <w:rsid w:val="00280F28"/>
    <w:rsid w:val="00284B4B"/>
    <w:rsid w:val="00292632"/>
    <w:rsid w:val="00296B8C"/>
    <w:rsid w:val="002B02E1"/>
    <w:rsid w:val="002B3092"/>
    <w:rsid w:val="002C3E15"/>
    <w:rsid w:val="002C4C12"/>
    <w:rsid w:val="002D7BC2"/>
    <w:rsid w:val="002E0CFF"/>
    <w:rsid w:val="002E4858"/>
    <w:rsid w:val="0030328E"/>
    <w:rsid w:val="003047EB"/>
    <w:rsid w:val="003048FE"/>
    <w:rsid w:val="00304F95"/>
    <w:rsid w:val="003101E9"/>
    <w:rsid w:val="0031042E"/>
    <w:rsid w:val="003322A7"/>
    <w:rsid w:val="00336A30"/>
    <w:rsid w:val="00343FBD"/>
    <w:rsid w:val="00346EB9"/>
    <w:rsid w:val="003641DA"/>
    <w:rsid w:val="003730AE"/>
    <w:rsid w:val="003872D5"/>
    <w:rsid w:val="003912A4"/>
    <w:rsid w:val="003A0C7B"/>
    <w:rsid w:val="003B074A"/>
    <w:rsid w:val="003B7749"/>
    <w:rsid w:val="003C21EA"/>
    <w:rsid w:val="003D3578"/>
    <w:rsid w:val="003F144D"/>
    <w:rsid w:val="003F6974"/>
    <w:rsid w:val="003F7B23"/>
    <w:rsid w:val="003F7C46"/>
    <w:rsid w:val="00410896"/>
    <w:rsid w:val="00413CCE"/>
    <w:rsid w:val="0042270B"/>
    <w:rsid w:val="00433F9B"/>
    <w:rsid w:val="0044048A"/>
    <w:rsid w:val="004618CE"/>
    <w:rsid w:val="00492DDD"/>
    <w:rsid w:val="00493571"/>
    <w:rsid w:val="004953B8"/>
    <w:rsid w:val="00497258"/>
    <w:rsid w:val="00497B46"/>
    <w:rsid w:val="004A1840"/>
    <w:rsid w:val="004C22B2"/>
    <w:rsid w:val="004E038E"/>
    <w:rsid w:val="004F5716"/>
    <w:rsid w:val="00506509"/>
    <w:rsid w:val="00515722"/>
    <w:rsid w:val="00530962"/>
    <w:rsid w:val="005323E2"/>
    <w:rsid w:val="005534AA"/>
    <w:rsid w:val="005537BE"/>
    <w:rsid w:val="005833A6"/>
    <w:rsid w:val="0058747E"/>
    <w:rsid w:val="00587B52"/>
    <w:rsid w:val="00587BF3"/>
    <w:rsid w:val="005A55E9"/>
    <w:rsid w:val="005B4CF6"/>
    <w:rsid w:val="005C06FA"/>
    <w:rsid w:val="005D1006"/>
    <w:rsid w:val="005E17DF"/>
    <w:rsid w:val="005E6152"/>
    <w:rsid w:val="005F09D5"/>
    <w:rsid w:val="005F57BA"/>
    <w:rsid w:val="00611391"/>
    <w:rsid w:val="00612F6E"/>
    <w:rsid w:val="00614894"/>
    <w:rsid w:val="00615614"/>
    <w:rsid w:val="00644588"/>
    <w:rsid w:val="006468F6"/>
    <w:rsid w:val="0066048A"/>
    <w:rsid w:val="00670740"/>
    <w:rsid w:val="00676C59"/>
    <w:rsid w:val="00684883"/>
    <w:rsid w:val="006903E9"/>
    <w:rsid w:val="006A0B29"/>
    <w:rsid w:val="006A19DC"/>
    <w:rsid w:val="006A2392"/>
    <w:rsid w:val="006A262A"/>
    <w:rsid w:val="006A35C5"/>
    <w:rsid w:val="006A4679"/>
    <w:rsid w:val="006A64AD"/>
    <w:rsid w:val="006B49B7"/>
    <w:rsid w:val="006B6C38"/>
    <w:rsid w:val="006C487D"/>
    <w:rsid w:val="006C66CA"/>
    <w:rsid w:val="006D0425"/>
    <w:rsid w:val="006D0C42"/>
    <w:rsid w:val="0070378A"/>
    <w:rsid w:val="00713D37"/>
    <w:rsid w:val="007367D5"/>
    <w:rsid w:val="00736842"/>
    <w:rsid w:val="00737614"/>
    <w:rsid w:val="007475BD"/>
    <w:rsid w:val="00752791"/>
    <w:rsid w:val="00777198"/>
    <w:rsid w:val="00782B9B"/>
    <w:rsid w:val="0079259E"/>
    <w:rsid w:val="007A1508"/>
    <w:rsid w:val="007C18D4"/>
    <w:rsid w:val="007C7D15"/>
    <w:rsid w:val="007D4B7A"/>
    <w:rsid w:val="007E747B"/>
    <w:rsid w:val="007F1FCB"/>
    <w:rsid w:val="007F22CF"/>
    <w:rsid w:val="00812C8F"/>
    <w:rsid w:val="0082417F"/>
    <w:rsid w:val="00827993"/>
    <w:rsid w:val="00873646"/>
    <w:rsid w:val="0088200B"/>
    <w:rsid w:val="00887A1F"/>
    <w:rsid w:val="0089156F"/>
    <w:rsid w:val="00895BF8"/>
    <w:rsid w:val="008A654C"/>
    <w:rsid w:val="008B27FD"/>
    <w:rsid w:val="008C2DAA"/>
    <w:rsid w:val="008D1E57"/>
    <w:rsid w:val="008D7BBF"/>
    <w:rsid w:val="008E16B9"/>
    <w:rsid w:val="008E3728"/>
    <w:rsid w:val="008F1118"/>
    <w:rsid w:val="008F2991"/>
    <w:rsid w:val="00902473"/>
    <w:rsid w:val="00905F53"/>
    <w:rsid w:val="00906B70"/>
    <w:rsid w:val="00915383"/>
    <w:rsid w:val="00923192"/>
    <w:rsid w:val="00936788"/>
    <w:rsid w:val="00936D0F"/>
    <w:rsid w:val="00942BE3"/>
    <w:rsid w:val="00947890"/>
    <w:rsid w:val="009618CF"/>
    <w:rsid w:val="009661EF"/>
    <w:rsid w:val="0097056A"/>
    <w:rsid w:val="00970811"/>
    <w:rsid w:val="009973B8"/>
    <w:rsid w:val="009B19DC"/>
    <w:rsid w:val="009B2910"/>
    <w:rsid w:val="00A177DC"/>
    <w:rsid w:val="00A240DB"/>
    <w:rsid w:val="00A45639"/>
    <w:rsid w:val="00A51566"/>
    <w:rsid w:val="00A53EA3"/>
    <w:rsid w:val="00A70299"/>
    <w:rsid w:val="00A742B6"/>
    <w:rsid w:val="00A82B2B"/>
    <w:rsid w:val="00A8582A"/>
    <w:rsid w:val="00A932BF"/>
    <w:rsid w:val="00AA2C92"/>
    <w:rsid w:val="00AB5A3D"/>
    <w:rsid w:val="00AB6243"/>
    <w:rsid w:val="00AD30C3"/>
    <w:rsid w:val="00AD59C3"/>
    <w:rsid w:val="00AF570E"/>
    <w:rsid w:val="00AF734A"/>
    <w:rsid w:val="00B062A2"/>
    <w:rsid w:val="00B13D9D"/>
    <w:rsid w:val="00B217FF"/>
    <w:rsid w:val="00B2493B"/>
    <w:rsid w:val="00B251AE"/>
    <w:rsid w:val="00B467DD"/>
    <w:rsid w:val="00B528A0"/>
    <w:rsid w:val="00B64C14"/>
    <w:rsid w:val="00B72696"/>
    <w:rsid w:val="00B74FDC"/>
    <w:rsid w:val="00B811A1"/>
    <w:rsid w:val="00B86C89"/>
    <w:rsid w:val="00B978A1"/>
    <w:rsid w:val="00B97E21"/>
    <w:rsid w:val="00BC6835"/>
    <w:rsid w:val="00BD318D"/>
    <w:rsid w:val="00BF1FEE"/>
    <w:rsid w:val="00BF36F3"/>
    <w:rsid w:val="00C10C64"/>
    <w:rsid w:val="00C21BE5"/>
    <w:rsid w:val="00C24700"/>
    <w:rsid w:val="00C257F6"/>
    <w:rsid w:val="00C55283"/>
    <w:rsid w:val="00C611ED"/>
    <w:rsid w:val="00C637CC"/>
    <w:rsid w:val="00C77524"/>
    <w:rsid w:val="00C81EF9"/>
    <w:rsid w:val="00C90EEA"/>
    <w:rsid w:val="00C91403"/>
    <w:rsid w:val="00C953EB"/>
    <w:rsid w:val="00C97921"/>
    <w:rsid w:val="00CE2027"/>
    <w:rsid w:val="00CE6200"/>
    <w:rsid w:val="00CE646D"/>
    <w:rsid w:val="00CE69E3"/>
    <w:rsid w:val="00CF630F"/>
    <w:rsid w:val="00D05CD3"/>
    <w:rsid w:val="00D13C3F"/>
    <w:rsid w:val="00D14DA3"/>
    <w:rsid w:val="00D22D68"/>
    <w:rsid w:val="00D26126"/>
    <w:rsid w:val="00D30FBB"/>
    <w:rsid w:val="00D34E6A"/>
    <w:rsid w:val="00D45458"/>
    <w:rsid w:val="00D5014E"/>
    <w:rsid w:val="00D53EC2"/>
    <w:rsid w:val="00D5566D"/>
    <w:rsid w:val="00D84724"/>
    <w:rsid w:val="00D96248"/>
    <w:rsid w:val="00DA211F"/>
    <w:rsid w:val="00DA787C"/>
    <w:rsid w:val="00DD0071"/>
    <w:rsid w:val="00E01479"/>
    <w:rsid w:val="00E05EDD"/>
    <w:rsid w:val="00E164B4"/>
    <w:rsid w:val="00E40269"/>
    <w:rsid w:val="00E43698"/>
    <w:rsid w:val="00E4427B"/>
    <w:rsid w:val="00E45D25"/>
    <w:rsid w:val="00E61D7C"/>
    <w:rsid w:val="00E675E0"/>
    <w:rsid w:val="00E81847"/>
    <w:rsid w:val="00E82A08"/>
    <w:rsid w:val="00E82AB7"/>
    <w:rsid w:val="00E838EA"/>
    <w:rsid w:val="00EA2AB8"/>
    <w:rsid w:val="00EB3427"/>
    <w:rsid w:val="00EB7C08"/>
    <w:rsid w:val="00EC4137"/>
    <w:rsid w:val="00EC7A5A"/>
    <w:rsid w:val="00ED13B5"/>
    <w:rsid w:val="00ED44CB"/>
    <w:rsid w:val="00ED477A"/>
    <w:rsid w:val="00ED587B"/>
    <w:rsid w:val="00EE40DA"/>
    <w:rsid w:val="00F00E66"/>
    <w:rsid w:val="00F03E52"/>
    <w:rsid w:val="00F204AA"/>
    <w:rsid w:val="00F205EF"/>
    <w:rsid w:val="00F4748C"/>
    <w:rsid w:val="00F53A8D"/>
    <w:rsid w:val="00F608A1"/>
    <w:rsid w:val="00F61931"/>
    <w:rsid w:val="00F63AE0"/>
    <w:rsid w:val="00F64BA4"/>
    <w:rsid w:val="00F65FD7"/>
    <w:rsid w:val="00F71355"/>
    <w:rsid w:val="00F8218C"/>
    <w:rsid w:val="00F84CE8"/>
    <w:rsid w:val="00F92A61"/>
    <w:rsid w:val="00F94842"/>
    <w:rsid w:val="00FA002C"/>
    <w:rsid w:val="00FB12D3"/>
    <w:rsid w:val="00FC2BEA"/>
    <w:rsid w:val="00FD1F1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F3F94"/>
  <w15:chartTrackingRefBased/>
  <w15:docId w15:val="{8F817063-1413-5A4A-B726-DB7B95FFE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C8F"/>
  </w:style>
  <w:style w:type="paragraph" w:styleId="Heading1">
    <w:name w:val="heading 1"/>
    <w:basedOn w:val="Normal"/>
    <w:next w:val="Normal"/>
    <w:link w:val="Heading1Char"/>
    <w:uiPriority w:val="9"/>
    <w:qFormat/>
    <w:rsid w:val="00812C8F"/>
    <w:pPr>
      <w:pBdr>
        <w:bottom w:val="single" w:sz="12" w:space="1" w:color="1481AB" w:themeColor="accent1" w:themeShade="BF"/>
      </w:pBdr>
      <w:spacing w:before="600" w:after="80"/>
      <w:ind w:firstLine="0"/>
      <w:outlineLvl w:val="0"/>
    </w:pPr>
    <w:rPr>
      <w:rFonts w:asciiTheme="majorHAnsi" w:eastAsiaTheme="majorEastAsia" w:hAnsiTheme="majorHAnsi" w:cstheme="majorBidi"/>
      <w:b/>
      <w:bCs/>
      <w:color w:val="1481AB" w:themeColor="accent1" w:themeShade="BF"/>
      <w:sz w:val="24"/>
      <w:szCs w:val="24"/>
    </w:rPr>
  </w:style>
  <w:style w:type="paragraph" w:styleId="Heading2">
    <w:name w:val="heading 2"/>
    <w:basedOn w:val="Normal"/>
    <w:next w:val="Normal"/>
    <w:link w:val="Heading2Char"/>
    <w:uiPriority w:val="9"/>
    <w:unhideWhenUsed/>
    <w:qFormat/>
    <w:rsid w:val="00812C8F"/>
    <w:pPr>
      <w:pBdr>
        <w:bottom w:val="single" w:sz="8" w:space="1" w:color="1CADE4" w:themeColor="accent1"/>
      </w:pBdr>
      <w:spacing w:before="200" w:after="80"/>
      <w:ind w:firstLine="0"/>
      <w:outlineLvl w:val="1"/>
    </w:pPr>
    <w:rPr>
      <w:rFonts w:asciiTheme="majorHAnsi" w:eastAsiaTheme="majorEastAsia" w:hAnsiTheme="majorHAnsi" w:cstheme="majorBidi"/>
      <w:color w:val="1481AB" w:themeColor="accent1" w:themeShade="BF"/>
      <w:sz w:val="24"/>
      <w:szCs w:val="24"/>
    </w:rPr>
  </w:style>
  <w:style w:type="paragraph" w:styleId="Heading3">
    <w:name w:val="heading 3"/>
    <w:basedOn w:val="Normal"/>
    <w:next w:val="Normal"/>
    <w:link w:val="Heading3Char"/>
    <w:uiPriority w:val="9"/>
    <w:unhideWhenUsed/>
    <w:qFormat/>
    <w:rsid w:val="00812C8F"/>
    <w:pPr>
      <w:pBdr>
        <w:bottom w:val="single" w:sz="4" w:space="1" w:color="76CDEE" w:themeColor="accent1" w:themeTint="99"/>
      </w:pBdr>
      <w:spacing w:before="200" w:after="80"/>
      <w:ind w:firstLine="0"/>
      <w:outlineLvl w:val="2"/>
    </w:pPr>
    <w:rPr>
      <w:rFonts w:asciiTheme="majorHAnsi" w:eastAsiaTheme="majorEastAsia" w:hAnsiTheme="majorHAnsi" w:cstheme="majorBidi"/>
      <w:color w:val="1CADE4" w:themeColor="accent1"/>
      <w:sz w:val="24"/>
      <w:szCs w:val="24"/>
    </w:rPr>
  </w:style>
  <w:style w:type="paragraph" w:styleId="Heading4">
    <w:name w:val="heading 4"/>
    <w:basedOn w:val="Normal"/>
    <w:next w:val="Normal"/>
    <w:link w:val="Heading4Char"/>
    <w:uiPriority w:val="9"/>
    <w:semiHidden/>
    <w:unhideWhenUsed/>
    <w:qFormat/>
    <w:rsid w:val="00812C8F"/>
    <w:pPr>
      <w:pBdr>
        <w:bottom w:val="single" w:sz="4" w:space="2" w:color="A4DDF4" w:themeColor="accent1" w:themeTint="66"/>
      </w:pBdr>
      <w:spacing w:before="200" w:after="80"/>
      <w:ind w:firstLine="0"/>
      <w:outlineLvl w:val="3"/>
    </w:pPr>
    <w:rPr>
      <w:rFonts w:asciiTheme="majorHAnsi" w:eastAsiaTheme="majorEastAsia" w:hAnsiTheme="majorHAnsi" w:cstheme="majorBidi"/>
      <w:i/>
      <w:iCs/>
      <w:color w:val="1CADE4" w:themeColor="accent1"/>
      <w:sz w:val="24"/>
      <w:szCs w:val="24"/>
    </w:rPr>
  </w:style>
  <w:style w:type="paragraph" w:styleId="Heading5">
    <w:name w:val="heading 5"/>
    <w:basedOn w:val="Normal"/>
    <w:next w:val="Normal"/>
    <w:link w:val="Heading5Char"/>
    <w:uiPriority w:val="9"/>
    <w:semiHidden/>
    <w:unhideWhenUsed/>
    <w:qFormat/>
    <w:rsid w:val="00812C8F"/>
    <w:pPr>
      <w:spacing w:before="200" w:after="80"/>
      <w:ind w:firstLine="0"/>
      <w:outlineLvl w:val="4"/>
    </w:pPr>
    <w:rPr>
      <w:rFonts w:asciiTheme="majorHAnsi" w:eastAsiaTheme="majorEastAsia" w:hAnsiTheme="majorHAnsi" w:cstheme="majorBidi"/>
      <w:color w:val="1CADE4" w:themeColor="accent1"/>
    </w:rPr>
  </w:style>
  <w:style w:type="paragraph" w:styleId="Heading6">
    <w:name w:val="heading 6"/>
    <w:basedOn w:val="Normal"/>
    <w:next w:val="Normal"/>
    <w:link w:val="Heading6Char"/>
    <w:uiPriority w:val="9"/>
    <w:semiHidden/>
    <w:unhideWhenUsed/>
    <w:qFormat/>
    <w:rsid w:val="00812C8F"/>
    <w:pPr>
      <w:spacing w:before="280" w:after="100"/>
      <w:ind w:firstLine="0"/>
      <w:outlineLvl w:val="5"/>
    </w:pPr>
    <w:rPr>
      <w:rFonts w:asciiTheme="majorHAnsi" w:eastAsiaTheme="majorEastAsia" w:hAnsiTheme="majorHAnsi" w:cstheme="majorBidi"/>
      <w:i/>
      <w:iCs/>
      <w:color w:val="1CADE4" w:themeColor="accent1"/>
    </w:rPr>
  </w:style>
  <w:style w:type="paragraph" w:styleId="Heading7">
    <w:name w:val="heading 7"/>
    <w:basedOn w:val="Normal"/>
    <w:next w:val="Normal"/>
    <w:link w:val="Heading7Char"/>
    <w:uiPriority w:val="9"/>
    <w:semiHidden/>
    <w:unhideWhenUsed/>
    <w:qFormat/>
    <w:rsid w:val="00812C8F"/>
    <w:pPr>
      <w:spacing w:before="320" w:after="100"/>
      <w:ind w:firstLine="0"/>
      <w:outlineLvl w:val="6"/>
    </w:pPr>
    <w:rPr>
      <w:rFonts w:asciiTheme="majorHAnsi" w:eastAsiaTheme="majorEastAsia" w:hAnsiTheme="majorHAnsi" w:cstheme="majorBidi"/>
      <w:b/>
      <w:bCs/>
      <w:color w:val="27CED7" w:themeColor="accent3"/>
      <w:sz w:val="20"/>
      <w:szCs w:val="20"/>
    </w:rPr>
  </w:style>
  <w:style w:type="paragraph" w:styleId="Heading8">
    <w:name w:val="heading 8"/>
    <w:basedOn w:val="Normal"/>
    <w:next w:val="Normal"/>
    <w:link w:val="Heading8Char"/>
    <w:uiPriority w:val="9"/>
    <w:semiHidden/>
    <w:unhideWhenUsed/>
    <w:qFormat/>
    <w:rsid w:val="00812C8F"/>
    <w:pPr>
      <w:spacing w:before="320" w:after="100"/>
      <w:ind w:firstLine="0"/>
      <w:outlineLvl w:val="7"/>
    </w:pPr>
    <w:rPr>
      <w:rFonts w:asciiTheme="majorHAnsi" w:eastAsiaTheme="majorEastAsia" w:hAnsiTheme="majorHAnsi" w:cstheme="majorBidi"/>
      <w:b/>
      <w:bCs/>
      <w:i/>
      <w:iCs/>
      <w:color w:val="27CED7" w:themeColor="accent3"/>
      <w:sz w:val="20"/>
      <w:szCs w:val="20"/>
    </w:rPr>
  </w:style>
  <w:style w:type="paragraph" w:styleId="Heading9">
    <w:name w:val="heading 9"/>
    <w:basedOn w:val="Normal"/>
    <w:next w:val="Normal"/>
    <w:link w:val="Heading9Char"/>
    <w:uiPriority w:val="9"/>
    <w:semiHidden/>
    <w:unhideWhenUsed/>
    <w:qFormat/>
    <w:rsid w:val="00812C8F"/>
    <w:pPr>
      <w:spacing w:before="320" w:after="100"/>
      <w:ind w:firstLine="0"/>
      <w:outlineLvl w:val="8"/>
    </w:pPr>
    <w:rPr>
      <w:rFonts w:asciiTheme="majorHAnsi" w:eastAsiaTheme="majorEastAsia" w:hAnsiTheme="majorHAnsi" w:cstheme="majorBidi"/>
      <w:i/>
      <w:iCs/>
      <w:color w:val="27CED7"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C8F"/>
    <w:rPr>
      <w:rFonts w:asciiTheme="majorHAnsi" w:eastAsiaTheme="majorEastAsia" w:hAnsiTheme="majorHAnsi" w:cstheme="majorBidi"/>
      <w:b/>
      <w:bCs/>
      <w:color w:val="1481AB" w:themeColor="accent1" w:themeShade="BF"/>
      <w:sz w:val="24"/>
      <w:szCs w:val="24"/>
    </w:rPr>
  </w:style>
  <w:style w:type="character" w:customStyle="1" w:styleId="Heading2Char">
    <w:name w:val="Heading 2 Char"/>
    <w:basedOn w:val="DefaultParagraphFont"/>
    <w:link w:val="Heading2"/>
    <w:uiPriority w:val="9"/>
    <w:rsid w:val="00812C8F"/>
    <w:rPr>
      <w:rFonts w:asciiTheme="majorHAnsi" w:eastAsiaTheme="majorEastAsia" w:hAnsiTheme="majorHAnsi" w:cstheme="majorBidi"/>
      <w:color w:val="1481AB" w:themeColor="accent1" w:themeShade="BF"/>
      <w:sz w:val="24"/>
      <w:szCs w:val="24"/>
    </w:rPr>
  </w:style>
  <w:style w:type="character" w:customStyle="1" w:styleId="Heading3Char">
    <w:name w:val="Heading 3 Char"/>
    <w:basedOn w:val="DefaultParagraphFont"/>
    <w:link w:val="Heading3"/>
    <w:uiPriority w:val="9"/>
    <w:rsid w:val="00812C8F"/>
    <w:rPr>
      <w:rFonts w:asciiTheme="majorHAnsi" w:eastAsiaTheme="majorEastAsia" w:hAnsiTheme="majorHAnsi" w:cstheme="majorBidi"/>
      <w:color w:val="1CADE4" w:themeColor="accent1"/>
      <w:sz w:val="24"/>
      <w:szCs w:val="24"/>
    </w:rPr>
  </w:style>
  <w:style w:type="character" w:customStyle="1" w:styleId="Heading4Char">
    <w:name w:val="Heading 4 Char"/>
    <w:basedOn w:val="DefaultParagraphFont"/>
    <w:link w:val="Heading4"/>
    <w:uiPriority w:val="9"/>
    <w:semiHidden/>
    <w:rsid w:val="00812C8F"/>
    <w:rPr>
      <w:rFonts w:asciiTheme="majorHAnsi" w:eastAsiaTheme="majorEastAsia" w:hAnsiTheme="majorHAnsi" w:cstheme="majorBidi"/>
      <w:i/>
      <w:iCs/>
      <w:color w:val="1CADE4" w:themeColor="accent1"/>
      <w:sz w:val="24"/>
      <w:szCs w:val="24"/>
    </w:rPr>
  </w:style>
  <w:style w:type="character" w:customStyle="1" w:styleId="Heading5Char">
    <w:name w:val="Heading 5 Char"/>
    <w:basedOn w:val="DefaultParagraphFont"/>
    <w:link w:val="Heading5"/>
    <w:uiPriority w:val="9"/>
    <w:semiHidden/>
    <w:rsid w:val="00812C8F"/>
    <w:rPr>
      <w:rFonts w:asciiTheme="majorHAnsi" w:eastAsiaTheme="majorEastAsia" w:hAnsiTheme="majorHAnsi" w:cstheme="majorBidi"/>
      <w:color w:val="1CADE4" w:themeColor="accent1"/>
    </w:rPr>
  </w:style>
  <w:style w:type="character" w:customStyle="1" w:styleId="Heading6Char">
    <w:name w:val="Heading 6 Char"/>
    <w:basedOn w:val="DefaultParagraphFont"/>
    <w:link w:val="Heading6"/>
    <w:uiPriority w:val="9"/>
    <w:semiHidden/>
    <w:rsid w:val="00812C8F"/>
    <w:rPr>
      <w:rFonts w:asciiTheme="majorHAnsi" w:eastAsiaTheme="majorEastAsia" w:hAnsiTheme="majorHAnsi" w:cstheme="majorBidi"/>
      <w:i/>
      <w:iCs/>
      <w:color w:val="1CADE4" w:themeColor="accent1"/>
    </w:rPr>
  </w:style>
  <w:style w:type="character" w:customStyle="1" w:styleId="Heading7Char">
    <w:name w:val="Heading 7 Char"/>
    <w:basedOn w:val="DefaultParagraphFont"/>
    <w:link w:val="Heading7"/>
    <w:uiPriority w:val="9"/>
    <w:semiHidden/>
    <w:rsid w:val="00812C8F"/>
    <w:rPr>
      <w:rFonts w:asciiTheme="majorHAnsi" w:eastAsiaTheme="majorEastAsia" w:hAnsiTheme="majorHAnsi" w:cstheme="majorBidi"/>
      <w:b/>
      <w:bCs/>
      <w:color w:val="27CED7" w:themeColor="accent3"/>
      <w:sz w:val="20"/>
      <w:szCs w:val="20"/>
    </w:rPr>
  </w:style>
  <w:style w:type="character" w:customStyle="1" w:styleId="Heading8Char">
    <w:name w:val="Heading 8 Char"/>
    <w:basedOn w:val="DefaultParagraphFont"/>
    <w:link w:val="Heading8"/>
    <w:uiPriority w:val="9"/>
    <w:semiHidden/>
    <w:rsid w:val="00812C8F"/>
    <w:rPr>
      <w:rFonts w:asciiTheme="majorHAnsi" w:eastAsiaTheme="majorEastAsia" w:hAnsiTheme="majorHAnsi" w:cstheme="majorBidi"/>
      <w:b/>
      <w:bCs/>
      <w:i/>
      <w:iCs/>
      <w:color w:val="27CED7" w:themeColor="accent3"/>
      <w:sz w:val="20"/>
      <w:szCs w:val="20"/>
    </w:rPr>
  </w:style>
  <w:style w:type="character" w:customStyle="1" w:styleId="Heading9Char">
    <w:name w:val="Heading 9 Char"/>
    <w:basedOn w:val="DefaultParagraphFont"/>
    <w:link w:val="Heading9"/>
    <w:uiPriority w:val="9"/>
    <w:semiHidden/>
    <w:rsid w:val="00812C8F"/>
    <w:rPr>
      <w:rFonts w:asciiTheme="majorHAnsi" w:eastAsiaTheme="majorEastAsia" w:hAnsiTheme="majorHAnsi" w:cstheme="majorBidi"/>
      <w:i/>
      <w:iCs/>
      <w:color w:val="27CED7" w:themeColor="accent3"/>
      <w:sz w:val="20"/>
      <w:szCs w:val="20"/>
    </w:rPr>
  </w:style>
  <w:style w:type="paragraph" w:styleId="Caption">
    <w:name w:val="caption"/>
    <w:basedOn w:val="Normal"/>
    <w:next w:val="Normal"/>
    <w:uiPriority w:val="35"/>
    <w:semiHidden/>
    <w:unhideWhenUsed/>
    <w:qFormat/>
    <w:rsid w:val="00812C8F"/>
    <w:rPr>
      <w:b/>
      <w:bCs/>
      <w:sz w:val="18"/>
      <w:szCs w:val="18"/>
    </w:rPr>
  </w:style>
  <w:style w:type="paragraph" w:styleId="Title">
    <w:name w:val="Title"/>
    <w:basedOn w:val="Normal"/>
    <w:next w:val="Normal"/>
    <w:link w:val="TitleChar"/>
    <w:uiPriority w:val="10"/>
    <w:qFormat/>
    <w:rsid w:val="00812C8F"/>
    <w:pPr>
      <w:pBdr>
        <w:top w:val="single" w:sz="8" w:space="10" w:color="8DD5F1" w:themeColor="accent1" w:themeTint="7F"/>
        <w:bottom w:val="single" w:sz="24" w:space="15" w:color="27CED7" w:themeColor="accent3"/>
      </w:pBdr>
      <w:ind w:firstLine="0"/>
      <w:jc w:val="center"/>
    </w:pPr>
    <w:rPr>
      <w:rFonts w:asciiTheme="majorHAnsi" w:eastAsiaTheme="majorEastAsia" w:hAnsiTheme="majorHAnsi" w:cstheme="majorBidi"/>
      <w:i/>
      <w:iCs/>
      <w:color w:val="0D5571" w:themeColor="accent1" w:themeShade="7F"/>
      <w:sz w:val="60"/>
      <w:szCs w:val="60"/>
    </w:rPr>
  </w:style>
  <w:style w:type="character" w:customStyle="1" w:styleId="TitleChar">
    <w:name w:val="Title Char"/>
    <w:basedOn w:val="DefaultParagraphFont"/>
    <w:link w:val="Title"/>
    <w:uiPriority w:val="10"/>
    <w:rsid w:val="00812C8F"/>
    <w:rPr>
      <w:rFonts w:asciiTheme="majorHAnsi" w:eastAsiaTheme="majorEastAsia" w:hAnsiTheme="majorHAnsi" w:cstheme="majorBidi"/>
      <w:i/>
      <w:iCs/>
      <w:color w:val="0D5571" w:themeColor="accent1" w:themeShade="7F"/>
      <w:sz w:val="60"/>
      <w:szCs w:val="60"/>
    </w:rPr>
  </w:style>
  <w:style w:type="paragraph" w:styleId="Subtitle">
    <w:name w:val="Subtitle"/>
    <w:basedOn w:val="Normal"/>
    <w:next w:val="Normal"/>
    <w:link w:val="SubtitleChar"/>
    <w:uiPriority w:val="11"/>
    <w:qFormat/>
    <w:rsid w:val="00812C8F"/>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812C8F"/>
    <w:rPr>
      <w:i/>
      <w:iCs/>
      <w:sz w:val="24"/>
      <w:szCs w:val="24"/>
    </w:rPr>
  </w:style>
  <w:style w:type="character" w:styleId="Strong">
    <w:name w:val="Strong"/>
    <w:basedOn w:val="DefaultParagraphFont"/>
    <w:uiPriority w:val="22"/>
    <w:qFormat/>
    <w:rsid w:val="00812C8F"/>
    <w:rPr>
      <w:b/>
      <w:bCs/>
      <w:spacing w:val="0"/>
    </w:rPr>
  </w:style>
  <w:style w:type="character" w:styleId="Emphasis">
    <w:name w:val="Emphasis"/>
    <w:uiPriority w:val="20"/>
    <w:qFormat/>
    <w:rsid w:val="00812C8F"/>
    <w:rPr>
      <w:b/>
      <w:bCs/>
      <w:i/>
      <w:iCs/>
      <w:color w:val="5A5A5A" w:themeColor="text1" w:themeTint="A5"/>
    </w:rPr>
  </w:style>
  <w:style w:type="paragraph" w:styleId="NoSpacing">
    <w:name w:val="No Spacing"/>
    <w:basedOn w:val="Normal"/>
    <w:link w:val="NoSpacingChar"/>
    <w:uiPriority w:val="1"/>
    <w:qFormat/>
    <w:rsid w:val="00812C8F"/>
    <w:pPr>
      <w:ind w:firstLine="0"/>
    </w:pPr>
  </w:style>
  <w:style w:type="character" w:customStyle="1" w:styleId="NoSpacingChar">
    <w:name w:val="No Spacing Char"/>
    <w:basedOn w:val="DefaultParagraphFont"/>
    <w:link w:val="NoSpacing"/>
    <w:uiPriority w:val="1"/>
    <w:rsid w:val="00812C8F"/>
  </w:style>
  <w:style w:type="paragraph" w:styleId="ListParagraph">
    <w:name w:val="List Paragraph"/>
    <w:basedOn w:val="Normal"/>
    <w:uiPriority w:val="34"/>
    <w:qFormat/>
    <w:rsid w:val="00812C8F"/>
    <w:pPr>
      <w:ind w:left="720"/>
      <w:contextualSpacing/>
    </w:pPr>
  </w:style>
  <w:style w:type="paragraph" w:styleId="Quote">
    <w:name w:val="Quote"/>
    <w:basedOn w:val="Normal"/>
    <w:next w:val="Normal"/>
    <w:link w:val="QuoteChar"/>
    <w:uiPriority w:val="29"/>
    <w:qFormat/>
    <w:rsid w:val="00812C8F"/>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12C8F"/>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12C8F"/>
    <w:pPr>
      <w:pBdr>
        <w:top w:val="single" w:sz="12" w:space="10" w:color="A4DDF4" w:themeColor="accent1" w:themeTint="66"/>
        <w:left w:val="single" w:sz="36" w:space="4" w:color="1CADE4" w:themeColor="accent1"/>
        <w:bottom w:val="single" w:sz="24" w:space="10" w:color="27CED7" w:themeColor="accent3"/>
        <w:right w:val="single" w:sz="36" w:space="4" w:color="1CADE4" w:themeColor="accent1"/>
      </w:pBdr>
      <w:shd w:val="clear" w:color="auto" w:fill="1CADE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812C8F"/>
    <w:rPr>
      <w:rFonts w:asciiTheme="majorHAnsi" w:eastAsiaTheme="majorEastAsia" w:hAnsiTheme="majorHAnsi" w:cstheme="majorBidi"/>
      <w:i/>
      <w:iCs/>
      <w:color w:val="FFFFFF" w:themeColor="background1"/>
      <w:sz w:val="24"/>
      <w:szCs w:val="24"/>
      <w:shd w:val="clear" w:color="auto" w:fill="1CADE4" w:themeFill="accent1"/>
    </w:rPr>
  </w:style>
  <w:style w:type="character" w:styleId="SubtleEmphasis">
    <w:name w:val="Subtle Emphasis"/>
    <w:uiPriority w:val="19"/>
    <w:qFormat/>
    <w:rsid w:val="00812C8F"/>
    <w:rPr>
      <w:i/>
      <w:iCs/>
      <w:color w:val="5A5A5A" w:themeColor="text1" w:themeTint="A5"/>
    </w:rPr>
  </w:style>
  <w:style w:type="character" w:styleId="IntenseEmphasis">
    <w:name w:val="Intense Emphasis"/>
    <w:uiPriority w:val="21"/>
    <w:qFormat/>
    <w:rsid w:val="00812C8F"/>
    <w:rPr>
      <w:b/>
      <w:bCs/>
      <w:i/>
      <w:iCs/>
      <w:color w:val="1CADE4" w:themeColor="accent1"/>
      <w:sz w:val="22"/>
      <w:szCs w:val="22"/>
    </w:rPr>
  </w:style>
  <w:style w:type="character" w:styleId="SubtleReference">
    <w:name w:val="Subtle Reference"/>
    <w:uiPriority w:val="31"/>
    <w:qFormat/>
    <w:rsid w:val="00812C8F"/>
    <w:rPr>
      <w:color w:val="auto"/>
      <w:u w:val="single" w:color="27CED7" w:themeColor="accent3"/>
    </w:rPr>
  </w:style>
  <w:style w:type="character" w:styleId="IntenseReference">
    <w:name w:val="Intense Reference"/>
    <w:basedOn w:val="DefaultParagraphFont"/>
    <w:uiPriority w:val="32"/>
    <w:qFormat/>
    <w:rsid w:val="00812C8F"/>
    <w:rPr>
      <w:b/>
      <w:bCs/>
      <w:color w:val="1D99A0" w:themeColor="accent3" w:themeShade="BF"/>
      <w:u w:val="single" w:color="27CED7" w:themeColor="accent3"/>
    </w:rPr>
  </w:style>
  <w:style w:type="character" w:styleId="BookTitle">
    <w:name w:val="Book Title"/>
    <w:basedOn w:val="DefaultParagraphFont"/>
    <w:uiPriority w:val="33"/>
    <w:qFormat/>
    <w:rsid w:val="00812C8F"/>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812C8F"/>
    <w:pPr>
      <w:outlineLvl w:val="9"/>
    </w:pPr>
  </w:style>
  <w:style w:type="paragraph" w:customStyle="1" w:styleId="p1">
    <w:name w:val="p1"/>
    <w:basedOn w:val="Normal"/>
    <w:rsid w:val="00346EB9"/>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346EB9"/>
  </w:style>
  <w:style w:type="paragraph" w:customStyle="1" w:styleId="p2">
    <w:name w:val="p2"/>
    <w:basedOn w:val="Normal"/>
    <w:rsid w:val="00346EB9"/>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346EB9"/>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346EB9"/>
  </w:style>
  <w:style w:type="character" w:styleId="Hyperlink">
    <w:name w:val="Hyperlink"/>
    <w:basedOn w:val="DefaultParagraphFont"/>
    <w:uiPriority w:val="99"/>
    <w:unhideWhenUsed/>
    <w:rsid w:val="00176DB6"/>
    <w:rPr>
      <w:color w:val="6EAC1C" w:themeColor="hyperlink"/>
      <w:u w:val="single"/>
    </w:rPr>
  </w:style>
  <w:style w:type="character" w:styleId="UnresolvedMention">
    <w:name w:val="Unresolved Mention"/>
    <w:basedOn w:val="DefaultParagraphFont"/>
    <w:uiPriority w:val="99"/>
    <w:semiHidden/>
    <w:unhideWhenUsed/>
    <w:rsid w:val="00176DB6"/>
    <w:rPr>
      <w:color w:val="605E5C"/>
      <w:shd w:val="clear" w:color="auto" w:fill="E1DFDD"/>
    </w:rPr>
  </w:style>
  <w:style w:type="character" w:styleId="FollowedHyperlink">
    <w:name w:val="FollowedHyperlink"/>
    <w:basedOn w:val="DefaultParagraphFont"/>
    <w:uiPriority w:val="99"/>
    <w:semiHidden/>
    <w:unhideWhenUsed/>
    <w:rsid w:val="00176DB6"/>
    <w:rPr>
      <w:color w:val="B26B02" w:themeColor="followedHyperlink"/>
      <w:u w:val="single"/>
    </w:rPr>
  </w:style>
  <w:style w:type="character" w:customStyle="1" w:styleId="s2">
    <w:name w:val="s2"/>
    <w:basedOn w:val="DefaultParagraphFont"/>
    <w:rsid w:val="00F65FD7"/>
  </w:style>
  <w:style w:type="paragraph" w:styleId="NormalWeb">
    <w:name w:val="Normal (Web)"/>
    <w:basedOn w:val="Normal"/>
    <w:uiPriority w:val="99"/>
    <w:semiHidden/>
    <w:unhideWhenUsed/>
    <w:rsid w:val="00F61931"/>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cme.world/projects/swansea-arena"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71591-F8FE-D34A-B0A6-520E768C6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8652</TotalTime>
  <Pages>10</Pages>
  <Words>3173</Words>
  <Characters>20818</Characters>
  <Application>Microsoft Office Word</Application>
  <DocSecurity>0</DocSecurity>
  <Lines>301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Vikran Sanghera (2204036)</dc:creator>
  <cp:keywords/>
  <dc:description/>
  <cp:lastModifiedBy>Vikran Sanghera (2204036)</cp:lastModifiedBy>
  <cp:revision>95</cp:revision>
  <dcterms:created xsi:type="dcterms:W3CDTF">2026-02-20T16:54:00Z</dcterms:created>
  <dcterms:modified xsi:type="dcterms:W3CDTF">2026-04-03T22:37:00Z</dcterms:modified>
</cp:coreProperties>
</file>