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7E13" w:rsidRDefault="00387E13" w:rsidP="00387E13">
      <w:pPr>
        <w:pStyle w:val="Title"/>
      </w:pPr>
    </w:p>
    <w:p w:rsidR="00387E13" w:rsidRDefault="00387E13" w:rsidP="00387E13">
      <w:pPr>
        <w:pStyle w:val="Title"/>
      </w:pPr>
    </w:p>
    <w:p w:rsidR="00387E13" w:rsidRDefault="00387E13" w:rsidP="00387E13">
      <w:pPr>
        <w:pStyle w:val="Title"/>
      </w:pPr>
    </w:p>
    <w:p w:rsidR="00387E13" w:rsidRDefault="00387E13" w:rsidP="00387E13">
      <w:pPr>
        <w:pStyle w:val="Title"/>
      </w:pPr>
    </w:p>
    <w:p w:rsidR="00387E13" w:rsidRPr="00A62C95" w:rsidRDefault="00387E13" w:rsidP="00A62C95">
      <w:pPr>
        <w:pStyle w:val="Title"/>
        <w:jc w:val="center"/>
        <w:rPr>
          <w:i/>
        </w:rPr>
      </w:pPr>
    </w:p>
    <w:p w:rsidR="00000000" w:rsidRPr="00A62C95" w:rsidRDefault="00387E13" w:rsidP="00A62C95">
      <w:pPr>
        <w:pStyle w:val="Title"/>
        <w:jc w:val="center"/>
        <w:rPr>
          <w:b/>
          <w:i/>
          <w:sz w:val="48"/>
        </w:rPr>
      </w:pPr>
      <w:r w:rsidRPr="00A62C95">
        <w:rPr>
          <w:b/>
          <w:i/>
          <w:sz w:val="48"/>
        </w:rPr>
        <w:t>Accounting Fundamentals-Assessment 2</w:t>
      </w:r>
    </w:p>
    <w:p w:rsidR="00387E13" w:rsidRPr="00A62C95" w:rsidRDefault="00A62C95" w:rsidP="00A62C95">
      <w:pPr>
        <w:jc w:val="center"/>
        <w:rPr>
          <w:i/>
          <w:color w:val="17365D" w:themeColor="text2" w:themeShade="BF"/>
          <w:sz w:val="44"/>
          <w:szCs w:val="28"/>
        </w:rPr>
      </w:pPr>
      <w:r w:rsidRPr="00A62C95">
        <w:rPr>
          <w:i/>
          <w:color w:val="17365D" w:themeColor="text2" w:themeShade="BF"/>
          <w:sz w:val="44"/>
          <w:szCs w:val="28"/>
        </w:rPr>
        <w:t>LCBB4001</w:t>
      </w:r>
    </w:p>
    <w:p w:rsidR="00387E13" w:rsidRDefault="00387E13" w:rsidP="00387E13">
      <w:pPr>
        <w:rPr>
          <w:sz w:val="28"/>
          <w:szCs w:val="28"/>
        </w:rPr>
      </w:pPr>
    </w:p>
    <w:p w:rsidR="009017F6" w:rsidRDefault="009017F6" w:rsidP="00387E13">
      <w:pPr>
        <w:jc w:val="center"/>
        <w:rPr>
          <w:sz w:val="32"/>
          <w:szCs w:val="28"/>
        </w:rPr>
      </w:pPr>
    </w:p>
    <w:p w:rsidR="009017F6" w:rsidRDefault="009017F6" w:rsidP="00387E13">
      <w:pPr>
        <w:jc w:val="center"/>
        <w:rPr>
          <w:sz w:val="32"/>
          <w:szCs w:val="28"/>
        </w:rPr>
      </w:pPr>
    </w:p>
    <w:p w:rsidR="00387E13" w:rsidRDefault="00F32C82" w:rsidP="00387E13">
      <w:pPr>
        <w:jc w:val="center"/>
        <w:rPr>
          <w:sz w:val="32"/>
          <w:szCs w:val="28"/>
        </w:rPr>
      </w:pPr>
      <w:r w:rsidRPr="00F32C82">
        <w:rPr>
          <w:b/>
          <w:sz w:val="32"/>
          <w:szCs w:val="28"/>
        </w:rPr>
        <w:t xml:space="preserve"> </w:t>
      </w:r>
      <w:r w:rsidR="00387E13" w:rsidRPr="00F32C82">
        <w:rPr>
          <w:b/>
          <w:sz w:val="32"/>
          <w:szCs w:val="28"/>
          <w:highlight w:val="lightGray"/>
        </w:rPr>
        <w:t>Student name</w:t>
      </w:r>
      <w:r w:rsidR="00387E13" w:rsidRPr="00F32C82">
        <w:rPr>
          <w:sz w:val="32"/>
          <w:szCs w:val="28"/>
        </w:rPr>
        <w:t>: Georgiana Sima</w:t>
      </w:r>
    </w:p>
    <w:p w:rsidR="00387E13" w:rsidRDefault="00F32C82" w:rsidP="00F32C82">
      <w:pPr>
        <w:rPr>
          <w:sz w:val="32"/>
          <w:szCs w:val="28"/>
        </w:rPr>
      </w:pPr>
      <w:r>
        <w:rPr>
          <w:b/>
          <w:sz w:val="32"/>
          <w:szCs w:val="28"/>
        </w:rPr>
        <w:t xml:space="preserve">                                     </w:t>
      </w:r>
      <w:r w:rsidR="00387E13" w:rsidRPr="00F32C82">
        <w:rPr>
          <w:b/>
          <w:sz w:val="32"/>
          <w:szCs w:val="28"/>
          <w:highlight w:val="lightGray"/>
        </w:rPr>
        <w:t>Student number</w:t>
      </w:r>
      <w:r w:rsidR="00387E13">
        <w:rPr>
          <w:sz w:val="32"/>
          <w:szCs w:val="28"/>
        </w:rPr>
        <w:t>: 1919082</w:t>
      </w:r>
    </w:p>
    <w:p w:rsidR="00387E13" w:rsidRDefault="00F32C82" w:rsidP="00387E13">
      <w:pPr>
        <w:jc w:val="center"/>
        <w:rPr>
          <w:sz w:val="32"/>
          <w:szCs w:val="28"/>
        </w:rPr>
      </w:pPr>
      <w:r>
        <w:rPr>
          <w:b/>
          <w:sz w:val="32"/>
          <w:szCs w:val="28"/>
        </w:rPr>
        <w:t xml:space="preserve">        </w:t>
      </w:r>
      <w:r w:rsidRPr="00F32C82">
        <w:rPr>
          <w:b/>
          <w:sz w:val="32"/>
          <w:szCs w:val="28"/>
        </w:rPr>
        <w:t xml:space="preserve"> </w:t>
      </w:r>
      <w:r w:rsidR="00387E13" w:rsidRPr="00F32C82">
        <w:rPr>
          <w:b/>
          <w:sz w:val="32"/>
          <w:szCs w:val="28"/>
          <w:highlight w:val="lightGray"/>
        </w:rPr>
        <w:t>Lecturer</w:t>
      </w:r>
      <w:r w:rsidR="00387E13">
        <w:rPr>
          <w:sz w:val="32"/>
          <w:szCs w:val="28"/>
        </w:rPr>
        <w:t>: Dr. Widin Bongasu Sha’ven</w:t>
      </w:r>
    </w:p>
    <w:p w:rsidR="009017F6" w:rsidRDefault="009017F6" w:rsidP="00387E13">
      <w:pPr>
        <w:jc w:val="center"/>
        <w:rPr>
          <w:sz w:val="32"/>
          <w:szCs w:val="28"/>
        </w:rPr>
      </w:pPr>
    </w:p>
    <w:p w:rsidR="00C63867" w:rsidRDefault="00C63867" w:rsidP="00387E13">
      <w:pPr>
        <w:jc w:val="center"/>
        <w:rPr>
          <w:sz w:val="32"/>
          <w:szCs w:val="28"/>
        </w:rPr>
      </w:pPr>
    </w:p>
    <w:p w:rsidR="00C63867" w:rsidRDefault="00C63867">
      <w:pPr>
        <w:rPr>
          <w:sz w:val="32"/>
          <w:szCs w:val="28"/>
        </w:rPr>
      </w:pPr>
      <w:r>
        <w:rPr>
          <w:sz w:val="32"/>
          <w:szCs w:val="28"/>
        </w:rPr>
        <w:br w:type="page"/>
      </w:r>
      <w:r w:rsidR="00F32C82">
        <w:rPr>
          <w:sz w:val="32"/>
          <w:szCs w:val="28"/>
        </w:rPr>
        <w:lastRenderedPageBreak/>
        <w:t xml:space="preserve"> </w:t>
      </w:r>
    </w:p>
    <w:p w:rsidR="00387E13" w:rsidRDefault="00FA0793" w:rsidP="00387E13">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25pt;height:337.8pt">
            <v:imagedata r:id="rId8" o:title="geo 2"/>
          </v:shape>
        </w:pict>
      </w:r>
    </w:p>
    <w:p w:rsidR="00D47163" w:rsidRDefault="00D47163" w:rsidP="00387E13"/>
    <w:p w:rsidR="00D47163" w:rsidRDefault="00D47163">
      <w:r>
        <w:br w:type="page"/>
      </w:r>
    </w:p>
    <w:p w:rsidR="00387E13" w:rsidRDefault="00D47163" w:rsidP="00387E13">
      <w:pPr>
        <w:rPr>
          <w:b/>
          <w:sz w:val="32"/>
        </w:rPr>
      </w:pPr>
      <w:r w:rsidRPr="00D47163">
        <w:rPr>
          <w:b/>
          <w:sz w:val="32"/>
        </w:rPr>
        <w:lastRenderedPageBreak/>
        <w:t>Question  1</w:t>
      </w:r>
    </w:p>
    <w:p w:rsidR="00F440F9" w:rsidRPr="00F440F9" w:rsidRDefault="00F440F9" w:rsidP="00387E13">
      <w:pPr>
        <w:rPr>
          <w:sz w:val="24"/>
        </w:rPr>
      </w:pPr>
      <w:r>
        <w:rPr>
          <w:sz w:val="24"/>
        </w:rPr>
        <w:t>Variable costs:</w:t>
      </w:r>
    </w:p>
    <w:tbl>
      <w:tblPr>
        <w:tblW w:w="8335" w:type="dxa"/>
        <w:tblInd w:w="93" w:type="dxa"/>
        <w:tblLook w:val="04A0"/>
      </w:tblPr>
      <w:tblGrid>
        <w:gridCol w:w="4146"/>
        <w:gridCol w:w="4189"/>
      </w:tblGrid>
      <w:tr w:rsidR="006A03D0" w:rsidRPr="006A03D0" w:rsidTr="006A03D0">
        <w:trPr>
          <w:trHeight w:val="513"/>
        </w:trPr>
        <w:tc>
          <w:tcPr>
            <w:tcW w:w="4146" w:type="dxa"/>
            <w:tcBorders>
              <w:top w:val="single" w:sz="4" w:space="0" w:color="auto"/>
              <w:left w:val="single" w:sz="4" w:space="0" w:color="auto"/>
              <w:bottom w:val="single" w:sz="4" w:space="0" w:color="auto"/>
              <w:right w:val="single" w:sz="4" w:space="0" w:color="auto"/>
            </w:tcBorders>
            <w:shd w:val="clear" w:color="000000" w:fill="C5D9F1"/>
            <w:noWrap/>
            <w:vAlign w:val="bottom"/>
            <w:hideMark/>
          </w:tcPr>
          <w:p w:rsidR="006A03D0" w:rsidRPr="006A03D0" w:rsidRDefault="006A03D0" w:rsidP="006A03D0">
            <w:pPr>
              <w:spacing w:after="0" w:line="240" w:lineRule="auto"/>
              <w:rPr>
                <w:rFonts w:ascii="Calibri" w:eastAsia="Times New Roman" w:hAnsi="Calibri" w:cs="Calibri"/>
                <w:color w:val="000000"/>
              </w:rPr>
            </w:pPr>
            <w:r w:rsidRPr="006A03D0">
              <w:rPr>
                <w:rFonts w:ascii="Calibri" w:eastAsia="Times New Roman" w:hAnsi="Calibri" w:cs="Calibri"/>
                <w:color w:val="000000"/>
              </w:rPr>
              <w:t>Direct Labour</w:t>
            </w:r>
          </w:p>
        </w:tc>
        <w:tc>
          <w:tcPr>
            <w:tcW w:w="4189" w:type="dxa"/>
            <w:tcBorders>
              <w:top w:val="single" w:sz="4" w:space="0" w:color="auto"/>
              <w:left w:val="nil"/>
              <w:bottom w:val="nil"/>
              <w:right w:val="single" w:sz="4" w:space="0" w:color="auto"/>
            </w:tcBorders>
            <w:shd w:val="clear" w:color="000000" w:fill="F2F2F2"/>
            <w:noWrap/>
            <w:vAlign w:val="bottom"/>
            <w:hideMark/>
          </w:tcPr>
          <w:p w:rsidR="006A03D0" w:rsidRPr="006A03D0" w:rsidRDefault="006A03D0" w:rsidP="006A03D0">
            <w:pPr>
              <w:spacing w:after="0" w:line="240" w:lineRule="auto"/>
              <w:jc w:val="right"/>
              <w:rPr>
                <w:rFonts w:ascii="Calibri" w:eastAsia="Times New Roman" w:hAnsi="Calibri" w:cs="Calibri"/>
                <w:color w:val="000000"/>
              </w:rPr>
            </w:pPr>
            <w:r>
              <w:rPr>
                <w:rFonts w:ascii="Calibri" w:eastAsia="Times New Roman" w:hAnsi="Calibri" w:cs="Calibri"/>
                <w:color w:val="000000"/>
              </w:rPr>
              <w:t xml:space="preserve">                                                                    </w:t>
            </w:r>
            <w:r w:rsidRPr="006A03D0">
              <w:rPr>
                <w:rFonts w:ascii="Calibri" w:eastAsia="Times New Roman" w:hAnsi="Calibri" w:cs="Calibri"/>
                <w:color w:val="000000"/>
              </w:rPr>
              <w:t>£ 1.35</w:t>
            </w:r>
          </w:p>
        </w:tc>
      </w:tr>
      <w:tr w:rsidR="006A03D0" w:rsidRPr="006A03D0" w:rsidTr="006A03D0">
        <w:trPr>
          <w:trHeight w:val="513"/>
        </w:trPr>
        <w:tc>
          <w:tcPr>
            <w:tcW w:w="4146" w:type="dxa"/>
            <w:tcBorders>
              <w:top w:val="nil"/>
              <w:left w:val="single" w:sz="4" w:space="0" w:color="auto"/>
              <w:bottom w:val="single" w:sz="4" w:space="0" w:color="auto"/>
              <w:right w:val="single" w:sz="4" w:space="0" w:color="auto"/>
            </w:tcBorders>
            <w:shd w:val="clear" w:color="000000" w:fill="8DB4E3"/>
            <w:noWrap/>
            <w:vAlign w:val="bottom"/>
            <w:hideMark/>
          </w:tcPr>
          <w:p w:rsidR="006A03D0" w:rsidRPr="006A03D0" w:rsidRDefault="006A03D0" w:rsidP="006A03D0">
            <w:pPr>
              <w:spacing w:after="0" w:line="240" w:lineRule="auto"/>
              <w:rPr>
                <w:rFonts w:ascii="Calibri" w:eastAsia="Times New Roman" w:hAnsi="Calibri" w:cs="Calibri"/>
                <w:color w:val="000000"/>
              </w:rPr>
            </w:pPr>
            <w:r w:rsidRPr="006A03D0">
              <w:rPr>
                <w:rFonts w:ascii="Calibri" w:eastAsia="Times New Roman" w:hAnsi="Calibri" w:cs="Calibri"/>
                <w:color w:val="000000"/>
              </w:rPr>
              <w:t>Direct Materials</w:t>
            </w:r>
          </w:p>
        </w:tc>
        <w:tc>
          <w:tcPr>
            <w:tcW w:w="4189" w:type="dxa"/>
            <w:tcBorders>
              <w:top w:val="single" w:sz="4" w:space="0" w:color="auto"/>
              <w:left w:val="nil"/>
              <w:bottom w:val="single" w:sz="4" w:space="0" w:color="auto"/>
              <w:right w:val="single" w:sz="4" w:space="0" w:color="auto"/>
            </w:tcBorders>
            <w:shd w:val="clear" w:color="000000" w:fill="F2F2F2"/>
            <w:noWrap/>
            <w:vAlign w:val="bottom"/>
            <w:hideMark/>
          </w:tcPr>
          <w:p w:rsidR="006A03D0" w:rsidRPr="006A03D0" w:rsidRDefault="006A03D0" w:rsidP="006A03D0">
            <w:pPr>
              <w:spacing w:after="0" w:line="240" w:lineRule="auto"/>
              <w:jc w:val="right"/>
              <w:rPr>
                <w:rFonts w:ascii="Calibri" w:eastAsia="Times New Roman" w:hAnsi="Calibri" w:cs="Calibri"/>
                <w:color w:val="000000"/>
              </w:rPr>
            </w:pPr>
            <w:r w:rsidRPr="006A03D0">
              <w:rPr>
                <w:rFonts w:ascii="Calibri" w:eastAsia="Times New Roman" w:hAnsi="Calibri" w:cs="Calibri"/>
                <w:color w:val="000000"/>
              </w:rPr>
              <w:t>£ 1.75</w:t>
            </w:r>
          </w:p>
        </w:tc>
      </w:tr>
      <w:tr w:rsidR="006A03D0" w:rsidRPr="006A03D0" w:rsidTr="006A03D0">
        <w:trPr>
          <w:trHeight w:val="513"/>
        </w:trPr>
        <w:tc>
          <w:tcPr>
            <w:tcW w:w="4146" w:type="dxa"/>
            <w:tcBorders>
              <w:top w:val="nil"/>
              <w:left w:val="single" w:sz="4" w:space="0" w:color="auto"/>
              <w:bottom w:val="single" w:sz="4" w:space="0" w:color="auto"/>
              <w:right w:val="single" w:sz="4" w:space="0" w:color="auto"/>
            </w:tcBorders>
            <w:shd w:val="clear" w:color="000000" w:fill="C5D9F1"/>
            <w:noWrap/>
            <w:vAlign w:val="bottom"/>
            <w:hideMark/>
          </w:tcPr>
          <w:p w:rsidR="006A03D0" w:rsidRPr="006A03D0" w:rsidRDefault="006A03D0" w:rsidP="006A03D0">
            <w:pPr>
              <w:spacing w:after="0" w:line="240" w:lineRule="auto"/>
              <w:rPr>
                <w:rFonts w:ascii="Calibri" w:eastAsia="Times New Roman" w:hAnsi="Calibri" w:cs="Calibri"/>
                <w:color w:val="000000"/>
              </w:rPr>
            </w:pPr>
            <w:r w:rsidRPr="006A03D0">
              <w:rPr>
                <w:rFonts w:ascii="Calibri" w:eastAsia="Times New Roman" w:hAnsi="Calibri" w:cs="Calibri"/>
                <w:color w:val="000000"/>
              </w:rPr>
              <w:t>Other Direct Costs</w:t>
            </w:r>
          </w:p>
        </w:tc>
        <w:tc>
          <w:tcPr>
            <w:tcW w:w="4189" w:type="dxa"/>
            <w:tcBorders>
              <w:top w:val="nil"/>
              <w:left w:val="nil"/>
              <w:bottom w:val="single" w:sz="4" w:space="0" w:color="auto"/>
              <w:right w:val="single" w:sz="4" w:space="0" w:color="auto"/>
            </w:tcBorders>
            <w:shd w:val="clear" w:color="000000" w:fill="F2F2F2"/>
            <w:noWrap/>
            <w:vAlign w:val="bottom"/>
            <w:hideMark/>
          </w:tcPr>
          <w:p w:rsidR="006A03D0" w:rsidRPr="006A03D0" w:rsidRDefault="006A03D0" w:rsidP="006A03D0">
            <w:pPr>
              <w:spacing w:after="0" w:line="240" w:lineRule="auto"/>
              <w:jc w:val="right"/>
              <w:rPr>
                <w:rFonts w:ascii="Calibri" w:eastAsia="Times New Roman" w:hAnsi="Calibri" w:cs="Calibri"/>
                <w:color w:val="000000"/>
              </w:rPr>
            </w:pPr>
            <w:r w:rsidRPr="006A03D0">
              <w:rPr>
                <w:rFonts w:ascii="Calibri" w:eastAsia="Times New Roman" w:hAnsi="Calibri" w:cs="Calibri"/>
                <w:color w:val="000000"/>
              </w:rPr>
              <w:t>£ 0.40</w:t>
            </w:r>
          </w:p>
        </w:tc>
      </w:tr>
    </w:tbl>
    <w:p w:rsidR="006A03D0" w:rsidRDefault="006A03D0" w:rsidP="00387E13">
      <w:pPr>
        <w:rPr>
          <w:b/>
          <w:sz w:val="32"/>
        </w:rPr>
      </w:pPr>
    </w:p>
    <w:p w:rsidR="00F440F9" w:rsidRDefault="00F440F9" w:rsidP="00387E13">
      <w:pPr>
        <w:rPr>
          <w:sz w:val="24"/>
        </w:rPr>
      </w:pPr>
      <w:r>
        <w:rPr>
          <w:sz w:val="24"/>
        </w:rPr>
        <w:t xml:space="preserve">Seling price for 1 unit = </w:t>
      </w:r>
      <w:r>
        <w:rPr>
          <w:rFonts w:cstheme="minorHAnsi"/>
          <w:sz w:val="24"/>
        </w:rPr>
        <w:t>£</w:t>
      </w:r>
      <w:r>
        <w:rPr>
          <w:sz w:val="24"/>
        </w:rPr>
        <w:t>5.75</w:t>
      </w:r>
    </w:p>
    <w:p w:rsidR="00F440F9" w:rsidRDefault="00F440F9" w:rsidP="00387E13">
      <w:pPr>
        <w:rPr>
          <w:sz w:val="24"/>
        </w:rPr>
      </w:pPr>
      <w:r>
        <w:rPr>
          <w:sz w:val="24"/>
        </w:rPr>
        <w:t xml:space="preserve">Fixed Cost of production = </w:t>
      </w:r>
      <w:r>
        <w:rPr>
          <w:rFonts w:cstheme="minorHAnsi"/>
          <w:sz w:val="24"/>
        </w:rPr>
        <w:t>£</w:t>
      </w:r>
      <w:r>
        <w:rPr>
          <w:sz w:val="24"/>
        </w:rPr>
        <w:t>180.000, and company currently sales 90.000 units</w:t>
      </w:r>
    </w:p>
    <w:p w:rsidR="00F440F9" w:rsidRDefault="00F440F9" w:rsidP="00387E13">
      <w:pPr>
        <w:rPr>
          <w:sz w:val="24"/>
        </w:rPr>
      </w:pPr>
    </w:p>
    <w:p w:rsidR="00FA0793" w:rsidRDefault="00FA0793" w:rsidP="00AF732B">
      <w:pPr>
        <w:rPr>
          <w:rFonts w:cstheme="minorHAnsi"/>
          <w:sz w:val="24"/>
        </w:rPr>
      </w:pPr>
    </w:p>
    <w:p w:rsidR="00FA0793" w:rsidRDefault="00FA0793" w:rsidP="00AF732B">
      <w:pPr>
        <w:rPr>
          <w:rFonts w:cstheme="minorHAnsi"/>
          <w:sz w:val="24"/>
        </w:rPr>
      </w:pPr>
      <w:r>
        <w:rPr>
          <w:rFonts w:cstheme="minorHAnsi"/>
          <w:sz w:val="24"/>
        </w:rPr>
        <w:pict>
          <v:shape id="_x0000_i1026" type="#_x0000_t75" style="width:468pt;height:330.15pt">
            <v:imagedata r:id="rId9" o:title="geo"/>
          </v:shape>
        </w:pict>
      </w:r>
    </w:p>
    <w:p w:rsidR="00AF732B" w:rsidRPr="00F440F9" w:rsidRDefault="00AF732B" w:rsidP="00387E13">
      <w:pPr>
        <w:rPr>
          <w:sz w:val="24"/>
        </w:rPr>
      </w:pPr>
    </w:p>
    <w:p w:rsidR="00FA0793" w:rsidRDefault="00F440F9" w:rsidP="00387E13">
      <w:pPr>
        <w:rPr>
          <w:sz w:val="24"/>
        </w:rPr>
      </w:pPr>
      <w:r>
        <w:rPr>
          <w:sz w:val="24"/>
        </w:rPr>
        <w:lastRenderedPageBreak/>
        <w:t xml:space="preserve"> </w:t>
      </w:r>
    </w:p>
    <w:p w:rsidR="003A4FD6" w:rsidRDefault="00FA0793" w:rsidP="00387E13">
      <w:pPr>
        <w:rPr>
          <w:b/>
          <w:sz w:val="32"/>
        </w:rPr>
      </w:pPr>
      <w:r>
        <w:rPr>
          <w:sz w:val="24"/>
        </w:rPr>
        <w:pict>
          <v:shape id="_x0000_i1027" type="#_x0000_t75" style="width:467.25pt;height:327.85pt">
            <v:imagedata r:id="rId10" o:title="geo 3"/>
          </v:shape>
        </w:pict>
      </w:r>
      <w:r w:rsidR="003A4FD6">
        <w:rPr>
          <w:b/>
          <w:sz w:val="32"/>
        </w:rPr>
        <w:t>d.)</w:t>
      </w:r>
    </w:p>
    <w:p w:rsidR="003A4FD6" w:rsidRDefault="003A4FD6" w:rsidP="00387E13">
      <w:pPr>
        <w:rPr>
          <w:sz w:val="24"/>
        </w:rPr>
      </w:pPr>
      <w:r>
        <w:rPr>
          <w:sz w:val="24"/>
        </w:rPr>
        <w:t xml:space="preserve">According to Atrill (2016), </w:t>
      </w:r>
      <w:r w:rsidR="00CE7FB3">
        <w:rPr>
          <w:sz w:val="24"/>
        </w:rPr>
        <w:t>Break-even analysis</w:t>
      </w:r>
      <w:r w:rsidR="00BD1FDB">
        <w:rPr>
          <w:sz w:val="24"/>
        </w:rPr>
        <w:t xml:space="preserve">(BEA) </w:t>
      </w:r>
      <w:r w:rsidR="00CE7FB3">
        <w:rPr>
          <w:sz w:val="24"/>
        </w:rPr>
        <w:t xml:space="preserve"> can reveal very useful insights between cost, profit and volume but it have its limitation. They can be resumed to three general problems :</w:t>
      </w:r>
    </w:p>
    <w:p w:rsidR="00CE7FB3" w:rsidRDefault="00BD1FDB" w:rsidP="00CE7FB3">
      <w:pPr>
        <w:pStyle w:val="ListParagraph"/>
        <w:numPr>
          <w:ilvl w:val="0"/>
          <w:numId w:val="3"/>
        </w:numPr>
        <w:rPr>
          <w:sz w:val="24"/>
        </w:rPr>
      </w:pPr>
      <w:r>
        <w:rPr>
          <w:sz w:val="24"/>
        </w:rPr>
        <w:t>One problem for BEA</w:t>
      </w:r>
      <w:r w:rsidR="00CE7FB3">
        <w:rPr>
          <w:sz w:val="24"/>
        </w:rPr>
        <w:t xml:space="preserve"> is that most businesses provide more than 1  service or product, this can cause trouble because additional sales of one product can affect another product sales of the business. Beside this there is a problem with finding the fixed costs associated with a specific service or product.</w:t>
      </w:r>
    </w:p>
    <w:p w:rsidR="00BD1FDB" w:rsidRDefault="00BD1FDB" w:rsidP="00CE7FB3">
      <w:pPr>
        <w:pStyle w:val="ListParagraph"/>
        <w:numPr>
          <w:ilvl w:val="0"/>
          <w:numId w:val="3"/>
        </w:numPr>
        <w:rPr>
          <w:sz w:val="24"/>
        </w:rPr>
      </w:pPr>
      <w:r>
        <w:rPr>
          <w:sz w:val="24"/>
        </w:rPr>
        <w:t>Furthermore some type of fixed costs over the whole range of activity are not fixed. This reveal us that in the process of making the assumptions about fixed costs, great care must be taken. Because many services or products will involve various types of fixed costs that are likely to be ‘stepped‘ at different points.</w:t>
      </w:r>
    </w:p>
    <w:p w:rsidR="00BD1FDB" w:rsidRDefault="00BD1FDB" w:rsidP="00CE7FB3">
      <w:pPr>
        <w:pStyle w:val="ListParagraph"/>
        <w:numPr>
          <w:ilvl w:val="0"/>
          <w:numId w:val="3"/>
        </w:numPr>
        <w:rPr>
          <w:sz w:val="24"/>
        </w:rPr>
      </w:pPr>
      <w:r>
        <w:rPr>
          <w:sz w:val="24"/>
        </w:rPr>
        <w:t xml:space="preserve">Non-linear relationship. BEA </w:t>
      </w:r>
      <w:r w:rsidR="007774D3">
        <w:rPr>
          <w:sz w:val="24"/>
        </w:rPr>
        <w:t>assumes that when plotted against volume of output, total revenue and variable costs are perfectly straight.</w:t>
      </w:r>
    </w:p>
    <w:p w:rsidR="003A4FD6" w:rsidRDefault="003A4FD6">
      <w:pPr>
        <w:rPr>
          <w:sz w:val="24"/>
        </w:rPr>
      </w:pPr>
    </w:p>
    <w:p w:rsidR="001D01F5" w:rsidRDefault="001D01F5">
      <w:pPr>
        <w:rPr>
          <w:b/>
          <w:sz w:val="36"/>
        </w:rPr>
      </w:pPr>
      <w:r w:rsidRPr="001D01F5">
        <w:rPr>
          <w:b/>
          <w:sz w:val="36"/>
        </w:rPr>
        <w:lastRenderedPageBreak/>
        <w:t>Question 2</w:t>
      </w:r>
    </w:p>
    <w:p w:rsidR="001D01F5" w:rsidRPr="00AB503D" w:rsidRDefault="001D01F5">
      <w:pPr>
        <w:rPr>
          <w:b/>
          <w:sz w:val="32"/>
        </w:rPr>
      </w:pPr>
      <w:r w:rsidRPr="00AB503D">
        <w:rPr>
          <w:b/>
          <w:sz w:val="32"/>
        </w:rPr>
        <w:t>a.)</w:t>
      </w:r>
    </w:p>
    <w:p w:rsidR="001D01F5" w:rsidRDefault="001D01F5" w:rsidP="001D01F5">
      <w:pPr>
        <w:pStyle w:val="ListParagraph"/>
        <w:ind w:left="780"/>
        <w:rPr>
          <w:sz w:val="24"/>
        </w:rPr>
      </w:pPr>
      <w:r>
        <w:rPr>
          <w:sz w:val="24"/>
        </w:rPr>
        <w:t xml:space="preserve">According to Wood (2011)  the financial accounting provide us information that happens in the past, backwords-looking and mainly for external users but there is a second side of accounting that looks forward and the insights of that analysis output is used within the organization by internal users / decision makers. </w:t>
      </w:r>
    </w:p>
    <w:p w:rsidR="006A1D6B" w:rsidRDefault="00AB503D" w:rsidP="006A1D6B">
      <w:pPr>
        <w:pStyle w:val="ListParagraph"/>
        <w:ind w:left="780"/>
        <w:rPr>
          <w:sz w:val="24"/>
        </w:rPr>
      </w:pPr>
      <w:r>
        <w:rPr>
          <w:sz w:val="24"/>
        </w:rPr>
        <w:t xml:space="preserve">It consists of two conponents, one where data is processed and transformed in reports </w:t>
      </w:r>
      <w:r w:rsidR="006A1D6B">
        <w:rPr>
          <w:sz w:val="24"/>
        </w:rPr>
        <w:t>for internal users and decisions makers, a</w:t>
      </w:r>
      <w:r w:rsidR="006A1D6B" w:rsidRPr="006A1D6B">
        <w:rPr>
          <w:sz w:val="24"/>
        </w:rPr>
        <w:t>nd another one, where cost are recorded.</w:t>
      </w:r>
    </w:p>
    <w:p w:rsidR="006A1D6B" w:rsidRDefault="006A1D6B" w:rsidP="006A1D6B">
      <w:pPr>
        <w:pStyle w:val="ListParagraph"/>
        <w:ind w:left="780"/>
        <w:rPr>
          <w:sz w:val="24"/>
        </w:rPr>
      </w:pPr>
      <w:r>
        <w:rPr>
          <w:sz w:val="24"/>
        </w:rPr>
        <w:t>Reporting component it’s named management accounting while the costs component it’s named costs accounting.</w:t>
      </w:r>
    </w:p>
    <w:p w:rsidR="006A1D6B" w:rsidRDefault="006A1D6B" w:rsidP="006A1D6B">
      <w:pPr>
        <w:pStyle w:val="ListParagraph"/>
        <w:ind w:left="780"/>
        <w:rPr>
          <w:sz w:val="24"/>
        </w:rPr>
      </w:pPr>
      <w:r>
        <w:rPr>
          <w:sz w:val="24"/>
        </w:rPr>
        <w:t>Management accounting resemble all about collecting costs aproprietely in order for the business to take correct decisions relating to selling and manufacturing their goods and services.</w:t>
      </w:r>
    </w:p>
    <w:p w:rsidR="006A1D6B" w:rsidRPr="006A1D6B" w:rsidRDefault="006A1D6B" w:rsidP="006A1D6B">
      <w:pPr>
        <w:pStyle w:val="ListParagraph"/>
        <w:ind w:left="780"/>
        <w:rPr>
          <w:sz w:val="24"/>
        </w:rPr>
      </w:pPr>
      <w:r>
        <w:rPr>
          <w:sz w:val="24"/>
        </w:rPr>
        <w:t xml:space="preserve">So the main difference between financial accounting and management accounting that creates an advantage for the business itself  is that in management accounting we are looking in the future rather than the past and the information it’s collected in managerial accounting it’s used for internal users and decisions makers rather than external users. </w:t>
      </w:r>
    </w:p>
    <w:p w:rsidR="00AB503D" w:rsidRDefault="00AB503D" w:rsidP="001D01F5">
      <w:pPr>
        <w:pStyle w:val="ListParagraph"/>
        <w:ind w:left="780"/>
        <w:rPr>
          <w:sz w:val="24"/>
        </w:rPr>
      </w:pPr>
    </w:p>
    <w:p w:rsidR="00AB503D" w:rsidRDefault="00C2313A" w:rsidP="00AB503D">
      <w:pPr>
        <w:rPr>
          <w:sz w:val="32"/>
        </w:rPr>
      </w:pPr>
      <w:r>
        <w:rPr>
          <w:b/>
          <w:sz w:val="32"/>
        </w:rPr>
        <w:t xml:space="preserve">b.) </w:t>
      </w:r>
    </w:p>
    <w:p w:rsidR="00C2313A" w:rsidRPr="00C2313A" w:rsidRDefault="00C2313A" w:rsidP="00AB503D">
      <w:pPr>
        <w:rPr>
          <w:sz w:val="24"/>
        </w:rPr>
      </w:pPr>
      <w:r w:rsidRPr="00C2313A">
        <w:rPr>
          <w:sz w:val="24"/>
        </w:rPr>
        <w:t>Management accounting can achieve the above objectives by have cost control , costing approaches and systems, budgeting and budgetary control to provide information for internal users.</w:t>
      </w:r>
    </w:p>
    <w:p w:rsidR="00C2313A" w:rsidRPr="00AB503D" w:rsidRDefault="00C2313A" w:rsidP="00AB503D">
      <w:pPr>
        <w:rPr>
          <w:b/>
          <w:sz w:val="32"/>
        </w:rPr>
      </w:pPr>
    </w:p>
    <w:p w:rsidR="00AB503D" w:rsidRPr="001D01F5" w:rsidRDefault="00AB503D" w:rsidP="001D01F5">
      <w:pPr>
        <w:pStyle w:val="ListParagraph"/>
        <w:ind w:left="780"/>
        <w:rPr>
          <w:sz w:val="24"/>
        </w:rPr>
      </w:pPr>
    </w:p>
    <w:p w:rsidR="006A1D6B" w:rsidRDefault="006A1D6B" w:rsidP="00387E13">
      <w:pPr>
        <w:rPr>
          <w:sz w:val="24"/>
        </w:rPr>
      </w:pPr>
    </w:p>
    <w:p w:rsidR="006A1D6B" w:rsidRDefault="006A1D6B">
      <w:pPr>
        <w:rPr>
          <w:sz w:val="24"/>
        </w:rPr>
      </w:pPr>
      <w:r>
        <w:rPr>
          <w:sz w:val="24"/>
        </w:rPr>
        <w:br w:type="page"/>
      </w:r>
    </w:p>
    <w:p w:rsidR="00F440F9" w:rsidRDefault="006A1D6B" w:rsidP="006A1D6B">
      <w:pPr>
        <w:jc w:val="center"/>
        <w:rPr>
          <w:b/>
          <w:sz w:val="28"/>
        </w:rPr>
      </w:pPr>
      <w:r>
        <w:rPr>
          <w:b/>
          <w:sz w:val="28"/>
        </w:rPr>
        <w:lastRenderedPageBreak/>
        <w:t>R</w:t>
      </w:r>
      <w:r w:rsidRPr="006A1D6B">
        <w:rPr>
          <w:b/>
          <w:sz w:val="28"/>
        </w:rPr>
        <w:t>eferences</w:t>
      </w:r>
    </w:p>
    <w:p w:rsidR="006A1D6B" w:rsidRPr="006A1D6B" w:rsidRDefault="006A1D6B" w:rsidP="006A1D6B">
      <w:pPr>
        <w:pStyle w:val="ListParagraph"/>
        <w:numPr>
          <w:ilvl w:val="0"/>
          <w:numId w:val="5"/>
        </w:numPr>
        <w:rPr>
          <w:sz w:val="28"/>
        </w:rPr>
      </w:pPr>
      <w:r w:rsidRPr="006A1D6B">
        <w:rPr>
          <w:sz w:val="28"/>
        </w:rPr>
        <w:t>Atrill, P. and McLaney, E. 2016 2017. Accountig and Finance for Non-Specialists. 10th Ed. Harlow, England: Pearson, pp.271 272</w:t>
      </w:r>
    </w:p>
    <w:p w:rsidR="006A1D6B" w:rsidRPr="006A1D6B" w:rsidRDefault="006A1D6B" w:rsidP="006A1D6B">
      <w:pPr>
        <w:rPr>
          <w:sz w:val="28"/>
        </w:rPr>
      </w:pPr>
    </w:p>
    <w:p w:rsidR="006A1D6B" w:rsidRPr="006A1D6B" w:rsidRDefault="006A1D6B" w:rsidP="006A1D6B">
      <w:pPr>
        <w:pStyle w:val="ListParagraph"/>
        <w:numPr>
          <w:ilvl w:val="0"/>
          <w:numId w:val="5"/>
        </w:numPr>
        <w:rPr>
          <w:sz w:val="28"/>
        </w:rPr>
      </w:pPr>
      <w:r w:rsidRPr="006A1D6B">
        <w:rPr>
          <w:sz w:val="28"/>
        </w:rPr>
        <w:t>Wood, F. and Sangster, A., 2011. Frank Wood’s Business Accounting 1. 12th  Ed. Financial Times Pretince Hall/Pearson pp.680 685</w:t>
      </w:r>
    </w:p>
    <w:sectPr w:rsidR="006A1D6B" w:rsidRPr="006A1D6B">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41F1" w:rsidRDefault="002F41F1" w:rsidP="00FA0793">
      <w:pPr>
        <w:spacing w:after="0" w:line="240" w:lineRule="auto"/>
      </w:pPr>
      <w:r>
        <w:separator/>
      </w:r>
    </w:p>
  </w:endnote>
  <w:endnote w:type="continuationSeparator" w:id="1">
    <w:p w:rsidR="002F41F1" w:rsidRDefault="002F41F1" w:rsidP="00FA079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41F1" w:rsidRDefault="002F41F1" w:rsidP="00FA0793">
      <w:pPr>
        <w:spacing w:after="0" w:line="240" w:lineRule="auto"/>
      </w:pPr>
      <w:r>
        <w:separator/>
      </w:r>
    </w:p>
  </w:footnote>
  <w:footnote w:type="continuationSeparator" w:id="1">
    <w:p w:rsidR="002F41F1" w:rsidRDefault="002F41F1" w:rsidP="00FA079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C517B1"/>
    <w:multiLevelType w:val="hybridMultilevel"/>
    <w:tmpl w:val="0FA8E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490663"/>
    <w:multiLevelType w:val="hybridMultilevel"/>
    <w:tmpl w:val="C7BAE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6D4E4D"/>
    <w:multiLevelType w:val="hybridMultilevel"/>
    <w:tmpl w:val="1EE0DDD2"/>
    <w:lvl w:ilvl="0" w:tplc="4EA0CFBC">
      <w:start w:val="1"/>
      <w:numFmt w:val="lowerLetter"/>
      <w:lvlText w:val="%1.)"/>
      <w:lvlJc w:val="left"/>
      <w:pPr>
        <w:ind w:left="780" w:hanging="72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75697C2E"/>
    <w:multiLevelType w:val="hybridMultilevel"/>
    <w:tmpl w:val="49001ACC"/>
    <w:lvl w:ilvl="0" w:tplc="91BC66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7A5F67A2"/>
    <w:multiLevelType w:val="hybridMultilevel"/>
    <w:tmpl w:val="809A14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useFELayout/>
  </w:compat>
  <w:rsids>
    <w:rsidRoot w:val="00387E13"/>
    <w:rsid w:val="001D01F5"/>
    <w:rsid w:val="002F41F1"/>
    <w:rsid w:val="00387E13"/>
    <w:rsid w:val="003A4516"/>
    <w:rsid w:val="003A4FD6"/>
    <w:rsid w:val="004372D9"/>
    <w:rsid w:val="0047462D"/>
    <w:rsid w:val="00476D7E"/>
    <w:rsid w:val="006A03D0"/>
    <w:rsid w:val="006A1D6B"/>
    <w:rsid w:val="007774D3"/>
    <w:rsid w:val="009017F6"/>
    <w:rsid w:val="00936727"/>
    <w:rsid w:val="00A62C95"/>
    <w:rsid w:val="00AB503D"/>
    <w:rsid w:val="00AF732B"/>
    <w:rsid w:val="00B66132"/>
    <w:rsid w:val="00BD1FDB"/>
    <w:rsid w:val="00C2313A"/>
    <w:rsid w:val="00C63867"/>
    <w:rsid w:val="00CE7FB3"/>
    <w:rsid w:val="00D47163"/>
    <w:rsid w:val="00DD39C3"/>
    <w:rsid w:val="00F32C82"/>
    <w:rsid w:val="00F340DF"/>
    <w:rsid w:val="00F440F9"/>
    <w:rsid w:val="00FA079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87E1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87E13"/>
    <w:rPr>
      <w:rFonts w:asciiTheme="majorHAnsi" w:eastAsiaTheme="majorEastAsia" w:hAnsiTheme="majorHAnsi" w:cstheme="majorBidi"/>
      <w:color w:val="17365D" w:themeColor="text2" w:themeShade="BF"/>
      <w:spacing w:val="5"/>
      <w:kern w:val="28"/>
      <w:sz w:val="52"/>
      <w:szCs w:val="52"/>
    </w:rPr>
  </w:style>
  <w:style w:type="paragraph" w:customStyle="1" w:styleId="Default">
    <w:name w:val="Default"/>
    <w:rsid w:val="00D47163"/>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3A4516"/>
    <w:pPr>
      <w:ind w:left="720"/>
      <w:contextualSpacing/>
    </w:pPr>
  </w:style>
  <w:style w:type="paragraph" w:styleId="Header">
    <w:name w:val="header"/>
    <w:basedOn w:val="Normal"/>
    <w:link w:val="HeaderChar"/>
    <w:uiPriority w:val="99"/>
    <w:semiHidden/>
    <w:unhideWhenUsed/>
    <w:rsid w:val="00FA079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A0793"/>
  </w:style>
  <w:style w:type="paragraph" w:styleId="Footer">
    <w:name w:val="footer"/>
    <w:basedOn w:val="Normal"/>
    <w:link w:val="FooterChar"/>
    <w:uiPriority w:val="99"/>
    <w:semiHidden/>
    <w:unhideWhenUsed/>
    <w:rsid w:val="00FA079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A0793"/>
  </w:style>
</w:styles>
</file>

<file path=word/webSettings.xml><?xml version="1.0" encoding="utf-8"?>
<w:webSettings xmlns:r="http://schemas.openxmlformats.org/officeDocument/2006/relationships" xmlns:w="http://schemas.openxmlformats.org/wordprocessingml/2006/main">
  <w:divs>
    <w:div w:id="202755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0EA12F-5211-474A-A320-5FD96C31B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6</Pages>
  <Words>457</Words>
  <Characters>2606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14</cp:revision>
  <dcterms:created xsi:type="dcterms:W3CDTF">2020-09-06T09:01:00Z</dcterms:created>
  <dcterms:modified xsi:type="dcterms:W3CDTF">2020-09-06T14:56:00Z</dcterms:modified>
</cp:coreProperties>
</file>