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F08FC" w14:textId="77777777" w:rsidR="0081179D" w:rsidRDefault="0081179D" w:rsidP="0081179D">
      <w:pPr>
        <w:spacing w:line="480" w:lineRule="auto"/>
        <w:jc w:val="center"/>
        <w:rPr>
          <w:rFonts w:eastAsia="Times New Roman"/>
          <w:lang w:val="en-US"/>
        </w:rPr>
      </w:pPr>
    </w:p>
    <w:p w14:paraId="7D887473" w14:textId="77777777" w:rsidR="0081179D" w:rsidRDefault="0081179D" w:rsidP="0081179D">
      <w:pPr>
        <w:spacing w:line="480" w:lineRule="auto"/>
        <w:jc w:val="center"/>
        <w:rPr>
          <w:rFonts w:eastAsia="Times New Roman"/>
          <w:lang w:val="en-US"/>
        </w:rPr>
      </w:pPr>
    </w:p>
    <w:p w14:paraId="4ACE0DDE" w14:textId="77777777" w:rsidR="00EF5C56" w:rsidRDefault="0081179D" w:rsidP="0081179D">
      <w:pPr>
        <w:spacing w:line="480" w:lineRule="auto"/>
        <w:jc w:val="center"/>
        <w:rPr>
          <w:rFonts w:eastAsia="Times New Roman"/>
          <w:b/>
          <w:bCs/>
          <w:sz w:val="48"/>
          <w:szCs w:val="48"/>
          <w:lang w:val="en-US"/>
        </w:rPr>
      </w:pPr>
      <w:r w:rsidRPr="00EF5C56">
        <w:rPr>
          <w:rFonts w:eastAsia="Times New Roman"/>
          <w:b/>
          <w:bCs/>
          <w:sz w:val="48"/>
          <w:szCs w:val="48"/>
          <w:lang w:val="en-US"/>
        </w:rPr>
        <w:t>The Impact of Sustainable Practices on The Overall Sustainability of Tourist Destinations</w:t>
      </w:r>
    </w:p>
    <w:p w14:paraId="75F533CF" w14:textId="77777777" w:rsidR="00EF5C56" w:rsidRDefault="00EF5C56" w:rsidP="0081179D">
      <w:pPr>
        <w:spacing w:line="480" w:lineRule="auto"/>
        <w:jc w:val="center"/>
        <w:rPr>
          <w:rFonts w:eastAsia="Times New Roman"/>
          <w:b/>
          <w:bCs/>
          <w:sz w:val="48"/>
          <w:szCs w:val="48"/>
          <w:lang w:val="en-US"/>
        </w:rPr>
      </w:pPr>
    </w:p>
    <w:p w14:paraId="303B68D3" w14:textId="77777777" w:rsidR="00EF5C56" w:rsidRDefault="00EF5C56" w:rsidP="0081179D">
      <w:pPr>
        <w:spacing w:line="480" w:lineRule="auto"/>
        <w:jc w:val="center"/>
        <w:rPr>
          <w:rFonts w:eastAsia="Times New Roman"/>
          <w:b/>
          <w:bCs/>
          <w:sz w:val="48"/>
          <w:szCs w:val="48"/>
          <w:lang w:val="en-US"/>
        </w:rPr>
      </w:pPr>
    </w:p>
    <w:p w14:paraId="0DC68141" w14:textId="77777777" w:rsidR="00EF5C56" w:rsidRPr="00EF5C56" w:rsidRDefault="00EF5C56" w:rsidP="0081179D">
      <w:pPr>
        <w:spacing w:line="480" w:lineRule="auto"/>
        <w:jc w:val="center"/>
        <w:rPr>
          <w:rFonts w:eastAsia="Times New Roman"/>
          <w:b/>
          <w:bCs/>
          <w:sz w:val="36"/>
          <w:szCs w:val="36"/>
          <w:lang w:val="en-US"/>
        </w:rPr>
      </w:pPr>
      <w:r w:rsidRPr="00EF5C56">
        <w:rPr>
          <w:rFonts w:eastAsia="Times New Roman"/>
          <w:b/>
          <w:bCs/>
          <w:sz w:val="36"/>
          <w:szCs w:val="36"/>
          <w:lang w:val="en-US"/>
        </w:rPr>
        <w:t>Contemporary Themes</w:t>
      </w:r>
    </w:p>
    <w:p w14:paraId="5BC38901" w14:textId="77777777" w:rsidR="00EF5C56" w:rsidRPr="00EF5C56" w:rsidRDefault="00EF5C56" w:rsidP="0081179D">
      <w:pPr>
        <w:spacing w:line="480" w:lineRule="auto"/>
        <w:jc w:val="center"/>
        <w:rPr>
          <w:rFonts w:eastAsia="Times New Roman"/>
          <w:b/>
          <w:bCs/>
          <w:sz w:val="36"/>
          <w:szCs w:val="36"/>
          <w:lang w:val="en-US"/>
        </w:rPr>
      </w:pPr>
      <w:r w:rsidRPr="00EF5C56">
        <w:rPr>
          <w:rFonts w:eastAsia="Times New Roman"/>
          <w:b/>
          <w:bCs/>
          <w:sz w:val="36"/>
          <w:szCs w:val="36"/>
          <w:lang w:val="en-US"/>
        </w:rPr>
        <w:t>BMIH6001</w:t>
      </w:r>
    </w:p>
    <w:p w14:paraId="6060F8B7" w14:textId="77777777" w:rsidR="00EF5C56" w:rsidRPr="00EF5C56" w:rsidRDefault="00EF5C56" w:rsidP="0081179D">
      <w:pPr>
        <w:spacing w:line="480" w:lineRule="auto"/>
        <w:jc w:val="center"/>
        <w:rPr>
          <w:rFonts w:eastAsia="Times New Roman"/>
          <w:b/>
          <w:bCs/>
          <w:sz w:val="36"/>
          <w:szCs w:val="36"/>
          <w:lang w:val="en-US"/>
        </w:rPr>
      </w:pPr>
      <w:r w:rsidRPr="00EF5C56">
        <w:rPr>
          <w:rFonts w:eastAsia="Times New Roman"/>
          <w:b/>
          <w:bCs/>
          <w:sz w:val="36"/>
          <w:szCs w:val="36"/>
          <w:lang w:val="en-US"/>
        </w:rPr>
        <w:t xml:space="preserve">Student </w:t>
      </w:r>
    </w:p>
    <w:p w14:paraId="61B72915" w14:textId="77777777" w:rsidR="00EF5C56" w:rsidRPr="00EF5C56" w:rsidRDefault="00EF5C56" w:rsidP="0081179D">
      <w:pPr>
        <w:spacing w:line="480" w:lineRule="auto"/>
        <w:jc w:val="center"/>
        <w:rPr>
          <w:rFonts w:eastAsia="Times New Roman"/>
          <w:b/>
          <w:bCs/>
          <w:sz w:val="36"/>
          <w:szCs w:val="36"/>
          <w:lang w:val="en-US"/>
        </w:rPr>
      </w:pPr>
      <w:proofErr w:type="spellStart"/>
      <w:r w:rsidRPr="00EF5C56">
        <w:rPr>
          <w:rFonts w:eastAsia="Times New Roman"/>
          <w:b/>
          <w:bCs/>
          <w:sz w:val="36"/>
          <w:szCs w:val="36"/>
          <w:lang w:val="en-US"/>
        </w:rPr>
        <w:t>Andreea</w:t>
      </w:r>
      <w:proofErr w:type="spellEnd"/>
      <w:r w:rsidRPr="00EF5C56">
        <w:rPr>
          <w:rFonts w:eastAsia="Times New Roman"/>
          <w:b/>
          <w:bCs/>
          <w:sz w:val="36"/>
          <w:szCs w:val="36"/>
          <w:lang w:val="en-US"/>
        </w:rPr>
        <w:t xml:space="preserve"> Nicolae</w:t>
      </w:r>
    </w:p>
    <w:p w14:paraId="0467B0D6" w14:textId="77777777" w:rsidR="00EF5C56" w:rsidRPr="00EF5C56" w:rsidRDefault="00EF5C56" w:rsidP="0081179D">
      <w:pPr>
        <w:spacing w:line="480" w:lineRule="auto"/>
        <w:jc w:val="center"/>
        <w:rPr>
          <w:rFonts w:eastAsia="Times New Roman"/>
          <w:b/>
          <w:bCs/>
          <w:sz w:val="36"/>
          <w:szCs w:val="36"/>
          <w:lang w:val="en-US"/>
        </w:rPr>
      </w:pPr>
      <w:r w:rsidRPr="00EF5C56">
        <w:rPr>
          <w:rFonts w:eastAsia="Times New Roman"/>
          <w:b/>
          <w:bCs/>
          <w:sz w:val="36"/>
          <w:szCs w:val="36"/>
          <w:lang w:val="en-US"/>
        </w:rPr>
        <w:t>2019850</w:t>
      </w:r>
    </w:p>
    <w:p w14:paraId="5FBD841A" w14:textId="77777777" w:rsidR="00EF5C56" w:rsidRPr="00EF5C56" w:rsidRDefault="00EF5C56" w:rsidP="0081179D">
      <w:pPr>
        <w:spacing w:line="480" w:lineRule="auto"/>
        <w:jc w:val="center"/>
        <w:rPr>
          <w:rFonts w:eastAsia="Times New Roman"/>
          <w:b/>
          <w:bCs/>
          <w:sz w:val="36"/>
          <w:szCs w:val="36"/>
          <w:lang w:val="en-US"/>
        </w:rPr>
      </w:pPr>
      <w:r w:rsidRPr="00EF5C56">
        <w:rPr>
          <w:rFonts w:eastAsia="Times New Roman"/>
          <w:b/>
          <w:bCs/>
          <w:sz w:val="36"/>
          <w:szCs w:val="36"/>
          <w:lang w:val="en-US"/>
        </w:rPr>
        <w:t>Lecturer</w:t>
      </w:r>
    </w:p>
    <w:p w14:paraId="76E855DC" w14:textId="76ED9560" w:rsidR="0081179D" w:rsidRPr="0081179D" w:rsidRDefault="00EF5C56" w:rsidP="0081179D">
      <w:pPr>
        <w:spacing w:line="480" w:lineRule="auto"/>
        <w:jc w:val="center"/>
        <w:rPr>
          <w:rFonts w:eastAsia="Times New Roman"/>
          <w:b/>
          <w:bCs/>
          <w:lang w:val="en-US"/>
        </w:rPr>
      </w:pPr>
      <w:r w:rsidRPr="00EF5C56">
        <w:rPr>
          <w:rFonts w:eastAsia="Times New Roman"/>
          <w:b/>
          <w:bCs/>
          <w:sz w:val="36"/>
          <w:szCs w:val="36"/>
          <w:lang w:val="en-US"/>
        </w:rPr>
        <w:t xml:space="preserve">Giulia </w:t>
      </w:r>
      <w:proofErr w:type="spellStart"/>
      <w:r w:rsidRPr="00EF5C56">
        <w:rPr>
          <w:rFonts w:eastAsia="Times New Roman"/>
          <w:b/>
          <w:bCs/>
          <w:sz w:val="36"/>
          <w:szCs w:val="36"/>
          <w:lang w:val="en-US"/>
        </w:rPr>
        <w:t>Chifari</w:t>
      </w:r>
      <w:proofErr w:type="spellEnd"/>
      <w:r w:rsidR="0081179D" w:rsidRPr="0081179D">
        <w:rPr>
          <w:rFonts w:eastAsia="Times New Roman"/>
          <w:b/>
          <w:bCs/>
          <w:lang w:val="en-US"/>
        </w:rPr>
        <w:br w:type="page"/>
      </w:r>
    </w:p>
    <w:p w14:paraId="4A32E350" w14:textId="77777777" w:rsidR="0081179D" w:rsidRDefault="0081179D" w:rsidP="0081179D">
      <w:pPr>
        <w:spacing w:line="480" w:lineRule="auto"/>
        <w:jc w:val="center"/>
        <w:rPr>
          <w:rFonts w:eastAsia="Times New Roman"/>
          <w:lang w:val="en-US"/>
        </w:rPr>
      </w:pPr>
      <w:r>
        <w:rPr>
          <w:rFonts w:eastAsia="Times New Roman"/>
          <w:b/>
          <w:lang w:val="en-US"/>
        </w:rPr>
        <w:lastRenderedPageBreak/>
        <w:t>Introduction</w:t>
      </w:r>
    </w:p>
    <w:p w14:paraId="1D4760C9" w14:textId="77777777" w:rsidR="0081179D" w:rsidRDefault="0081179D" w:rsidP="00EF5C56">
      <w:pPr>
        <w:spacing w:line="360" w:lineRule="auto"/>
        <w:ind w:firstLine="720"/>
        <w:rPr>
          <w:rFonts w:eastAsia="Times New Roman"/>
          <w:lang w:val="en-US"/>
        </w:rPr>
      </w:pPr>
      <w:r>
        <w:rPr>
          <w:rFonts w:eastAsia="Times New Roman"/>
          <w:lang w:val="en-US"/>
        </w:rPr>
        <w:t xml:space="preserve">Interest in green and ecologically friendly hospitality-related products and services has grown significantly in recent decades as customers are more willing to spend more money on things that conserve the environment as society becomes more worried about the fragile environment. According to Meng and Han (2019), eco become a big business nowadays along with ecotourism, sustainable </w:t>
      </w:r>
      <w:proofErr w:type="gramStart"/>
      <w:r>
        <w:rPr>
          <w:rFonts w:eastAsia="Times New Roman"/>
          <w:lang w:val="en-US"/>
        </w:rPr>
        <w:t>tourism</w:t>
      </w:r>
      <w:proofErr w:type="gramEnd"/>
      <w:r>
        <w:rPr>
          <w:rFonts w:eastAsia="Times New Roman"/>
          <w:lang w:val="en-US"/>
        </w:rPr>
        <w:t xml:space="preserve"> and alternative tourism, which are becoming prominent in the tourism industry and the fastest-expanding categories within the travel and hospitality sector. </w:t>
      </w:r>
      <w:proofErr w:type="spellStart"/>
      <w:r>
        <w:rPr>
          <w:rFonts w:eastAsia="Times New Roman"/>
          <w:lang w:val="en-US"/>
        </w:rPr>
        <w:t>Woosnam</w:t>
      </w:r>
      <w:proofErr w:type="spellEnd"/>
      <w:r>
        <w:rPr>
          <w:rFonts w:eastAsia="Times New Roman"/>
          <w:lang w:val="en-US"/>
        </w:rPr>
        <w:t xml:space="preserve"> et al. (2021) argued that whether environmentally friendly items exist solely to earn money or offer the producers and service providers truly desire to assist in the conservation of the environment still needs to be answered.</w:t>
      </w:r>
    </w:p>
    <w:p w14:paraId="5658C800" w14:textId="77777777" w:rsidR="0081179D" w:rsidRDefault="0081179D" w:rsidP="00EF5C56">
      <w:pPr>
        <w:spacing w:line="360" w:lineRule="auto"/>
        <w:ind w:firstLine="720"/>
        <w:rPr>
          <w:rFonts w:eastAsia="Times New Roman"/>
          <w:lang w:val="en-US"/>
        </w:rPr>
      </w:pPr>
      <w:r>
        <w:rPr>
          <w:rFonts w:eastAsia="Times New Roman"/>
          <w:lang w:val="en-US"/>
        </w:rPr>
        <w:t>The World Tourism Organization reports that the total international arrivals are predicted to expand considerably until 2030, with an estimated 1.6 billion arrivals thereby likely to lead to a hotel business boom. As a critical component of the tourism industry playing a critical role in conserving and preserving the environment, hotels must find ways to avoid consuming massive amounts of resources, electricity, and water (</w:t>
      </w:r>
      <w:r>
        <w:rPr>
          <w:lang w:val="en-US"/>
        </w:rPr>
        <w:t>Brotherton, 2015)</w:t>
      </w:r>
      <w:r>
        <w:rPr>
          <w:rFonts w:eastAsia="Times New Roman"/>
          <w:lang w:val="en-US"/>
        </w:rPr>
        <w:t xml:space="preserve">. However, sustainable techniques not only facilitate the conservation of the environment but also help decrease costs, including closing down or ceasing operations on hotel floors during low season. </w:t>
      </w:r>
    </w:p>
    <w:p w14:paraId="26FD7EB2" w14:textId="77777777" w:rsidR="0081179D" w:rsidRDefault="0081179D" w:rsidP="00EF5C56">
      <w:pPr>
        <w:spacing w:line="360" w:lineRule="auto"/>
        <w:ind w:firstLine="720"/>
        <w:rPr>
          <w:rFonts w:eastAsia="Times New Roman"/>
          <w:lang w:val="en-US"/>
        </w:rPr>
      </w:pPr>
      <w:r>
        <w:rPr>
          <w:rFonts w:eastAsia="Times New Roman"/>
          <w:lang w:val="en-US"/>
        </w:rPr>
        <w:t>Furthermore, sustainability encompasses not just the natural environment but also society and the economy, and popularity continues to grow in contemporary society to address whether sustainable development is viable in this sector (Zhang et al., 2021). The public perception of a destination is driven by the admirable diverse natural resources and green practices, as a result making consumers a strong awareness of environmental conservation and preservation, which is evident in the fact that ecotourism and sustainable tourism practices are thriving in various regions.</w:t>
      </w:r>
      <w:r>
        <w:rPr>
          <w:lang w:val="en-US"/>
        </w:rPr>
        <w:t xml:space="preserve"> </w:t>
      </w:r>
      <w:r>
        <w:rPr>
          <w:rFonts w:eastAsia="Times New Roman"/>
          <w:lang w:val="en-US"/>
        </w:rPr>
        <w:t xml:space="preserve">This research investigates the relevance of sustainable techniques in the hotel industry while demonstrating its importance for sustainable tourist practices in the hotel and hospitality sector. </w:t>
      </w:r>
    </w:p>
    <w:p w14:paraId="65F22C35" w14:textId="77777777" w:rsidR="0081179D" w:rsidRDefault="0081179D" w:rsidP="0081179D">
      <w:pPr>
        <w:spacing w:line="480" w:lineRule="auto"/>
        <w:jc w:val="center"/>
        <w:rPr>
          <w:rFonts w:eastAsia="Times New Roman"/>
          <w:b/>
          <w:lang w:val="en-US"/>
        </w:rPr>
      </w:pPr>
      <w:r>
        <w:rPr>
          <w:rFonts w:eastAsia="Times New Roman"/>
          <w:b/>
          <w:lang w:val="en-US"/>
        </w:rPr>
        <w:t>Overview of Literature</w:t>
      </w:r>
    </w:p>
    <w:p w14:paraId="1696DA47" w14:textId="77777777" w:rsidR="0081179D" w:rsidRDefault="0081179D" w:rsidP="00EF5C56">
      <w:pPr>
        <w:spacing w:line="360" w:lineRule="auto"/>
        <w:ind w:firstLine="720"/>
        <w:rPr>
          <w:rFonts w:eastAsia="Times New Roman"/>
          <w:lang w:val="en-US"/>
        </w:rPr>
      </w:pPr>
      <w:r>
        <w:rPr>
          <w:rFonts w:eastAsia="Times New Roman"/>
          <w:lang w:val="en-US"/>
        </w:rPr>
        <w:t>This paper applies the PESTEL framework to analyze and establish how various macro-environmental factors affect the sustainable practices in hotels and resorts and their impact on the overall sustainability of tourist destinations.</w:t>
      </w:r>
    </w:p>
    <w:p w14:paraId="34409449" w14:textId="77777777" w:rsidR="0081179D" w:rsidRDefault="0081179D" w:rsidP="0081179D">
      <w:pPr>
        <w:spacing w:line="480" w:lineRule="auto"/>
        <w:rPr>
          <w:rFonts w:eastAsia="Times New Roman"/>
          <w:b/>
          <w:lang w:val="en-US"/>
        </w:rPr>
      </w:pPr>
      <w:r>
        <w:rPr>
          <w:rFonts w:eastAsia="Times New Roman"/>
          <w:b/>
          <w:lang w:val="en-US"/>
        </w:rPr>
        <w:lastRenderedPageBreak/>
        <w:t>Political</w:t>
      </w:r>
    </w:p>
    <w:p w14:paraId="2C857ABB" w14:textId="77777777" w:rsidR="0081179D" w:rsidRDefault="0081179D" w:rsidP="00EF5C56">
      <w:pPr>
        <w:pStyle w:val="NormalWeb"/>
        <w:spacing w:before="0" w:beforeAutospacing="0" w:after="0" w:afterAutospacing="0" w:line="360" w:lineRule="auto"/>
        <w:ind w:firstLine="720"/>
        <w:rPr>
          <w:rFonts w:eastAsia="Times New Roman"/>
          <w:lang w:val="en-US"/>
        </w:rPr>
      </w:pPr>
      <w:r>
        <w:rPr>
          <w:rFonts w:eastAsia="Times New Roman"/>
          <w:lang w:val="en-US"/>
        </w:rPr>
        <w:t xml:space="preserve">This research by </w:t>
      </w:r>
      <w:r>
        <w:rPr>
          <w:lang w:val="en-US"/>
        </w:rPr>
        <w:t xml:space="preserve">Chen et al. (2020) </w:t>
      </w:r>
      <w:r>
        <w:rPr>
          <w:rFonts w:eastAsia="Times New Roman"/>
          <w:lang w:val="en-US"/>
        </w:rPr>
        <w:t>examines the government's strategy toward tourist sustainability and the impact of government policies on the welfare of urban areas with the data obtained using the survey method, mass media reporting, and an unintentional interview. The findings showed that the rapid rise of the hospitality sector places numerous stresses on coastal zone areas, raises social disputes, causes exceptionally high job competition, and increases urbanization flows (</w:t>
      </w:r>
      <w:r>
        <w:rPr>
          <w:lang w:val="en-US"/>
        </w:rPr>
        <w:t>Chen et al., 2020)</w:t>
      </w:r>
      <w:r>
        <w:rPr>
          <w:rFonts w:eastAsia="Times New Roman"/>
          <w:lang w:val="en-US"/>
        </w:rPr>
        <w:t>. The pressure in coastal areas used as tourist attractions with an increasing expansion of holiday business also causes a significant urban relocation into such places. Meanwhile, such government policies </w:t>
      </w:r>
      <w:proofErr w:type="spellStart"/>
      <w:r>
        <w:rPr>
          <w:rFonts w:eastAsia="Times New Roman"/>
          <w:lang w:val="en-US"/>
        </w:rPr>
        <w:t>favour</w:t>
      </w:r>
      <w:proofErr w:type="spellEnd"/>
      <w:r>
        <w:rPr>
          <w:rFonts w:eastAsia="Times New Roman"/>
          <w:lang w:val="en-US"/>
        </w:rPr>
        <w:t xml:space="preserve"> expanding the tourism industry, resulting in weaker economic growth from other business activities and agricultural </w:t>
      </w:r>
      <w:proofErr w:type="spellStart"/>
      <w:r>
        <w:rPr>
          <w:rFonts w:eastAsia="Times New Roman"/>
          <w:lang w:val="en-US"/>
        </w:rPr>
        <w:t>proceses</w:t>
      </w:r>
      <w:proofErr w:type="spellEnd"/>
      <w:r>
        <w:rPr>
          <w:rFonts w:eastAsia="Times New Roman"/>
          <w:lang w:val="en-US"/>
        </w:rPr>
        <w:t xml:space="preserve">. The findings suggest that government policies and regulations focusing on developing the travel and tourism sector led to shifts in societal behavior, specifically </w:t>
      </w:r>
      <w:proofErr w:type="spellStart"/>
      <w:r>
        <w:rPr>
          <w:rFonts w:eastAsia="Times New Roman"/>
          <w:lang w:val="en-US"/>
        </w:rPr>
        <w:t>favouring</w:t>
      </w:r>
      <w:proofErr w:type="spellEnd"/>
      <w:r>
        <w:rPr>
          <w:rFonts w:eastAsia="Times New Roman"/>
          <w:lang w:val="en-US"/>
        </w:rPr>
        <w:t xml:space="preserve"> consumerism (</w:t>
      </w:r>
      <w:r>
        <w:rPr>
          <w:lang w:val="en-US"/>
        </w:rPr>
        <w:t>Chen et al., 2020)</w:t>
      </w:r>
      <w:r>
        <w:rPr>
          <w:rFonts w:eastAsia="Times New Roman"/>
          <w:lang w:val="en-US"/>
        </w:rPr>
        <w:t xml:space="preserve">. While these policies boost individual competitiveness and job rivalry, they also reduce overall social well-being and satisfaction. Government initiatives, regulations and policies are designed to boost the hospitality sector's sustainability instead of raising society's social costs. </w:t>
      </w:r>
    </w:p>
    <w:p w14:paraId="17C212FB" w14:textId="77777777" w:rsidR="0081179D" w:rsidRDefault="0081179D" w:rsidP="00EF5C56">
      <w:pPr>
        <w:spacing w:line="360" w:lineRule="auto"/>
        <w:ind w:firstLine="720"/>
        <w:rPr>
          <w:rFonts w:eastAsia="Times New Roman"/>
          <w:lang w:val="en-US"/>
        </w:rPr>
      </w:pPr>
      <w:r>
        <w:rPr>
          <w:rFonts w:eastAsia="Times New Roman"/>
          <w:lang w:val="en-US"/>
        </w:rPr>
        <w:t>Even though environmental pollution is becoming a growing major challenge, the government's role has become more significant thanks to the simultaneous implications associated with environmentally friendly innovation, resulting in an economic boom and a surge in the people's overall standard of life. Using data from Chinese publicly traded corporations from 2010 to 2019, the study by</w:t>
      </w:r>
      <w:r>
        <w:rPr>
          <w:lang w:val="en-US"/>
        </w:rPr>
        <w:t xml:space="preserve"> </w:t>
      </w:r>
      <w:r>
        <w:rPr>
          <w:rFonts w:eastAsia="Times New Roman"/>
          <w:lang w:val="en-US"/>
        </w:rPr>
        <w:t>Wang et al. (2022) investigated the relationship between tax incentives, subsidies, and green innovation through reviewing commercial green innovation. According to the data, tax breaks stimulate corporate green innovation, whereas subsidies do not affect innovative green practices. Furthermore, the findings show that the main line of influence of tax incentives is finance restrictions, as subsidies negate the favorable impact of tax incentives (Wang et al., 2022). That is, tax breaks and subsidies only have an impact on green innovation by state-owned companies, monopolies, and corporations considering the policy improvements at hand.</w:t>
      </w:r>
    </w:p>
    <w:p w14:paraId="0B5EDFC2" w14:textId="77777777" w:rsidR="0081179D" w:rsidRDefault="0081179D" w:rsidP="0081179D">
      <w:pPr>
        <w:spacing w:line="480" w:lineRule="auto"/>
        <w:rPr>
          <w:rFonts w:eastAsia="Times New Roman"/>
          <w:b/>
          <w:lang w:val="en-US"/>
        </w:rPr>
      </w:pPr>
      <w:r>
        <w:rPr>
          <w:rFonts w:eastAsia="Times New Roman"/>
          <w:b/>
          <w:lang w:val="en-US"/>
        </w:rPr>
        <w:t>Economic</w:t>
      </w:r>
    </w:p>
    <w:p w14:paraId="51BACE45" w14:textId="77777777" w:rsidR="0081179D" w:rsidRDefault="0081179D" w:rsidP="00EF5C56">
      <w:pPr>
        <w:spacing w:line="360" w:lineRule="auto"/>
        <w:ind w:firstLine="720"/>
        <w:rPr>
          <w:rFonts w:eastAsia="Times New Roman"/>
          <w:lang w:val="en-US"/>
        </w:rPr>
      </w:pPr>
      <w:r>
        <w:rPr>
          <w:rFonts w:eastAsia="Times New Roman"/>
          <w:lang w:val="en-US"/>
        </w:rPr>
        <w:t xml:space="preserve">Tourism typically utilizes resources from the environment, causing consumers to lobby for improved governance of the environment, which ultimately results in sustainability within the </w:t>
      </w:r>
      <w:r>
        <w:rPr>
          <w:rFonts w:eastAsia="Times New Roman"/>
          <w:lang w:val="en-US"/>
        </w:rPr>
        <w:lastRenderedPageBreak/>
        <w:t xml:space="preserve">sector. This study by Dalei et al. (2021) aimed to determine resort hotels' operational environmental sustainability procedures by identifying managers' perspectives and performance determinants. The findings suggest that installing key cards/sensors for lighting and energy-efficient light bulbs, employing energy-efficient equipment, installing multifaceted toilets alongside additional low-flow water-based technologies, reusing items, including cloth napkins and recycled water for gardening, and purchasing locally sourced goods were all executed at a significant level (Dalei et al., 2021). However, the sustainability accreditation initiative, in which the establishment of policies and desired outcomes, the use of alternative energy sources, and fuels and involvement in the execution of initiatives to offset carbon were minimal. </w:t>
      </w:r>
    </w:p>
    <w:p w14:paraId="06882122" w14:textId="77777777" w:rsidR="0081179D" w:rsidRDefault="0081179D" w:rsidP="00EF5C56">
      <w:pPr>
        <w:spacing w:line="360" w:lineRule="auto"/>
        <w:ind w:firstLine="720"/>
        <w:rPr>
          <w:rFonts w:eastAsia="Times New Roman"/>
          <w:lang w:val="en-US"/>
        </w:rPr>
      </w:pPr>
      <w:r>
        <w:rPr>
          <w:rFonts w:eastAsia="Times New Roman"/>
          <w:lang w:val="en-US"/>
        </w:rPr>
        <w:t>The research by</w:t>
      </w:r>
      <w:r>
        <w:rPr>
          <w:lang w:val="en-US"/>
        </w:rPr>
        <w:t xml:space="preserve"> </w:t>
      </w:r>
      <w:r>
        <w:rPr>
          <w:rFonts w:eastAsia="Times New Roman"/>
          <w:lang w:val="en-US"/>
        </w:rPr>
        <w:t>Chen et al. (2020) investigated the association between environmental suitability and tourism development to provide a sustainable ecotourism framework that balances commercial and environmental concerns in preserving a sustainable system with the government's policy interventions and support. Likewise, according to Meng and Han's (2019) results, many people, including tourists, local community representatives, civil administration associates, tour companies, and hoteliers servicing, perceive economic advantages, including jobs and opportunities for business and infrastructural development. However, the nation's allocation of both environmental and natural capital was discovered to be progressively deteriorating in addition to the vulnerability of the social environment </w:t>
      </w:r>
      <w:proofErr w:type="gramStart"/>
      <w:r>
        <w:rPr>
          <w:rFonts w:eastAsia="Times New Roman"/>
          <w:lang w:val="en-US"/>
        </w:rPr>
        <w:t>as a result of</w:t>
      </w:r>
      <w:proofErr w:type="gramEnd"/>
      <w:r>
        <w:rPr>
          <w:rFonts w:eastAsia="Times New Roman"/>
          <w:lang w:val="en-US"/>
        </w:rPr>
        <w:t xml:space="preserve"> excessive land utilization, external culture intrusion, and water and air pollution due to traffic congestion, solid wastes accumulation, carbon emissions, and sewage. According to Meena's (2020) research, supportive government policy interventions would ensure the successful protection of environmental and natural resources without jeopardizing the financial sustainability and social stability of locals within different destinations in search of valuable contributions to promote environmentally friendly destination management.</w:t>
      </w:r>
    </w:p>
    <w:p w14:paraId="2F6BD6B1" w14:textId="77777777" w:rsidR="0081179D" w:rsidRDefault="0081179D" w:rsidP="0081179D">
      <w:pPr>
        <w:spacing w:line="480" w:lineRule="auto"/>
        <w:rPr>
          <w:rFonts w:eastAsia="Times New Roman"/>
          <w:b/>
          <w:lang w:val="en-US"/>
        </w:rPr>
      </w:pPr>
      <w:r>
        <w:rPr>
          <w:rFonts w:eastAsia="Times New Roman"/>
          <w:b/>
          <w:lang w:val="en-US"/>
        </w:rPr>
        <w:t>Social</w:t>
      </w:r>
    </w:p>
    <w:p w14:paraId="571806C3" w14:textId="77777777" w:rsidR="0081179D" w:rsidRDefault="0081179D" w:rsidP="00EF5C56">
      <w:pPr>
        <w:spacing w:line="360" w:lineRule="auto"/>
        <w:ind w:firstLine="720"/>
        <w:rPr>
          <w:rFonts w:eastAsia="Times New Roman"/>
          <w:lang w:val="en-US"/>
        </w:rPr>
      </w:pPr>
      <w:r>
        <w:rPr>
          <w:rFonts w:eastAsia="Times New Roman"/>
          <w:lang w:val="en-US"/>
        </w:rPr>
        <w:t xml:space="preserve">Based on contemporary perspectives, the </w:t>
      </w:r>
      <w:proofErr w:type="gramStart"/>
      <w:r>
        <w:rPr>
          <w:rFonts w:eastAsia="Times New Roman"/>
          <w:lang w:val="en-US"/>
        </w:rPr>
        <w:t>views</w:t>
      </w:r>
      <w:proofErr w:type="gramEnd"/>
      <w:r>
        <w:rPr>
          <w:rFonts w:eastAsia="Times New Roman"/>
          <w:lang w:val="en-US"/>
        </w:rPr>
        <w:t xml:space="preserve"> and actions of consumers in tourist operations are critical for the success of sustainable tourism as their current choices will define an alternative general public's orientation towards tourism that will actively occur in the future. This study by Bezerra and Gomes (2019) aims to define statistical categories of tourists based on their declared environmental sustainability actions and mindsets toward sustainable tourism growth. The findings suggested that many customers are categorized as oriented toward </w:t>
      </w:r>
      <w:r>
        <w:rPr>
          <w:rFonts w:eastAsia="Times New Roman"/>
          <w:lang w:val="en-US"/>
        </w:rPr>
        <w:lastRenderedPageBreak/>
        <w:t>sustainable behavior type, whereas the study's examination of attitudes revealed that the majority are of a socioeconomic category (Bezerra &amp; Gomes, 2019). The research suggested that holidaymakers prioritize the destination's long-term economic status and overall health, achievable through tourism planning, efficient management, and public involvement in the travel and tourism sector.</w:t>
      </w:r>
    </w:p>
    <w:p w14:paraId="4FC84519" w14:textId="77777777" w:rsidR="0081179D" w:rsidRDefault="0081179D" w:rsidP="00EF5C56">
      <w:pPr>
        <w:spacing w:line="360" w:lineRule="auto"/>
        <w:ind w:firstLine="720"/>
        <w:rPr>
          <w:rFonts w:eastAsia="Times New Roman"/>
          <w:lang w:val="en-US"/>
        </w:rPr>
      </w:pPr>
      <w:r>
        <w:rPr>
          <w:rFonts w:eastAsia="Times New Roman"/>
          <w:lang w:val="en-US"/>
        </w:rPr>
        <w:t>The primary objective of Abbas et al.'s (2021) study seeks to express a viewpoint on the significance of knowing the local community's perceptions when undertaking a society-based corporate social responsibility effort. The findings show that a local community constitutes the consumer who participates in local-based CSR, yet they have unique customs, expectations, features, and needs that can or cannot be fulfilled by an organization's CSR program, assuming feedback from the community are considered when planning and implementing the initiative (Abbas et al., 2021). The findings of this research paper build its viewpoint on the hospitality sector setting, where the findings indicate that the local community's acceptance and embrace of sustainability initiatives determine the success of the hotels and tourism experiences.</w:t>
      </w:r>
    </w:p>
    <w:p w14:paraId="510FBD40" w14:textId="77777777" w:rsidR="0081179D" w:rsidRDefault="0081179D" w:rsidP="00EF5C56">
      <w:pPr>
        <w:spacing w:line="360" w:lineRule="auto"/>
        <w:rPr>
          <w:rFonts w:eastAsia="Times New Roman"/>
          <w:b/>
          <w:lang w:val="en-US"/>
        </w:rPr>
      </w:pPr>
      <w:r>
        <w:rPr>
          <w:rFonts w:eastAsia="Times New Roman"/>
          <w:b/>
          <w:lang w:val="en-US"/>
        </w:rPr>
        <w:t>Technological</w:t>
      </w:r>
    </w:p>
    <w:p w14:paraId="63DC330A" w14:textId="77777777" w:rsidR="0081179D" w:rsidRDefault="0081179D" w:rsidP="00EF5C56">
      <w:pPr>
        <w:spacing w:line="360" w:lineRule="auto"/>
        <w:ind w:firstLine="720"/>
        <w:rPr>
          <w:rFonts w:eastAsia="Times New Roman"/>
          <w:lang w:val="en-US"/>
        </w:rPr>
      </w:pPr>
      <w:r>
        <w:rPr>
          <w:rFonts w:eastAsia="Times New Roman"/>
          <w:lang w:val="en-US"/>
        </w:rPr>
        <w:t xml:space="preserve">The hospitality industry helps promote eco-friendly activities while facing numerous obstacles regarding consumer satisfaction and returning customers through innovations in water conservation, energy efficiency, and waste reduction. Lee and Chen (2020), in their study, seek to find out the level of satisfaction, customer behaviors, and attitudes that resulted from the environmentally responsible technological approach within the tourism sector and additionally to comprehend how satisfied workers are with environmentally friendly technologies in eco-friendly hotels. In agreement, the findings by </w:t>
      </w:r>
      <w:proofErr w:type="spellStart"/>
      <w:r>
        <w:rPr>
          <w:rFonts w:eastAsia="Times New Roman"/>
          <w:lang w:val="en-US"/>
        </w:rPr>
        <w:t>Mertzanis</w:t>
      </w:r>
      <w:proofErr w:type="spellEnd"/>
      <w:r>
        <w:rPr>
          <w:rFonts w:eastAsia="Times New Roman"/>
          <w:lang w:val="en-US"/>
        </w:rPr>
        <w:t xml:space="preserve"> et al. (2019) show that consumers are concerned about their wellness and sustainability, making it useful for the hospitality business to devote towards the environmental and health concerns of its clients and workers. According to Martín-Duque and Romero-Padilla (2023), promoting green technologies within the hotel business benefits the consumer and the natural environment by following the three Rs: recycling, reducing, and reusing. In addition, guests are growing increasingly worried about issues related to the environment; as a result, the tourism sector attempts to collaborate with them in maintaining all three pillars of purpose, which is beneficial to the sector (Laws et al., 2006). That means customers benefit from technological advancements due to emerging market developments and technological knowledge in unprecedented business times.</w:t>
      </w:r>
    </w:p>
    <w:p w14:paraId="119EEAF7" w14:textId="77777777" w:rsidR="0081179D" w:rsidRDefault="0081179D" w:rsidP="0081179D">
      <w:pPr>
        <w:spacing w:line="480" w:lineRule="auto"/>
        <w:rPr>
          <w:rFonts w:eastAsia="Times New Roman"/>
          <w:b/>
          <w:lang w:val="en-US"/>
        </w:rPr>
      </w:pPr>
      <w:r>
        <w:rPr>
          <w:rFonts w:eastAsia="Times New Roman"/>
          <w:b/>
          <w:lang w:val="en-US"/>
        </w:rPr>
        <w:lastRenderedPageBreak/>
        <w:t>Environmental</w:t>
      </w:r>
    </w:p>
    <w:p w14:paraId="18A8C187" w14:textId="77777777" w:rsidR="0081179D" w:rsidRDefault="0081179D" w:rsidP="00EF5C56">
      <w:pPr>
        <w:spacing w:line="360" w:lineRule="auto"/>
        <w:ind w:firstLine="720"/>
        <w:rPr>
          <w:rFonts w:eastAsia="Times New Roman"/>
          <w:lang w:val="en-US"/>
        </w:rPr>
      </w:pPr>
      <w:r>
        <w:rPr>
          <w:rFonts w:eastAsia="Times New Roman"/>
          <w:lang w:val="en-US"/>
        </w:rPr>
        <w:t>According to the WTO (2023), tourism is an industry that has grown by around twenty-five percent in the decade preceding and contributes to approximately 10% of the global economic output while additionally serving as among the primary generators of jobs. The study by Yousaf et al. (2020) outlines the most significant challenges associated with climate change to sustainable tourism, focusing on the significant discrepancies in understanding the hospitality industry's level of preparedness. In addition, the findings show that global climate change is a major societal concern and greatly impacts tourist expenditure, planning, demand, and operations. The results indicate that as the key climate decade begins, low sectoral readiness should be highly concerning for tourism stakeholders (Yousaf et al., 2020). The ecosystem and natural environment within the tourist destination over the past 30 years has not adequately prepared the sector even with the international treaties and agreements established to ensure sustainability practices in hospitality.</w:t>
      </w:r>
    </w:p>
    <w:p w14:paraId="1D150993" w14:textId="77777777" w:rsidR="0081179D" w:rsidRDefault="0081179D" w:rsidP="00EF5C56">
      <w:pPr>
        <w:spacing w:line="360" w:lineRule="auto"/>
        <w:rPr>
          <w:rFonts w:eastAsia="Times New Roman"/>
          <w:b/>
          <w:lang w:val="en-US"/>
        </w:rPr>
      </w:pPr>
      <w:r>
        <w:rPr>
          <w:rFonts w:eastAsia="Times New Roman"/>
          <w:b/>
          <w:lang w:val="en-US"/>
        </w:rPr>
        <w:t>Legal</w:t>
      </w:r>
    </w:p>
    <w:p w14:paraId="4B1D025A" w14:textId="77777777" w:rsidR="0081179D" w:rsidRDefault="0081179D" w:rsidP="00EF5C56">
      <w:pPr>
        <w:spacing w:line="360" w:lineRule="auto"/>
        <w:ind w:firstLine="720"/>
        <w:rPr>
          <w:rFonts w:eastAsia="Times New Roman"/>
          <w:lang w:val="en-US"/>
        </w:rPr>
      </w:pPr>
      <w:r>
        <w:rPr>
          <w:rFonts w:eastAsia="Times New Roman"/>
          <w:lang w:val="en-US"/>
        </w:rPr>
        <w:t xml:space="preserve">The findings additionally indicated that while over 99 per cent of hotel executives have </w:t>
      </w:r>
      <w:proofErr w:type="spellStart"/>
      <w:r>
        <w:rPr>
          <w:rFonts w:eastAsia="Times New Roman"/>
          <w:lang w:val="en-US"/>
        </w:rPr>
        <w:t>favourable</w:t>
      </w:r>
      <w:proofErr w:type="spellEnd"/>
      <w:r>
        <w:rPr>
          <w:rFonts w:eastAsia="Times New Roman"/>
          <w:lang w:val="en-US"/>
        </w:rPr>
        <w:t xml:space="preserve"> perspectives, their performance could be better partly because of the owners' lack of commitment and awareness (Cheung et al., 2021). The other corporate-level issues include the low use of government regulations and laws on the property and the need for more motivational and incentive mechanisms for greater success. However, this study focused on how the managers have embraced environmental sustainability practices at fundamental hotel locations and property levels where rules and initiatives are in place. The cost of implementing sustainable practices in hotels and resorts.</w:t>
      </w:r>
    </w:p>
    <w:p w14:paraId="32F00825" w14:textId="77777777" w:rsidR="0081179D" w:rsidRDefault="0081179D" w:rsidP="0081179D">
      <w:pPr>
        <w:spacing w:line="480" w:lineRule="auto"/>
        <w:jc w:val="center"/>
        <w:rPr>
          <w:rFonts w:eastAsia="Times New Roman"/>
          <w:b/>
          <w:lang w:val="en-US"/>
        </w:rPr>
      </w:pPr>
      <w:r>
        <w:rPr>
          <w:rFonts w:eastAsia="Times New Roman"/>
          <w:b/>
          <w:lang w:val="en-US"/>
        </w:rPr>
        <w:t>Application to the Hotel and Hospitality Sector</w:t>
      </w:r>
    </w:p>
    <w:p w14:paraId="3D7537ED" w14:textId="77777777" w:rsidR="0081179D" w:rsidRDefault="0081179D" w:rsidP="00EF5C56">
      <w:pPr>
        <w:spacing w:line="360" w:lineRule="auto"/>
        <w:ind w:firstLine="720"/>
        <w:rPr>
          <w:rFonts w:eastAsia="Times New Roman"/>
          <w:lang w:val="en-US"/>
        </w:rPr>
      </w:pPr>
      <w:r>
        <w:rPr>
          <w:rFonts w:eastAsia="Times New Roman"/>
          <w:lang w:val="en-US"/>
        </w:rPr>
        <w:t>This study has far-reaching ramifications for managers and policymakers as the results show how hospitality businesses may improve their sustainability performance and effectively satisfy the needs of their stakeholders by focusing on a broad spectrum of organizational domains, including marketing, manufacturing, finance, purchasing, R&amp;D, and HR. According to</w:t>
      </w:r>
      <w:r>
        <w:rPr>
          <w:lang w:val="en-US"/>
        </w:rPr>
        <w:t xml:space="preserve"> </w:t>
      </w:r>
      <w:r>
        <w:rPr>
          <w:rFonts w:eastAsia="Times New Roman"/>
          <w:lang w:val="en-US"/>
        </w:rPr>
        <w:t xml:space="preserve">Kaczmarek et al. (2021), sustainable development can be realized provided businesses take an all-encompassing approach to green design in their processes and operations through their products and services. Various approaches are insufficient for meeting the needs of all </w:t>
      </w:r>
      <w:r>
        <w:rPr>
          <w:rFonts w:eastAsia="Times New Roman"/>
          <w:lang w:val="en-US"/>
        </w:rPr>
        <w:lastRenderedPageBreak/>
        <w:t>stakeholders and achieving sustainable objectives, as this study demonstrates that green management has been highlighted as a distinct and powerful predictor of environmental sustainability (Keni et al., 2018). As a result, to address green issues associated with hospitality organizations' strategies and initiatives, the managers must focus on meeting the stakeholder's needs.</w:t>
      </w:r>
    </w:p>
    <w:p w14:paraId="54EF59AF" w14:textId="77777777" w:rsidR="0081179D" w:rsidRDefault="0081179D" w:rsidP="00EF5C56">
      <w:pPr>
        <w:spacing w:line="360" w:lineRule="auto"/>
        <w:ind w:firstLine="720"/>
        <w:rPr>
          <w:rFonts w:eastAsia="Times New Roman"/>
          <w:lang w:val="en-US"/>
        </w:rPr>
      </w:pPr>
      <w:r>
        <w:rPr>
          <w:rFonts w:eastAsia="Times New Roman"/>
          <w:lang w:val="en-US"/>
        </w:rPr>
        <w:t xml:space="preserve">Environment sustainability is an important component of the SDGs because it improves the overall business efficiency and all economic sectors by </w:t>
      </w:r>
      <w:proofErr w:type="spellStart"/>
      <w:r>
        <w:rPr>
          <w:rFonts w:eastAsia="Times New Roman"/>
          <w:lang w:val="en-US"/>
        </w:rPr>
        <w:t>minimising</w:t>
      </w:r>
      <w:proofErr w:type="spellEnd"/>
      <w:r>
        <w:rPr>
          <w:rFonts w:eastAsia="Times New Roman"/>
          <w:lang w:val="en-US"/>
        </w:rPr>
        <w:t xml:space="preserve"> wasteful resource consumption (</w:t>
      </w:r>
      <w:r>
        <w:rPr>
          <w:lang w:val="en-US"/>
        </w:rPr>
        <w:t>Conrady &amp; Buck, 2012)</w:t>
      </w:r>
      <w:r>
        <w:rPr>
          <w:rFonts w:eastAsia="Times New Roman"/>
          <w:lang w:val="en-US"/>
        </w:rPr>
        <w:t>. at the same time, introducing sustainable technological innovations to promote company efficiency while ensuring long-term economic growth, which benefits everyone in the community. Outstanding results can be accomplished by collaborating and exchanging best practices from the positive effects of the commitment to environmental sustainability (</w:t>
      </w:r>
      <w:proofErr w:type="spellStart"/>
      <w:r>
        <w:rPr>
          <w:lang w:val="en-US"/>
        </w:rPr>
        <w:t>Dütschke</w:t>
      </w:r>
      <w:proofErr w:type="spellEnd"/>
      <w:r>
        <w:rPr>
          <w:lang w:val="en-US"/>
        </w:rPr>
        <w:t xml:space="preserve"> et al., 2022)</w:t>
      </w:r>
      <w:r>
        <w:rPr>
          <w:rFonts w:eastAsia="Times New Roman"/>
          <w:lang w:val="en-US"/>
        </w:rPr>
        <w:t>. The hospitality sector must behave environmentally conscious to conserve the environment but also to maintain the sector's potential for growth and expansion, considering the sector relies heavily on sceneries and breathtaking panoramas that should be protected. Thus, the management of the hotels should establish continuous communication with each stakeholder to recognize and answer their demands and expectations to ensure the businesses remain competitive while promoting sustainable development (</w:t>
      </w:r>
      <w:proofErr w:type="spellStart"/>
      <w:r>
        <w:rPr>
          <w:rFonts w:eastAsia="Times New Roman"/>
          <w:lang w:val="en-US"/>
        </w:rPr>
        <w:t>Magdolen</w:t>
      </w:r>
      <w:proofErr w:type="spellEnd"/>
      <w:r>
        <w:rPr>
          <w:rFonts w:eastAsia="Times New Roman"/>
          <w:lang w:val="en-US"/>
        </w:rPr>
        <w:t xml:space="preserve"> et al., 2021). Many hotels are implementing sustainable practices, making the entire hospitality industry the best illustration of long-term success through environmentally friendly strategies (Lai &amp; Wong, 2020). As such, tourism plays an important role in many developing nations' economies, making it important for achieving SDGs, especially within the natural environment sector.</w:t>
      </w:r>
    </w:p>
    <w:p w14:paraId="7D507F90" w14:textId="77777777" w:rsidR="0081179D" w:rsidRDefault="0081179D" w:rsidP="0081179D">
      <w:pPr>
        <w:spacing w:line="480" w:lineRule="auto"/>
        <w:jc w:val="center"/>
        <w:rPr>
          <w:rFonts w:eastAsia="Times New Roman"/>
          <w:b/>
          <w:lang w:val="en-US"/>
        </w:rPr>
      </w:pPr>
      <w:r>
        <w:rPr>
          <w:rFonts w:eastAsia="Times New Roman"/>
          <w:b/>
          <w:lang w:val="en-US"/>
        </w:rPr>
        <w:t>Evaluation for Future Policy and Management Options</w:t>
      </w:r>
    </w:p>
    <w:p w14:paraId="143AB439" w14:textId="77777777" w:rsidR="0081179D" w:rsidRDefault="0081179D" w:rsidP="00EF5C56">
      <w:pPr>
        <w:spacing w:line="360" w:lineRule="auto"/>
        <w:ind w:firstLine="720"/>
        <w:rPr>
          <w:rFonts w:eastAsia="Times New Roman"/>
          <w:lang w:val="en-US"/>
        </w:rPr>
      </w:pPr>
      <w:r>
        <w:rPr>
          <w:rFonts w:eastAsia="Times New Roman"/>
          <w:lang w:val="en-US"/>
        </w:rPr>
        <w:t>As a result, policymakers need to establish an increasingly consistent and ongoing engagement with all stakeholders, considering how sustainability in the tourism sector remains a cross-cutting phenomenon (</w:t>
      </w:r>
      <w:r>
        <w:rPr>
          <w:lang w:val="en-US"/>
        </w:rPr>
        <w:t>Barr et al., 2011)</w:t>
      </w:r>
      <w:r>
        <w:rPr>
          <w:rFonts w:eastAsia="Times New Roman"/>
          <w:lang w:val="en-US"/>
        </w:rPr>
        <w:t>.</w:t>
      </w:r>
      <w:r>
        <w:rPr>
          <w:lang w:val="en-US"/>
        </w:rPr>
        <w:t xml:space="preserve"> </w:t>
      </w:r>
      <w:r>
        <w:rPr>
          <w:rFonts w:eastAsia="Times New Roman"/>
          <w:lang w:val="en-US"/>
        </w:rPr>
        <w:t xml:space="preserve">Hospitality businesses eventually understood their need to adjust to the new climate conditions, prompting them to engage in environmentally sound conduct and promote environmentally sustainable approaches. According to Clegg ET AL. (2020), through investment in green and zero-waste initiatives, the Sustainable Development Goals and innovative business models have been shown to generate sustainable economic development and income most efficiently in a country. This finding would imply developing </w:t>
      </w:r>
      <w:r>
        <w:rPr>
          <w:rFonts w:eastAsia="Times New Roman"/>
          <w:lang w:val="en-US"/>
        </w:rPr>
        <w:lastRenderedPageBreak/>
        <w:t xml:space="preserve">more holistic tourism regulations and supervising tourism's connection to the SDGs while promoting the hospitality industry by lowering taxation (Yousaf et al., 2020). In addition, it </w:t>
      </w:r>
      <w:proofErr w:type="spellStart"/>
      <w:r>
        <w:rPr>
          <w:rFonts w:eastAsia="Times New Roman"/>
          <w:lang w:val="en-US"/>
        </w:rPr>
        <w:t>incentivises</w:t>
      </w:r>
      <w:proofErr w:type="spellEnd"/>
      <w:r>
        <w:rPr>
          <w:rFonts w:eastAsia="Times New Roman"/>
          <w:lang w:val="en-US"/>
        </w:rPr>
        <w:t> tourism-related organizations to foster the green motives of tourism organizations and implement environmentally conscious business practices in the travel and tourism industry to realize the SDGs.</w:t>
      </w:r>
    </w:p>
    <w:p w14:paraId="2B209A64" w14:textId="77777777" w:rsidR="0081179D" w:rsidRDefault="0081179D" w:rsidP="00EF5C56">
      <w:pPr>
        <w:spacing w:line="360" w:lineRule="auto"/>
        <w:ind w:firstLine="720"/>
        <w:rPr>
          <w:rFonts w:eastAsia="Times New Roman"/>
          <w:lang w:val="en-US"/>
        </w:rPr>
      </w:pPr>
      <w:r>
        <w:rPr>
          <w:rFonts w:eastAsia="Times New Roman"/>
          <w:lang w:val="en-US"/>
        </w:rPr>
        <w:t>Sometimes it becomes difficult to conceptualize and effectively communicate the benefits of sustainable development initiatives to customers, brand operators, hotel owners, and different stakeholders, however, their overall acceptance is critical to the sustainability of any given initiative. Barr et al. (2011) noted that hotels operate under a distinct managerial and ownership structure, therefore indicating that stakeholder aspirations are not always aligned, forcing sustainability champions to draw attention to their finances. Executives in the hotel business who are obsessed with achieving the bottom line may be startled when they discover that green initiatives provide genuine revenue ramifications and cost savings (</w:t>
      </w:r>
      <w:r>
        <w:rPr>
          <w:lang w:val="en-US"/>
        </w:rPr>
        <w:t>Bezerra &amp; Gomes, 2019)</w:t>
      </w:r>
      <w:r>
        <w:rPr>
          <w:rFonts w:eastAsia="Times New Roman"/>
          <w:lang w:val="en-US"/>
        </w:rPr>
        <w:t>. In addition, the hotel owner ought to avoid focusing on implementing a strategy for sustainable development that might not operate following the oversight of its brand requirements.</w:t>
      </w:r>
    </w:p>
    <w:p w14:paraId="1CCFC433" w14:textId="77777777" w:rsidR="0081179D" w:rsidRDefault="0081179D" w:rsidP="00EF5C56">
      <w:pPr>
        <w:spacing w:line="360" w:lineRule="auto"/>
        <w:ind w:firstLine="720"/>
        <w:rPr>
          <w:rFonts w:eastAsia="Times New Roman"/>
          <w:lang w:val="en-US"/>
        </w:rPr>
      </w:pPr>
      <w:r>
        <w:rPr>
          <w:rFonts w:eastAsia="Times New Roman"/>
          <w:lang w:val="en-US"/>
        </w:rPr>
        <w:t>According to Cheung et al. (2021), presenting cost savings to the company could entail obtaining the go-ahead to take up the initiative of integrating its service offerings to match the demands of consumers. As guests have become more intrigued by sustainable products and services, there efforts will thereby be effectively reducing the environmental footprint and driving earnings, an approach that is necessary when businesses are looking to capitalize on this consumer appetite and elevate their market share (</w:t>
      </w:r>
      <w:r>
        <w:rPr>
          <w:lang w:val="en-US"/>
        </w:rPr>
        <w:t>Clegg et al., 2020)</w:t>
      </w:r>
      <w:r>
        <w:rPr>
          <w:rFonts w:eastAsia="Times New Roman"/>
          <w:lang w:val="en-US"/>
        </w:rPr>
        <w:t>. Similarly, substituting single-use containers with reusable alternatives could motivate visitors to engage in environmentally friendly actions while shifting accommodation expenditure towards more extraordinary sustainability items.</w:t>
      </w:r>
    </w:p>
    <w:p w14:paraId="69A69225" w14:textId="77777777" w:rsidR="0081179D" w:rsidRDefault="0081179D" w:rsidP="0081179D">
      <w:pPr>
        <w:spacing w:line="480" w:lineRule="auto"/>
        <w:jc w:val="center"/>
        <w:rPr>
          <w:rFonts w:eastAsia="Times New Roman"/>
          <w:b/>
          <w:lang w:val="en-US"/>
        </w:rPr>
      </w:pPr>
      <w:r>
        <w:rPr>
          <w:rFonts w:eastAsia="Times New Roman"/>
          <w:b/>
          <w:lang w:val="en-US"/>
        </w:rPr>
        <w:t>Conclusion</w:t>
      </w:r>
    </w:p>
    <w:p w14:paraId="3641896E" w14:textId="06D2CDA8" w:rsidR="0081179D" w:rsidRDefault="0081179D" w:rsidP="00EF5C56">
      <w:pPr>
        <w:spacing w:line="360" w:lineRule="auto"/>
        <w:rPr>
          <w:rFonts w:eastAsia="Times New Roman"/>
          <w:lang w:val="en-US"/>
        </w:rPr>
      </w:pPr>
      <w:r>
        <w:rPr>
          <w:rFonts w:eastAsia="Times New Roman"/>
          <w:lang w:val="en-US"/>
        </w:rPr>
        <w:tab/>
        <w:t xml:space="preserve">This study </w:t>
      </w:r>
      <w:r w:rsidR="00506B04">
        <w:rPr>
          <w:rFonts w:eastAsia="Times New Roman"/>
          <w:lang w:val="en-US"/>
        </w:rPr>
        <w:t>has explored</w:t>
      </w:r>
      <w:r>
        <w:rPr>
          <w:rFonts w:eastAsia="Times New Roman"/>
          <w:lang w:val="en-US"/>
        </w:rPr>
        <w:t xml:space="preserve"> the significance of regulations, policies, and institutions in the sustainability of the tourism industry by employing the PESTEL framework to strike the right equilibrium between the environmental, social, </w:t>
      </w:r>
      <w:proofErr w:type="gramStart"/>
      <w:r>
        <w:rPr>
          <w:rFonts w:eastAsia="Times New Roman"/>
          <w:lang w:val="en-US"/>
        </w:rPr>
        <w:t>cultural</w:t>
      </w:r>
      <w:proofErr w:type="gramEnd"/>
      <w:r>
        <w:rPr>
          <w:rFonts w:eastAsia="Times New Roman"/>
          <w:lang w:val="en-US"/>
        </w:rPr>
        <w:t xml:space="preserve"> and economic components of tourism development. The findings show that sustainable tourism also benefits local and nationwide economies, improves society, and protects the environment. Furthermore, it broadens tourism's significant impact on the conservation of biodiversity and alleviates poverty, and it attempts to </w:t>
      </w:r>
      <w:r>
        <w:rPr>
          <w:rFonts w:eastAsia="Times New Roman"/>
          <w:lang w:val="en-US"/>
        </w:rPr>
        <w:lastRenderedPageBreak/>
        <w:t>achieve the common objectives of the tourism industry's sustainable development. Sustainable travel is achievable because regulators and commercial and governmental organizations that develop rules, regulations, and guidelines play critical roles in accomplishing tourist environmental sustainability. However, the significance of policymakers, managers, and institutions, which enable technological innovation and policy enforcement, should not be overlooked in increasing the sustainability of the hospitality industry. As a result, government initiatives and hospitality sector players must embrace the changes and recast their practices to become important drivers of tourism sustainability.</w:t>
      </w:r>
    </w:p>
    <w:p w14:paraId="0B4221B2" w14:textId="77777777" w:rsidR="0081179D" w:rsidRDefault="0081179D" w:rsidP="00EF5C56">
      <w:pPr>
        <w:spacing w:line="360" w:lineRule="auto"/>
        <w:rPr>
          <w:rFonts w:eastAsia="Times New Roman"/>
          <w:lang w:val="en-US"/>
        </w:rPr>
      </w:pPr>
    </w:p>
    <w:p w14:paraId="03137040" w14:textId="77777777" w:rsidR="0081179D" w:rsidRDefault="0081179D" w:rsidP="00EF5C56">
      <w:pPr>
        <w:spacing w:line="360" w:lineRule="auto"/>
        <w:rPr>
          <w:rFonts w:eastAsia="Times New Roman"/>
          <w:lang w:val="en-US"/>
        </w:rPr>
      </w:pPr>
    </w:p>
    <w:p w14:paraId="1BC5FEC6" w14:textId="77777777" w:rsidR="0081179D" w:rsidRDefault="0081179D" w:rsidP="00EF5C56">
      <w:pPr>
        <w:spacing w:line="360" w:lineRule="auto"/>
        <w:rPr>
          <w:rFonts w:eastAsia="Times New Roman"/>
          <w:lang w:val="en-US"/>
        </w:rPr>
      </w:pPr>
      <w:r>
        <w:rPr>
          <w:rFonts w:eastAsia="Times New Roman"/>
          <w:lang w:val="en-US" w:eastAsia="en-US"/>
        </w:rPr>
        <w:br w:type="page"/>
      </w:r>
    </w:p>
    <w:p w14:paraId="15CBBC44" w14:textId="77777777" w:rsidR="0081179D" w:rsidRDefault="0081179D" w:rsidP="0081179D">
      <w:pPr>
        <w:spacing w:line="480" w:lineRule="auto"/>
        <w:jc w:val="center"/>
        <w:rPr>
          <w:rFonts w:eastAsia="Times New Roman"/>
          <w:b/>
          <w:lang w:val="en-US"/>
        </w:rPr>
      </w:pPr>
      <w:r>
        <w:rPr>
          <w:rFonts w:eastAsia="Times New Roman"/>
          <w:b/>
          <w:lang w:val="en-US"/>
        </w:rPr>
        <w:lastRenderedPageBreak/>
        <w:t>References</w:t>
      </w:r>
    </w:p>
    <w:p w14:paraId="44022803"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Abbas, J., Mubeen, R., </w:t>
      </w:r>
      <w:proofErr w:type="spellStart"/>
      <w:r>
        <w:rPr>
          <w:lang w:val="en-US"/>
        </w:rPr>
        <w:t>Iorember</w:t>
      </w:r>
      <w:proofErr w:type="spellEnd"/>
      <w:r>
        <w:rPr>
          <w:lang w:val="en-US"/>
        </w:rPr>
        <w:t xml:space="preserve">, P. T., Raza, S., &amp; </w:t>
      </w:r>
      <w:proofErr w:type="spellStart"/>
      <w:r>
        <w:rPr>
          <w:lang w:val="en-US"/>
        </w:rPr>
        <w:t>Mamirkulova</w:t>
      </w:r>
      <w:proofErr w:type="spellEnd"/>
      <w:r>
        <w:rPr>
          <w:lang w:val="en-US"/>
        </w:rPr>
        <w:t xml:space="preserve">, G. (2021). Exploring the impact of COVID-19 on tourism: Transformational potential and implications for a sustainable recovery of the travel and leisure industry. </w:t>
      </w:r>
      <w:r>
        <w:rPr>
          <w:rStyle w:val="Emphasis"/>
          <w:lang w:val="en-US"/>
        </w:rPr>
        <w:t>Current Research in Behavioral Sciences</w:t>
      </w:r>
      <w:r>
        <w:rPr>
          <w:lang w:val="en-US"/>
        </w:rPr>
        <w:t xml:space="preserve">, </w:t>
      </w:r>
      <w:r>
        <w:rPr>
          <w:rStyle w:val="Emphasis"/>
          <w:lang w:val="en-US"/>
        </w:rPr>
        <w:t>2</w:t>
      </w:r>
      <w:r>
        <w:rPr>
          <w:lang w:val="en-US"/>
        </w:rPr>
        <w:t xml:space="preserve">, 100033. </w:t>
      </w:r>
      <w:hyperlink r:id="rId6" w:history="1">
        <w:r>
          <w:rPr>
            <w:rStyle w:val="Hyperlink"/>
            <w:lang w:val="en-US"/>
          </w:rPr>
          <w:t>https://doi.org/10.1016/j.crbeha.2021.100033</w:t>
        </w:r>
      </w:hyperlink>
    </w:p>
    <w:p w14:paraId="21C5D47B"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Barr, S., Shaw, G., &amp; Coles, T. (2011). Sustainable lifestyles: Sites, practices, and policy. </w:t>
      </w:r>
      <w:r>
        <w:rPr>
          <w:rStyle w:val="Emphasis"/>
          <w:lang w:val="en-US"/>
        </w:rPr>
        <w:t>Environment and Planning A: Economy and Space</w:t>
      </w:r>
      <w:r>
        <w:rPr>
          <w:lang w:val="en-US"/>
        </w:rPr>
        <w:t xml:space="preserve">, </w:t>
      </w:r>
      <w:r>
        <w:rPr>
          <w:rStyle w:val="Emphasis"/>
          <w:lang w:val="en-US"/>
        </w:rPr>
        <w:t>43</w:t>
      </w:r>
      <w:r>
        <w:rPr>
          <w:lang w:val="en-US"/>
        </w:rPr>
        <w:t xml:space="preserve">(12), 3011-3029. </w:t>
      </w:r>
      <w:hyperlink r:id="rId7" w:history="1">
        <w:r>
          <w:rPr>
            <w:rStyle w:val="Hyperlink"/>
            <w:lang w:val="en-US"/>
          </w:rPr>
          <w:t>https://doi.org/10.1068/a43529</w:t>
        </w:r>
      </w:hyperlink>
    </w:p>
    <w:p w14:paraId="3D7540E9"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Bezerra, G. C., &amp; Gomes, C. F. (2019). Determinants of passenger loyalty in multi-airport regions: Implications for tourism destination. </w:t>
      </w:r>
      <w:r>
        <w:rPr>
          <w:rStyle w:val="Emphasis"/>
          <w:lang w:val="en-US"/>
        </w:rPr>
        <w:t>Tourism Management Perspectives</w:t>
      </w:r>
      <w:r>
        <w:rPr>
          <w:lang w:val="en-US"/>
        </w:rPr>
        <w:t xml:space="preserve">, </w:t>
      </w:r>
      <w:r>
        <w:rPr>
          <w:rStyle w:val="Emphasis"/>
          <w:lang w:val="en-US"/>
        </w:rPr>
        <w:t>31</w:t>
      </w:r>
      <w:r>
        <w:rPr>
          <w:lang w:val="en-US"/>
        </w:rPr>
        <w:t xml:space="preserve">, 145-158. </w:t>
      </w:r>
      <w:hyperlink r:id="rId8" w:history="1">
        <w:r>
          <w:rPr>
            <w:rStyle w:val="Hyperlink"/>
            <w:lang w:val="en-US"/>
          </w:rPr>
          <w:t>https://doi.org/10.1016/j.tmp.2019.04.003</w:t>
        </w:r>
      </w:hyperlink>
    </w:p>
    <w:p w14:paraId="5647F665"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Dalei, N. N., Chourasia, A. S., Sethi, N., Balabantaray, S. R., &amp; </w:t>
      </w:r>
      <w:proofErr w:type="spellStart"/>
      <w:r>
        <w:rPr>
          <w:lang w:val="en-US"/>
        </w:rPr>
        <w:t>Pani</w:t>
      </w:r>
      <w:proofErr w:type="spellEnd"/>
      <w:r>
        <w:rPr>
          <w:lang w:val="en-US"/>
        </w:rPr>
        <w:t xml:space="preserve">, U. (2021). Roles of policies, </w:t>
      </w:r>
      <w:proofErr w:type="gramStart"/>
      <w:r>
        <w:rPr>
          <w:lang w:val="en-US"/>
        </w:rPr>
        <w:t>regulations</w:t>
      </w:r>
      <w:proofErr w:type="gramEnd"/>
      <w:r>
        <w:rPr>
          <w:lang w:val="en-US"/>
        </w:rPr>
        <w:t xml:space="preserve"> and institutions in sustainability of ocean tourism. </w:t>
      </w:r>
      <w:r>
        <w:rPr>
          <w:i/>
          <w:iCs/>
          <w:lang w:val="en-US"/>
        </w:rPr>
        <w:t xml:space="preserve">Journal of Infrastructure, </w:t>
      </w:r>
      <w:proofErr w:type="gramStart"/>
      <w:r>
        <w:rPr>
          <w:i/>
          <w:iCs/>
          <w:lang w:val="en-US"/>
        </w:rPr>
        <w:t>Policy</w:t>
      </w:r>
      <w:proofErr w:type="gramEnd"/>
      <w:r>
        <w:rPr>
          <w:i/>
          <w:iCs/>
          <w:lang w:val="en-US"/>
        </w:rPr>
        <w:t xml:space="preserve"> and Development</w:t>
      </w:r>
      <w:r>
        <w:rPr>
          <w:lang w:val="en-US"/>
        </w:rPr>
        <w:t>, </w:t>
      </w:r>
      <w:r>
        <w:rPr>
          <w:i/>
          <w:iCs/>
          <w:lang w:val="en-US"/>
        </w:rPr>
        <w:t>5</w:t>
      </w:r>
      <w:r>
        <w:rPr>
          <w:lang w:val="en-US"/>
        </w:rPr>
        <w:t>(2), 1295.</w:t>
      </w:r>
    </w:p>
    <w:p w14:paraId="21C47309" w14:textId="77777777" w:rsidR="0081179D" w:rsidRDefault="0081179D" w:rsidP="00EF5C56">
      <w:pPr>
        <w:pStyle w:val="NormalWeb"/>
        <w:spacing w:before="0" w:beforeAutospacing="0" w:after="0" w:afterAutospacing="0" w:line="360" w:lineRule="auto"/>
        <w:ind w:left="720" w:hanging="720"/>
        <w:rPr>
          <w:lang w:val="en-US"/>
        </w:rPr>
      </w:pPr>
      <w:r>
        <w:rPr>
          <w:lang w:val="en-US"/>
        </w:rPr>
        <w:t>Wang, C., Chen, P., Hao, Y., &amp; Dagestani, A. A. (2022). Tax incentives and green innovation—the mediating role of financing constraints and the moderating role of subsidies. </w:t>
      </w:r>
      <w:r>
        <w:rPr>
          <w:i/>
          <w:iCs/>
          <w:lang w:val="en-US"/>
        </w:rPr>
        <w:t>Frontiers in Environmental Science</w:t>
      </w:r>
      <w:r>
        <w:rPr>
          <w:lang w:val="en-US"/>
        </w:rPr>
        <w:t>, </w:t>
      </w:r>
      <w:r>
        <w:rPr>
          <w:i/>
          <w:iCs/>
          <w:lang w:val="en-US"/>
        </w:rPr>
        <w:t>10</w:t>
      </w:r>
      <w:r>
        <w:rPr>
          <w:lang w:val="en-US"/>
        </w:rPr>
        <w:t>, 1067534.</w:t>
      </w:r>
    </w:p>
    <w:p w14:paraId="087DDACB"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Brotherton, B. (2015). </w:t>
      </w:r>
      <w:r>
        <w:rPr>
          <w:rStyle w:val="Emphasis"/>
          <w:lang w:val="en-US"/>
        </w:rPr>
        <w:t>Researching hospitality and tourism</w:t>
      </w:r>
      <w:r>
        <w:rPr>
          <w:lang w:val="en-US"/>
        </w:rPr>
        <w:t xml:space="preserve">. SAGE Publications. </w:t>
      </w:r>
    </w:p>
    <w:p w14:paraId="5F3F4BE6"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Chen, M., Demir, E., García-Gómez, C. D., &amp; Zaremba, A. (2020). The impact of policy responses to COVID-19 on U.S. travel and leisure companies. </w:t>
      </w:r>
      <w:r>
        <w:rPr>
          <w:rStyle w:val="Emphasis"/>
          <w:lang w:val="en-US"/>
        </w:rPr>
        <w:t>Annals of Tourism Research Empirical Insights</w:t>
      </w:r>
      <w:r>
        <w:rPr>
          <w:lang w:val="en-US"/>
        </w:rPr>
        <w:t xml:space="preserve">, </w:t>
      </w:r>
      <w:r>
        <w:rPr>
          <w:rStyle w:val="Emphasis"/>
          <w:lang w:val="en-US"/>
        </w:rPr>
        <w:t>1</w:t>
      </w:r>
      <w:r>
        <w:rPr>
          <w:lang w:val="en-US"/>
        </w:rPr>
        <w:t xml:space="preserve">(1), 100003. </w:t>
      </w:r>
      <w:hyperlink r:id="rId9" w:history="1">
        <w:r>
          <w:rPr>
            <w:rStyle w:val="Hyperlink"/>
            <w:lang w:val="en-US"/>
          </w:rPr>
          <w:t>https://doi.org/10.1016/j.annale.2020.100003</w:t>
        </w:r>
      </w:hyperlink>
    </w:p>
    <w:p w14:paraId="1A4FB290"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Cheung, C., Takashima, M., Choi, H. (., Yang, H., &amp; Tung, V. (2021). The impact of COVID-19 pandemic on the psychological needs of tourists: Implications for the travel and tourism industry. </w:t>
      </w:r>
      <w:r>
        <w:rPr>
          <w:rStyle w:val="Emphasis"/>
          <w:lang w:val="en-US"/>
        </w:rPr>
        <w:t>Journal of Travel &amp; Tourism Marketing</w:t>
      </w:r>
      <w:r>
        <w:rPr>
          <w:lang w:val="en-US"/>
        </w:rPr>
        <w:t xml:space="preserve">, </w:t>
      </w:r>
      <w:r>
        <w:rPr>
          <w:rStyle w:val="Emphasis"/>
          <w:lang w:val="en-US"/>
        </w:rPr>
        <w:t>38</w:t>
      </w:r>
      <w:r>
        <w:rPr>
          <w:lang w:val="en-US"/>
        </w:rPr>
        <w:t xml:space="preserve">(2), 155-166. </w:t>
      </w:r>
      <w:hyperlink r:id="rId10" w:history="1">
        <w:r>
          <w:rPr>
            <w:rStyle w:val="Hyperlink"/>
            <w:lang w:val="en-US"/>
          </w:rPr>
          <w:t>https://doi.org/10.1080/10548408.2021.1887055</w:t>
        </w:r>
      </w:hyperlink>
    </w:p>
    <w:p w14:paraId="7E820963"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Clegg, S. R., </w:t>
      </w:r>
      <w:proofErr w:type="spellStart"/>
      <w:r>
        <w:rPr>
          <w:lang w:val="en-US"/>
        </w:rPr>
        <w:t>Skyttermoen</w:t>
      </w:r>
      <w:proofErr w:type="spellEnd"/>
      <w:r>
        <w:rPr>
          <w:lang w:val="en-US"/>
        </w:rPr>
        <w:t xml:space="preserve">, T., &amp; </w:t>
      </w:r>
      <w:proofErr w:type="spellStart"/>
      <w:r>
        <w:rPr>
          <w:lang w:val="en-US"/>
        </w:rPr>
        <w:t>Vaagaasar</w:t>
      </w:r>
      <w:proofErr w:type="spellEnd"/>
      <w:r>
        <w:rPr>
          <w:lang w:val="en-US"/>
        </w:rPr>
        <w:t xml:space="preserve">, A. L. (2020). </w:t>
      </w:r>
      <w:r>
        <w:rPr>
          <w:rStyle w:val="Emphasis"/>
          <w:lang w:val="en-US"/>
        </w:rPr>
        <w:t>Project management: A value creation approach</w:t>
      </w:r>
      <w:r>
        <w:rPr>
          <w:lang w:val="en-US"/>
        </w:rPr>
        <w:t xml:space="preserve">. SAGE. </w:t>
      </w:r>
    </w:p>
    <w:p w14:paraId="5DAF1B51"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Conrady, R., &amp; Buck, M. (2012). </w:t>
      </w:r>
      <w:r>
        <w:rPr>
          <w:rStyle w:val="Emphasis"/>
          <w:lang w:val="en-US"/>
        </w:rPr>
        <w:t>Trends and Issues in Global Tourism 2012</w:t>
      </w:r>
      <w:r>
        <w:rPr>
          <w:lang w:val="en-US"/>
        </w:rPr>
        <w:t xml:space="preserve">. Springer Science &amp; Business Media. </w:t>
      </w:r>
    </w:p>
    <w:p w14:paraId="21B7D21D" w14:textId="77777777" w:rsidR="0081179D" w:rsidRDefault="0081179D" w:rsidP="00EF5C56">
      <w:pPr>
        <w:pStyle w:val="NormalWeb"/>
        <w:spacing w:before="0" w:beforeAutospacing="0" w:after="0" w:afterAutospacing="0" w:line="360" w:lineRule="auto"/>
        <w:ind w:left="720" w:hanging="720"/>
        <w:rPr>
          <w:lang w:val="en-US"/>
        </w:rPr>
      </w:pPr>
      <w:proofErr w:type="spellStart"/>
      <w:r>
        <w:rPr>
          <w:lang w:val="en-US"/>
        </w:rPr>
        <w:t>Dütschke</w:t>
      </w:r>
      <w:proofErr w:type="spellEnd"/>
      <w:r>
        <w:rPr>
          <w:lang w:val="en-US"/>
        </w:rPr>
        <w:t xml:space="preserve">, E., Engel, L., Theis, A., &amp; Hanss, D. (2022). Car driving, air travel or more sustainable transport? socio-psychological factors in everyday mobility and long-distance </w:t>
      </w:r>
      <w:r>
        <w:rPr>
          <w:lang w:val="en-US"/>
        </w:rPr>
        <w:lastRenderedPageBreak/>
        <w:t xml:space="preserve">leisure travel. </w:t>
      </w:r>
      <w:r>
        <w:rPr>
          <w:rStyle w:val="Emphasis"/>
          <w:lang w:val="en-US"/>
        </w:rPr>
        <w:t xml:space="preserve">Travel </w:t>
      </w:r>
      <w:proofErr w:type="spellStart"/>
      <w:r>
        <w:rPr>
          <w:rStyle w:val="Emphasis"/>
          <w:lang w:val="en-US"/>
        </w:rPr>
        <w:t>Behaviour</w:t>
      </w:r>
      <w:proofErr w:type="spellEnd"/>
      <w:r>
        <w:rPr>
          <w:rStyle w:val="Emphasis"/>
          <w:lang w:val="en-US"/>
        </w:rPr>
        <w:t xml:space="preserve"> and Society</w:t>
      </w:r>
      <w:r>
        <w:rPr>
          <w:lang w:val="en-US"/>
        </w:rPr>
        <w:t xml:space="preserve">, </w:t>
      </w:r>
      <w:r>
        <w:rPr>
          <w:rStyle w:val="Emphasis"/>
          <w:lang w:val="en-US"/>
        </w:rPr>
        <w:t>28</w:t>
      </w:r>
      <w:r>
        <w:rPr>
          <w:lang w:val="en-US"/>
        </w:rPr>
        <w:t xml:space="preserve">, 115-127. </w:t>
      </w:r>
      <w:hyperlink r:id="rId11" w:history="1">
        <w:r>
          <w:rPr>
            <w:rStyle w:val="Hyperlink"/>
            <w:lang w:val="en-US"/>
          </w:rPr>
          <w:t>https://doi.org/10.1016/j.tbs.2022.03.002</w:t>
        </w:r>
      </w:hyperlink>
    </w:p>
    <w:p w14:paraId="2404544A"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Jones, P., Hillier, D., &amp; Comfort, D. (2016). Sustainability in the hospitality industry. </w:t>
      </w:r>
      <w:r>
        <w:rPr>
          <w:rStyle w:val="Emphasis"/>
          <w:lang w:val="en-US"/>
        </w:rPr>
        <w:t>International Journal of Contemporary Hospitality Management</w:t>
      </w:r>
      <w:r>
        <w:rPr>
          <w:lang w:val="en-US"/>
        </w:rPr>
        <w:t xml:space="preserve">, </w:t>
      </w:r>
      <w:r>
        <w:rPr>
          <w:rStyle w:val="Emphasis"/>
          <w:lang w:val="en-US"/>
        </w:rPr>
        <w:t>28</w:t>
      </w:r>
      <w:r>
        <w:rPr>
          <w:lang w:val="en-US"/>
        </w:rPr>
        <w:t xml:space="preserve">(1), 36-67. </w:t>
      </w:r>
      <w:hyperlink r:id="rId12" w:history="1">
        <w:r>
          <w:rPr>
            <w:rStyle w:val="Hyperlink"/>
            <w:lang w:val="en-US"/>
          </w:rPr>
          <w:t>https://doi.org/10.1108/ijchm-11-2014-0572</w:t>
        </w:r>
      </w:hyperlink>
    </w:p>
    <w:p w14:paraId="552265BC"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Kaczmarek, T., Perez, K., Demir, E., &amp; Zaremba, A. (2021). How to survive a pandemic: The corporate resiliency of travel and leisure companies to the COVID-19 outbreak. </w:t>
      </w:r>
      <w:r>
        <w:rPr>
          <w:rStyle w:val="Emphasis"/>
          <w:lang w:val="en-US"/>
        </w:rPr>
        <w:t>Tourism Management</w:t>
      </w:r>
      <w:r>
        <w:rPr>
          <w:lang w:val="en-US"/>
        </w:rPr>
        <w:t xml:space="preserve">, </w:t>
      </w:r>
      <w:r>
        <w:rPr>
          <w:rStyle w:val="Emphasis"/>
          <w:lang w:val="en-US"/>
        </w:rPr>
        <w:t>84</w:t>
      </w:r>
      <w:r>
        <w:rPr>
          <w:lang w:val="en-US"/>
        </w:rPr>
        <w:t xml:space="preserve">, 104281. </w:t>
      </w:r>
      <w:hyperlink r:id="rId13" w:history="1">
        <w:r>
          <w:rPr>
            <w:rStyle w:val="Hyperlink"/>
            <w:lang w:val="en-US"/>
          </w:rPr>
          <w:t>https://doi.org/10.1016/j.tourman.2020.104281</w:t>
        </w:r>
      </w:hyperlink>
    </w:p>
    <w:p w14:paraId="23A5C8BF"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Keni, K., </w:t>
      </w:r>
      <w:proofErr w:type="spellStart"/>
      <w:r>
        <w:rPr>
          <w:lang w:val="en-US"/>
        </w:rPr>
        <w:t>Oktora</w:t>
      </w:r>
      <w:proofErr w:type="spellEnd"/>
      <w:r>
        <w:rPr>
          <w:lang w:val="en-US"/>
        </w:rPr>
        <w:t xml:space="preserve">, F., &amp; Wilson, N. (2018). The impact of destination image and perceived quality on tourist loyalty in the Indonesian tourism industry. </w:t>
      </w:r>
      <w:r>
        <w:rPr>
          <w:rStyle w:val="Emphasis"/>
          <w:lang w:val="en-US"/>
        </w:rPr>
        <w:t>Proceedings of the 7th International Conference on Entrepreneurship and Business Management</w:t>
      </w:r>
      <w:r>
        <w:rPr>
          <w:lang w:val="en-US"/>
        </w:rPr>
        <w:t xml:space="preserve">. </w:t>
      </w:r>
      <w:hyperlink r:id="rId14" w:history="1">
        <w:r>
          <w:rPr>
            <w:rStyle w:val="Hyperlink"/>
            <w:lang w:val="en-US"/>
          </w:rPr>
          <w:t>https://doi.org/10.5220/0008488300670075</w:t>
        </w:r>
      </w:hyperlink>
    </w:p>
    <w:p w14:paraId="2A130CFF"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Lai, I. K., &amp; Wong, J. W. (2020). Comparing crisis management practices in the hotel industry between initial and pandemic stages of COVID-19. </w:t>
      </w:r>
      <w:r>
        <w:rPr>
          <w:rStyle w:val="Emphasis"/>
          <w:lang w:val="en-US"/>
        </w:rPr>
        <w:t>International Journal of Contemporary Hospitality Management</w:t>
      </w:r>
      <w:r>
        <w:rPr>
          <w:lang w:val="en-US"/>
        </w:rPr>
        <w:t xml:space="preserve">, </w:t>
      </w:r>
      <w:r>
        <w:rPr>
          <w:rStyle w:val="Emphasis"/>
          <w:lang w:val="en-US"/>
        </w:rPr>
        <w:t>32</w:t>
      </w:r>
      <w:r>
        <w:rPr>
          <w:lang w:val="en-US"/>
        </w:rPr>
        <w:t xml:space="preserve">(10), 3135-3156. </w:t>
      </w:r>
      <w:hyperlink r:id="rId15" w:history="1">
        <w:r>
          <w:rPr>
            <w:rStyle w:val="Hyperlink"/>
            <w:lang w:val="en-US"/>
          </w:rPr>
          <w:t>https://doi.org/10.1108/ijchm-04-2020-0325</w:t>
        </w:r>
      </w:hyperlink>
    </w:p>
    <w:p w14:paraId="37E662A9"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Laws, E., Prideaux, B., &amp; Chon, K. (2006). Crisis management in tourism: Challenges for managers and researchers. </w:t>
      </w:r>
      <w:r>
        <w:rPr>
          <w:rStyle w:val="Emphasis"/>
          <w:lang w:val="en-US"/>
        </w:rPr>
        <w:t>Crisis management in tourism</w:t>
      </w:r>
      <w:r>
        <w:rPr>
          <w:lang w:val="en-US"/>
        </w:rPr>
        <w:t xml:space="preserve">, 1-12. </w:t>
      </w:r>
      <w:hyperlink r:id="rId16" w:history="1">
        <w:r>
          <w:rPr>
            <w:rStyle w:val="Hyperlink"/>
            <w:lang w:val="en-US"/>
          </w:rPr>
          <w:t>https://doi.org/10.1079/9781845930479.0001</w:t>
        </w:r>
      </w:hyperlink>
    </w:p>
    <w:p w14:paraId="1C63C6F0"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Lee, C., &amp; Chen, M. (2020). The impact of COVID-19 on the travel and leisure industry returns: Some international evidence. </w:t>
      </w:r>
      <w:r>
        <w:rPr>
          <w:rStyle w:val="Emphasis"/>
          <w:lang w:val="en-US"/>
        </w:rPr>
        <w:t>Tourism Economics</w:t>
      </w:r>
      <w:r>
        <w:rPr>
          <w:lang w:val="en-US"/>
        </w:rPr>
        <w:t xml:space="preserve">, </w:t>
      </w:r>
      <w:r>
        <w:rPr>
          <w:rStyle w:val="Emphasis"/>
          <w:lang w:val="en-US"/>
        </w:rPr>
        <w:t>28</w:t>
      </w:r>
      <w:r>
        <w:rPr>
          <w:lang w:val="en-US"/>
        </w:rPr>
        <w:t xml:space="preserve">(2), 451-472. </w:t>
      </w:r>
      <w:hyperlink r:id="rId17" w:history="1">
        <w:r>
          <w:rPr>
            <w:rStyle w:val="Hyperlink"/>
            <w:lang w:val="en-US"/>
          </w:rPr>
          <w:t>https://doi.org/10.1177/1354816620971981</w:t>
        </w:r>
      </w:hyperlink>
    </w:p>
    <w:p w14:paraId="3AD39AFD" w14:textId="77777777" w:rsidR="0081179D" w:rsidRDefault="0081179D" w:rsidP="00EF5C56">
      <w:pPr>
        <w:pStyle w:val="NormalWeb"/>
        <w:spacing w:before="0" w:beforeAutospacing="0" w:after="0" w:afterAutospacing="0" w:line="360" w:lineRule="auto"/>
        <w:ind w:left="720" w:hanging="720"/>
        <w:rPr>
          <w:lang w:val="en-US"/>
        </w:rPr>
      </w:pPr>
      <w:proofErr w:type="spellStart"/>
      <w:r>
        <w:rPr>
          <w:lang w:val="en-US"/>
        </w:rPr>
        <w:t>Magdolen</w:t>
      </w:r>
      <w:proofErr w:type="spellEnd"/>
      <w:r>
        <w:rPr>
          <w:lang w:val="en-US"/>
        </w:rPr>
        <w:t xml:space="preserve">, M., Von Behren, S., </w:t>
      </w:r>
      <w:proofErr w:type="spellStart"/>
      <w:r>
        <w:rPr>
          <w:lang w:val="en-US"/>
        </w:rPr>
        <w:t>Chlond</w:t>
      </w:r>
      <w:proofErr w:type="spellEnd"/>
      <w:r>
        <w:rPr>
          <w:lang w:val="en-US"/>
        </w:rPr>
        <w:t xml:space="preserve">, B., &amp; </w:t>
      </w:r>
      <w:proofErr w:type="spellStart"/>
      <w:r>
        <w:rPr>
          <w:lang w:val="en-US"/>
        </w:rPr>
        <w:t>Vortisch</w:t>
      </w:r>
      <w:proofErr w:type="spellEnd"/>
      <w:r>
        <w:rPr>
          <w:lang w:val="en-US"/>
        </w:rPr>
        <w:t xml:space="preserve">, P. (2022). Long-distance travel in tension with everyday mobility of urbanites – A classification of leisure </w:t>
      </w:r>
      <w:proofErr w:type="spellStart"/>
      <w:r>
        <w:rPr>
          <w:lang w:val="en-US"/>
        </w:rPr>
        <w:t>travellers</w:t>
      </w:r>
      <w:proofErr w:type="spellEnd"/>
      <w:r>
        <w:rPr>
          <w:lang w:val="en-US"/>
        </w:rPr>
        <w:t xml:space="preserve">. </w:t>
      </w:r>
      <w:r>
        <w:rPr>
          <w:rStyle w:val="Emphasis"/>
          <w:lang w:val="en-US"/>
        </w:rPr>
        <w:t xml:space="preserve">Travel </w:t>
      </w:r>
      <w:proofErr w:type="spellStart"/>
      <w:r>
        <w:rPr>
          <w:rStyle w:val="Emphasis"/>
          <w:lang w:val="en-US"/>
        </w:rPr>
        <w:t>Behaviour</w:t>
      </w:r>
      <w:proofErr w:type="spellEnd"/>
      <w:r>
        <w:rPr>
          <w:rStyle w:val="Emphasis"/>
          <w:lang w:val="en-US"/>
        </w:rPr>
        <w:t xml:space="preserve"> and Society</w:t>
      </w:r>
      <w:r>
        <w:rPr>
          <w:lang w:val="en-US"/>
        </w:rPr>
        <w:t xml:space="preserve">, </w:t>
      </w:r>
      <w:r>
        <w:rPr>
          <w:rStyle w:val="Emphasis"/>
          <w:lang w:val="en-US"/>
        </w:rPr>
        <w:t>26</w:t>
      </w:r>
      <w:r>
        <w:rPr>
          <w:lang w:val="en-US"/>
        </w:rPr>
        <w:t xml:space="preserve">, 290-300. </w:t>
      </w:r>
      <w:hyperlink r:id="rId18" w:history="1">
        <w:r>
          <w:rPr>
            <w:rStyle w:val="Hyperlink"/>
            <w:lang w:val="en-US"/>
          </w:rPr>
          <w:t>https://doi.org/10.1016/j.tbs.2021.10.010</w:t>
        </w:r>
      </w:hyperlink>
    </w:p>
    <w:p w14:paraId="62ED9F6B"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Martín-Duque, C., &amp; Romero-Padilla, Y. (2023). Hotel working conditions and challenges in a time of crisis: Perceptions of Spanish women managers. </w:t>
      </w:r>
      <w:r>
        <w:rPr>
          <w:rStyle w:val="Emphasis"/>
          <w:lang w:val="en-US"/>
        </w:rPr>
        <w:t>Tourism Management Perspectives</w:t>
      </w:r>
      <w:r>
        <w:rPr>
          <w:lang w:val="en-US"/>
        </w:rPr>
        <w:t xml:space="preserve">, </w:t>
      </w:r>
      <w:r>
        <w:rPr>
          <w:rStyle w:val="Emphasis"/>
          <w:lang w:val="en-US"/>
        </w:rPr>
        <w:t>48</w:t>
      </w:r>
      <w:r>
        <w:rPr>
          <w:lang w:val="en-US"/>
        </w:rPr>
        <w:t xml:space="preserve">, 101153. </w:t>
      </w:r>
      <w:hyperlink r:id="rId19" w:history="1">
        <w:r>
          <w:rPr>
            <w:rStyle w:val="Hyperlink"/>
            <w:lang w:val="en-US"/>
          </w:rPr>
          <w:t>https://doi.org/10.1016/j.tmp.2023.101153</w:t>
        </w:r>
      </w:hyperlink>
    </w:p>
    <w:p w14:paraId="5109BEF6"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Meena, S. (2020). Impact of novel coronavirus (COVID-19) pandemic on travel pattern: A case study of India. </w:t>
      </w:r>
      <w:r>
        <w:rPr>
          <w:rStyle w:val="Emphasis"/>
          <w:lang w:val="en-US"/>
        </w:rPr>
        <w:t>Indian Journal of Science and Technology</w:t>
      </w:r>
      <w:r>
        <w:rPr>
          <w:lang w:val="en-US"/>
        </w:rPr>
        <w:t xml:space="preserve">, </w:t>
      </w:r>
      <w:r>
        <w:rPr>
          <w:rStyle w:val="Emphasis"/>
          <w:lang w:val="en-US"/>
        </w:rPr>
        <w:t>13</w:t>
      </w:r>
      <w:r>
        <w:rPr>
          <w:lang w:val="en-US"/>
        </w:rPr>
        <w:t xml:space="preserve">(24), 2491-2501. </w:t>
      </w:r>
      <w:hyperlink r:id="rId20" w:history="1">
        <w:r>
          <w:rPr>
            <w:rStyle w:val="Hyperlink"/>
            <w:lang w:val="en-US"/>
          </w:rPr>
          <w:t>https://doi.org/10.17485/ijst/v13i24.958</w:t>
        </w:r>
      </w:hyperlink>
    </w:p>
    <w:p w14:paraId="7DEFBD34" w14:textId="77777777" w:rsidR="0081179D" w:rsidRDefault="0081179D" w:rsidP="00EF5C56">
      <w:pPr>
        <w:pStyle w:val="NormalWeb"/>
        <w:spacing w:before="0" w:beforeAutospacing="0" w:after="0" w:afterAutospacing="0" w:line="360" w:lineRule="auto"/>
        <w:ind w:left="720" w:hanging="720"/>
        <w:rPr>
          <w:lang w:val="en-US"/>
        </w:rPr>
      </w:pPr>
      <w:r>
        <w:rPr>
          <w:lang w:val="en-US"/>
        </w:rPr>
        <w:lastRenderedPageBreak/>
        <w:t xml:space="preserve">Meng, B., &amp; Han, H. (2019). Determinants of working holiday makers' destination loyalty: Uncovering the role of perceived authenticity. </w:t>
      </w:r>
      <w:r>
        <w:rPr>
          <w:rStyle w:val="Emphasis"/>
          <w:lang w:val="en-US"/>
        </w:rPr>
        <w:t>Tourism Management Perspectives</w:t>
      </w:r>
      <w:r>
        <w:rPr>
          <w:lang w:val="en-US"/>
        </w:rPr>
        <w:t xml:space="preserve">, </w:t>
      </w:r>
      <w:r>
        <w:rPr>
          <w:rStyle w:val="Emphasis"/>
          <w:lang w:val="en-US"/>
        </w:rPr>
        <w:t>32</w:t>
      </w:r>
      <w:r>
        <w:rPr>
          <w:lang w:val="en-US"/>
        </w:rPr>
        <w:t xml:space="preserve">, 100565. </w:t>
      </w:r>
      <w:hyperlink r:id="rId21" w:history="1">
        <w:r>
          <w:rPr>
            <w:rStyle w:val="Hyperlink"/>
            <w:lang w:val="en-US"/>
          </w:rPr>
          <w:t>https://doi.org/10.1016/j.tmp.2019.100565</w:t>
        </w:r>
      </w:hyperlink>
    </w:p>
    <w:p w14:paraId="713A6BEC" w14:textId="77777777" w:rsidR="0081179D" w:rsidRDefault="0081179D" w:rsidP="00EF5C56">
      <w:pPr>
        <w:pStyle w:val="NormalWeb"/>
        <w:spacing w:before="0" w:beforeAutospacing="0" w:after="0" w:afterAutospacing="0" w:line="360" w:lineRule="auto"/>
        <w:ind w:left="720" w:hanging="720"/>
        <w:rPr>
          <w:lang w:val="en-US"/>
        </w:rPr>
      </w:pPr>
      <w:proofErr w:type="spellStart"/>
      <w:r>
        <w:rPr>
          <w:lang w:val="en-US"/>
        </w:rPr>
        <w:t>Mertzanis</w:t>
      </w:r>
      <w:proofErr w:type="spellEnd"/>
      <w:r>
        <w:rPr>
          <w:lang w:val="en-US"/>
        </w:rPr>
        <w:t xml:space="preserve">, C., Papastathopoulos, A., Koutra, C., &amp; </w:t>
      </w:r>
      <w:proofErr w:type="spellStart"/>
      <w:r>
        <w:rPr>
          <w:lang w:val="en-US"/>
        </w:rPr>
        <w:t>Marashdeh</w:t>
      </w:r>
      <w:proofErr w:type="spellEnd"/>
      <w:r>
        <w:rPr>
          <w:lang w:val="en-US"/>
        </w:rPr>
        <w:t xml:space="preserve">, H. (2023). COVID-19, mobility, leisure, and travel around the world. </w:t>
      </w:r>
      <w:r>
        <w:rPr>
          <w:rStyle w:val="Emphasis"/>
          <w:lang w:val="en-US"/>
        </w:rPr>
        <w:t>Journal of Leisure Research</w:t>
      </w:r>
      <w:r>
        <w:rPr>
          <w:lang w:val="en-US"/>
        </w:rPr>
        <w:t xml:space="preserve">, </w:t>
      </w:r>
      <w:r>
        <w:rPr>
          <w:rStyle w:val="Emphasis"/>
          <w:lang w:val="en-US"/>
        </w:rPr>
        <w:t>54</w:t>
      </w:r>
      <w:r>
        <w:rPr>
          <w:lang w:val="en-US"/>
        </w:rPr>
        <w:t xml:space="preserve">(2), 227-249. </w:t>
      </w:r>
      <w:hyperlink r:id="rId22" w:history="1">
        <w:r>
          <w:rPr>
            <w:rStyle w:val="Hyperlink"/>
            <w:lang w:val="en-US"/>
          </w:rPr>
          <w:t>https://doi.org/10.1080/00222216.2022.2148144</w:t>
        </w:r>
      </w:hyperlink>
    </w:p>
    <w:p w14:paraId="694B3CA3" w14:textId="77777777" w:rsidR="0081179D" w:rsidRDefault="0081179D" w:rsidP="00EF5C56">
      <w:pPr>
        <w:pStyle w:val="NormalWeb"/>
        <w:spacing w:before="0" w:beforeAutospacing="0" w:after="0" w:afterAutospacing="0" w:line="360" w:lineRule="auto"/>
        <w:ind w:left="720" w:hanging="720"/>
        <w:rPr>
          <w:lang w:val="en-US"/>
        </w:rPr>
      </w:pPr>
      <w:proofErr w:type="spellStart"/>
      <w:r>
        <w:rPr>
          <w:lang w:val="en-US"/>
        </w:rPr>
        <w:t>Woosnam</w:t>
      </w:r>
      <w:proofErr w:type="spellEnd"/>
      <w:r>
        <w:rPr>
          <w:lang w:val="en-US"/>
        </w:rPr>
        <w:t xml:space="preserve">, K. M., Joo, D., </w:t>
      </w:r>
      <w:proofErr w:type="spellStart"/>
      <w:r>
        <w:rPr>
          <w:lang w:val="en-US"/>
        </w:rPr>
        <w:t>Aleshinloye</w:t>
      </w:r>
      <w:proofErr w:type="spellEnd"/>
      <w:r>
        <w:rPr>
          <w:lang w:val="en-US"/>
        </w:rPr>
        <w:t xml:space="preserve">, K. D., &amp; Denley, T. J. (2021). Emotional solidarity and destination loyalty amid the COVID-19 pandemic: A comparison of two scales. </w:t>
      </w:r>
      <w:r>
        <w:rPr>
          <w:rStyle w:val="Emphasis"/>
          <w:lang w:val="en-US"/>
        </w:rPr>
        <w:t>Journal of Travel &amp; Tourism Marketing</w:t>
      </w:r>
      <w:r>
        <w:rPr>
          <w:lang w:val="en-US"/>
        </w:rPr>
        <w:t xml:space="preserve">, </w:t>
      </w:r>
      <w:r>
        <w:rPr>
          <w:rStyle w:val="Emphasis"/>
          <w:lang w:val="en-US"/>
        </w:rPr>
        <w:t>38</w:t>
      </w:r>
      <w:r>
        <w:rPr>
          <w:lang w:val="en-US"/>
        </w:rPr>
        <w:t xml:space="preserve">(6), 541-553. </w:t>
      </w:r>
      <w:hyperlink r:id="rId23" w:history="1">
        <w:r>
          <w:rPr>
            <w:rStyle w:val="Hyperlink"/>
            <w:lang w:val="en-US"/>
          </w:rPr>
          <w:t>https://doi.org/10.1080/10548408.2021.1969317</w:t>
        </w:r>
      </w:hyperlink>
    </w:p>
    <w:p w14:paraId="06621575"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Zhang, Y., Lingyi, M., </w:t>
      </w:r>
      <w:proofErr w:type="spellStart"/>
      <w:r>
        <w:rPr>
          <w:lang w:val="en-US"/>
        </w:rPr>
        <w:t>Peixue</w:t>
      </w:r>
      <w:proofErr w:type="spellEnd"/>
      <w:r>
        <w:rPr>
          <w:lang w:val="en-US"/>
        </w:rPr>
        <w:t xml:space="preserve">, L., Lu, Y., &amp; Zhang, J. (2021). COVID-19's impact on tourism: Will compensatory travel intention appear? </w:t>
      </w:r>
      <w:r>
        <w:rPr>
          <w:rStyle w:val="Emphasis"/>
          <w:lang w:val="en-US"/>
        </w:rPr>
        <w:t>Asia Pacific Journal of Tourism Research</w:t>
      </w:r>
      <w:r>
        <w:rPr>
          <w:lang w:val="en-US"/>
        </w:rPr>
        <w:t xml:space="preserve">, </w:t>
      </w:r>
      <w:r>
        <w:rPr>
          <w:rStyle w:val="Emphasis"/>
          <w:lang w:val="en-US"/>
        </w:rPr>
        <w:t>26</w:t>
      </w:r>
      <w:r>
        <w:rPr>
          <w:lang w:val="en-US"/>
        </w:rPr>
        <w:t xml:space="preserve">(7), 732-747. </w:t>
      </w:r>
      <w:hyperlink r:id="rId24" w:history="1">
        <w:r>
          <w:rPr>
            <w:rStyle w:val="Hyperlink"/>
            <w:lang w:val="en-US"/>
          </w:rPr>
          <w:t>https://doi.org/10.1080/10941665.2021.1908383</w:t>
        </w:r>
      </w:hyperlink>
    </w:p>
    <w:p w14:paraId="7BDDCD9E" w14:textId="77777777" w:rsidR="0081179D" w:rsidRDefault="0081179D" w:rsidP="00EF5C56">
      <w:pPr>
        <w:pStyle w:val="NormalWeb"/>
        <w:spacing w:before="0" w:beforeAutospacing="0" w:after="0" w:afterAutospacing="0" w:line="360" w:lineRule="auto"/>
        <w:ind w:left="720" w:hanging="720"/>
        <w:rPr>
          <w:lang w:val="en-US"/>
        </w:rPr>
      </w:pPr>
      <w:r>
        <w:rPr>
          <w:lang w:val="en-US"/>
        </w:rPr>
        <w:t xml:space="preserve">Yousaf, Z., Radulescu, M., Sinisi, C. I., Serbanescu, L., &amp; Paunescu, L. M. (2020). Harmonization of Green Motives and Green Business Strategies towards Sustainable Development of Hospitality and Tourism Industry: Green Environmental Policies. </w:t>
      </w:r>
      <w:r>
        <w:rPr>
          <w:i/>
          <w:iCs/>
          <w:lang w:val="en-US"/>
        </w:rPr>
        <w:t>Sustainability</w:t>
      </w:r>
      <w:r>
        <w:rPr>
          <w:lang w:val="en-US"/>
        </w:rPr>
        <w:t xml:space="preserve">, </w:t>
      </w:r>
      <w:r>
        <w:rPr>
          <w:i/>
          <w:iCs/>
          <w:lang w:val="en-US"/>
        </w:rPr>
        <w:t>13</w:t>
      </w:r>
      <w:r>
        <w:rPr>
          <w:lang w:val="en-US"/>
        </w:rPr>
        <w:t>(12), 6592. https://doi.org/10.3390/su13126592</w:t>
      </w:r>
    </w:p>
    <w:p w14:paraId="7368B3DE" w14:textId="77777777" w:rsidR="00DC09C6" w:rsidRDefault="00DC09C6" w:rsidP="00EF5C56">
      <w:pPr>
        <w:spacing w:line="360" w:lineRule="auto"/>
      </w:pPr>
    </w:p>
    <w:sectPr w:rsidR="00DC09C6">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F7FC7" w14:textId="77777777" w:rsidR="00A153C7" w:rsidRDefault="00A153C7" w:rsidP="0081179D">
      <w:r>
        <w:separator/>
      </w:r>
    </w:p>
  </w:endnote>
  <w:endnote w:type="continuationSeparator" w:id="0">
    <w:p w14:paraId="4FA6CD3F" w14:textId="77777777" w:rsidR="00A153C7" w:rsidRDefault="00A153C7" w:rsidP="0081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FA88D" w14:textId="77777777" w:rsidR="00A153C7" w:rsidRDefault="00A153C7" w:rsidP="0081179D">
      <w:r>
        <w:separator/>
      </w:r>
    </w:p>
  </w:footnote>
  <w:footnote w:type="continuationSeparator" w:id="0">
    <w:p w14:paraId="2B37D41F" w14:textId="77777777" w:rsidR="00A153C7" w:rsidRDefault="00A153C7" w:rsidP="008117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317787"/>
      <w:docPartObj>
        <w:docPartGallery w:val="Page Numbers (Top of Page)"/>
        <w:docPartUnique/>
      </w:docPartObj>
    </w:sdtPr>
    <w:sdtEndPr>
      <w:rPr>
        <w:noProof/>
      </w:rPr>
    </w:sdtEndPr>
    <w:sdtContent>
      <w:p w14:paraId="0569D2B8" w14:textId="7F9ABE57" w:rsidR="0081179D" w:rsidRDefault="0081179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2E37037" w14:textId="77777777" w:rsidR="0081179D" w:rsidRDefault="008117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035"/>
    <w:rsid w:val="00054611"/>
    <w:rsid w:val="00506B04"/>
    <w:rsid w:val="005A38B9"/>
    <w:rsid w:val="0081179D"/>
    <w:rsid w:val="009B6A27"/>
    <w:rsid w:val="00A153C7"/>
    <w:rsid w:val="00C95035"/>
    <w:rsid w:val="00DC09C6"/>
    <w:rsid w:val="00EF5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0E537"/>
  <w15:chartTrackingRefBased/>
  <w15:docId w15:val="{6E0AD76B-30CF-45B1-B17D-3FF2E2A9F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79D"/>
    <w:pPr>
      <w:spacing w:after="0" w:line="240" w:lineRule="auto"/>
    </w:pPr>
    <w:rPr>
      <w:rFonts w:ascii="Times New Roman" w:eastAsiaTheme="minorEastAsia" w:hAnsi="Times New Roman" w:cs="Times New Roman"/>
      <w:sz w:val="24"/>
      <w:szCs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1179D"/>
    <w:rPr>
      <w:color w:val="0000FF"/>
      <w:u w:val="single"/>
    </w:rPr>
  </w:style>
  <w:style w:type="paragraph" w:styleId="NormalWeb">
    <w:name w:val="Normal (Web)"/>
    <w:basedOn w:val="Normal"/>
    <w:uiPriority w:val="99"/>
    <w:semiHidden/>
    <w:unhideWhenUsed/>
    <w:rsid w:val="0081179D"/>
    <w:pPr>
      <w:spacing w:before="100" w:beforeAutospacing="1" w:after="100" w:afterAutospacing="1"/>
    </w:pPr>
  </w:style>
  <w:style w:type="character" w:styleId="Emphasis">
    <w:name w:val="Emphasis"/>
    <w:basedOn w:val="DefaultParagraphFont"/>
    <w:uiPriority w:val="20"/>
    <w:qFormat/>
    <w:rsid w:val="0081179D"/>
    <w:rPr>
      <w:i/>
      <w:iCs/>
    </w:rPr>
  </w:style>
  <w:style w:type="paragraph" w:styleId="Header">
    <w:name w:val="header"/>
    <w:basedOn w:val="Normal"/>
    <w:link w:val="HeaderChar"/>
    <w:uiPriority w:val="99"/>
    <w:unhideWhenUsed/>
    <w:rsid w:val="0081179D"/>
    <w:pPr>
      <w:tabs>
        <w:tab w:val="center" w:pos="4680"/>
        <w:tab w:val="right" w:pos="9360"/>
      </w:tabs>
    </w:pPr>
  </w:style>
  <w:style w:type="character" w:customStyle="1" w:styleId="HeaderChar">
    <w:name w:val="Header Char"/>
    <w:basedOn w:val="DefaultParagraphFont"/>
    <w:link w:val="Header"/>
    <w:uiPriority w:val="99"/>
    <w:rsid w:val="0081179D"/>
    <w:rPr>
      <w:rFonts w:ascii="Times New Roman" w:eastAsiaTheme="minorEastAsia" w:hAnsi="Times New Roman" w:cs="Times New Roman"/>
      <w:sz w:val="24"/>
      <w:szCs w:val="24"/>
      <w:lang/>
    </w:rPr>
  </w:style>
  <w:style w:type="paragraph" w:styleId="Footer">
    <w:name w:val="footer"/>
    <w:basedOn w:val="Normal"/>
    <w:link w:val="FooterChar"/>
    <w:uiPriority w:val="99"/>
    <w:unhideWhenUsed/>
    <w:rsid w:val="0081179D"/>
    <w:pPr>
      <w:tabs>
        <w:tab w:val="center" w:pos="4680"/>
        <w:tab w:val="right" w:pos="9360"/>
      </w:tabs>
    </w:pPr>
  </w:style>
  <w:style w:type="character" w:customStyle="1" w:styleId="FooterChar">
    <w:name w:val="Footer Char"/>
    <w:basedOn w:val="DefaultParagraphFont"/>
    <w:link w:val="Footer"/>
    <w:uiPriority w:val="99"/>
    <w:rsid w:val="0081179D"/>
    <w:rPr>
      <w:rFonts w:ascii="Times New Roman" w:eastAsiaTheme="minorEastAsia"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39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mp.2019.04.003" TargetMode="External"/><Relationship Id="rId13" Type="http://schemas.openxmlformats.org/officeDocument/2006/relationships/hyperlink" Target="https://doi.org/10.1016/j.tourman.2020.104281" TargetMode="External"/><Relationship Id="rId18" Type="http://schemas.openxmlformats.org/officeDocument/2006/relationships/hyperlink" Target="https://doi.org/10.1016/j.tbs.2021.10.010"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016/j.tmp.2019.100565" TargetMode="External"/><Relationship Id="rId7" Type="http://schemas.openxmlformats.org/officeDocument/2006/relationships/hyperlink" Target="https://doi.org/10.1068/a43529" TargetMode="External"/><Relationship Id="rId12" Type="http://schemas.openxmlformats.org/officeDocument/2006/relationships/hyperlink" Target="https://doi.org/10.1108/ijchm-11-2014-0572" TargetMode="External"/><Relationship Id="rId17" Type="http://schemas.openxmlformats.org/officeDocument/2006/relationships/hyperlink" Target="https://doi.org/10.1177/1354816620971981"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79/9781845930479.0001" TargetMode="External"/><Relationship Id="rId20" Type="http://schemas.openxmlformats.org/officeDocument/2006/relationships/hyperlink" Target="https://doi.org/10.17485/ijst/v13i24.958" TargetMode="External"/><Relationship Id="rId1" Type="http://schemas.openxmlformats.org/officeDocument/2006/relationships/styles" Target="styles.xml"/><Relationship Id="rId6" Type="http://schemas.openxmlformats.org/officeDocument/2006/relationships/hyperlink" Target="https://doi.org/10.1016/j.crbeha.2021.100033" TargetMode="External"/><Relationship Id="rId11" Type="http://schemas.openxmlformats.org/officeDocument/2006/relationships/hyperlink" Target="https://doi.org/10.1016/j.tbs.2022.03.002" TargetMode="External"/><Relationship Id="rId24" Type="http://schemas.openxmlformats.org/officeDocument/2006/relationships/hyperlink" Target="https://doi.org/10.1080/10941665.2021.1908383" TargetMode="External"/><Relationship Id="rId5" Type="http://schemas.openxmlformats.org/officeDocument/2006/relationships/endnotes" Target="endnotes.xml"/><Relationship Id="rId15" Type="http://schemas.openxmlformats.org/officeDocument/2006/relationships/hyperlink" Target="https://doi.org/10.1108/ijchm-04-2020-0325" TargetMode="External"/><Relationship Id="rId23" Type="http://schemas.openxmlformats.org/officeDocument/2006/relationships/hyperlink" Target="https://doi.org/10.1080/10548408.2021.1969317" TargetMode="External"/><Relationship Id="rId10" Type="http://schemas.openxmlformats.org/officeDocument/2006/relationships/hyperlink" Target="https://doi.org/10.1080/10548408.2021.1887055" TargetMode="External"/><Relationship Id="rId19" Type="http://schemas.openxmlformats.org/officeDocument/2006/relationships/hyperlink" Target="https://doi.org/10.1016/j.tmp.2023.101153" TargetMode="External"/><Relationship Id="rId4" Type="http://schemas.openxmlformats.org/officeDocument/2006/relationships/footnotes" Target="footnotes.xml"/><Relationship Id="rId9" Type="http://schemas.openxmlformats.org/officeDocument/2006/relationships/hyperlink" Target="https://doi.org/10.1016/j.annale.2020.100003" TargetMode="External"/><Relationship Id="rId14" Type="http://schemas.openxmlformats.org/officeDocument/2006/relationships/hyperlink" Target="https://doi.org/10.5220/0008488300670075" TargetMode="External"/><Relationship Id="rId22" Type="http://schemas.openxmlformats.org/officeDocument/2006/relationships/hyperlink" Target="https://doi.org/10.1080/00222216.2022.214814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3869</Words>
  <Characters>22055</Characters>
  <Application>Microsoft Office Word</Application>
  <DocSecurity>0</DocSecurity>
  <Lines>183</Lines>
  <Paragraphs>51</Paragraphs>
  <ScaleCrop>false</ScaleCrop>
  <Company/>
  <LinksUpToDate>false</LinksUpToDate>
  <CharactersWithSpaces>25873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Wachira</dc:creator>
  <cp:keywords/>
  <dc:description/>
  <cp:lastModifiedBy>ANDREEA NICOLAE</cp:lastModifiedBy>
  <cp:revision>4</cp:revision>
  <dcterms:created xsi:type="dcterms:W3CDTF">2023-10-25T07:20:00Z</dcterms:created>
  <dcterms:modified xsi:type="dcterms:W3CDTF">2023-10-26T10:54:00Z</dcterms:modified>
</cp:coreProperties>
</file>