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28076370"/>
        <w:docPartObj>
          <w:docPartGallery w:val="Cover Pages"/>
          <w:docPartUnique/>
        </w:docPartObj>
      </w:sdtPr>
      <w:sdtEndPr>
        <w:rPr>
          <w:color w:val="auto"/>
        </w:rPr>
      </w:sdtEndPr>
      <w:sdtContent>
        <w:p w14:paraId="7F6B968F" w14:textId="61F8999C" w:rsidR="007476B7" w:rsidRDefault="007476B7">
          <w:pPr>
            <w:pStyle w:val="NoSpacing"/>
            <w:spacing w:before="1540" w:after="240"/>
            <w:jc w:val="center"/>
            <w:rPr>
              <w:color w:val="156082" w:themeColor="accent1"/>
            </w:rPr>
          </w:pPr>
        </w:p>
        <w:sdt>
          <w:sdtPr>
            <w:rPr>
              <w:rFonts w:ascii="Arial" w:eastAsiaTheme="majorEastAsia" w:hAnsi="Arial" w:cs="Arial"/>
              <w:caps/>
              <w:color w:val="000000" w:themeColor="text1"/>
              <w:sz w:val="44"/>
              <w:szCs w:val="44"/>
            </w:rPr>
            <w:alias w:val="Title"/>
            <w:tag w:val=""/>
            <w:id w:val="1735040861"/>
            <w:placeholder>
              <w:docPart w:val="EEAC7B30108C449BA479EFE939B87CAA"/>
            </w:placeholder>
            <w:dataBinding w:prefixMappings="xmlns:ns0='http://purl.org/dc/elements/1.1/' xmlns:ns1='http://schemas.openxmlformats.org/package/2006/metadata/core-properties' " w:xpath="/ns1:coreProperties[1]/ns0:title[1]" w:storeItemID="{6C3C8BC8-F283-45AE-878A-BAB7291924A1}"/>
            <w:text/>
          </w:sdtPr>
          <w:sdtContent>
            <w:p w14:paraId="5D7BDA3E" w14:textId="169C3C43" w:rsidR="007476B7" w:rsidRPr="00553A83" w:rsidRDefault="00FE688D" w:rsidP="00553A83">
              <w:pPr>
                <w:pStyle w:val="NoSpacing"/>
                <w:pBdr>
                  <w:top w:val="single" w:sz="6" w:space="6" w:color="156082" w:themeColor="accent1"/>
                  <w:bottom w:val="single" w:sz="6" w:space="31" w:color="156082" w:themeColor="accent1"/>
                </w:pBdr>
                <w:spacing w:after="240"/>
                <w:jc w:val="center"/>
                <w:rPr>
                  <w:rFonts w:ascii="Arial" w:eastAsiaTheme="majorEastAsia" w:hAnsi="Arial" w:cs="Arial"/>
                  <w:caps/>
                  <w:color w:val="000000" w:themeColor="text1"/>
                  <w:sz w:val="44"/>
                  <w:szCs w:val="44"/>
                </w:rPr>
              </w:pPr>
              <w:r>
                <w:rPr>
                  <w:rFonts w:ascii="Arial" w:eastAsiaTheme="majorEastAsia" w:hAnsi="Arial" w:cs="Arial"/>
                  <w:caps/>
                  <w:color w:val="000000" w:themeColor="text1"/>
                  <w:sz w:val="44"/>
                  <w:szCs w:val="44"/>
                </w:rPr>
                <w:t xml:space="preserve">University of trinity st david              </w:t>
              </w:r>
              <w:r w:rsidR="00232575" w:rsidRPr="00553A83">
                <w:rPr>
                  <w:rFonts w:ascii="Arial" w:eastAsiaTheme="majorEastAsia" w:hAnsi="Arial" w:cs="Arial"/>
                  <w:caps/>
                  <w:color w:val="000000" w:themeColor="text1"/>
                  <w:sz w:val="44"/>
                  <w:szCs w:val="44"/>
                </w:rPr>
                <w:t>BA Inclusive Education</w:t>
              </w:r>
              <w:r w:rsidR="00553A83" w:rsidRPr="00553A83">
                <w:rPr>
                  <w:rFonts w:ascii="Arial" w:eastAsiaTheme="majorEastAsia" w:hAnsi="Arial" w:cs="Arial"/>
                  <w:caps/>
                  <w:color w:val="000000" w:themeColor="text1"/>
                  <w:sz w:val="44"/>
                  <w:szCs w:val="44"/>
                </w:rPr>
                <w:t xml:space="preserve"> </w:t>
              </w:r>
              <w:r w:rsidR="009D66A0">
                <w:rPr>
                  <w:rFonts w:ascii="Arial" w:eastAsiaTheme="majorEastAsia" w:hAnsi="Arial" w:cs="Arial"/>
                  <w:caps/>
                  <w:color w:val="000000" w:themeColor="text1"/>
                  <w:sz w:val="44"/>
                  <w:szCs w:val="44"/>
                </w:rPr>
                <w:t xml:space="preserve">                  </w:t>
              </w:r>
              <w:r w:rsidR="00232575" w:rsidRPr="00553A83">
                <w:rPr>
                  <w:rFonts w:ascii="Arial" w:eastAsiaTheme="majorEastAsia" w:hAnsi="Arial" w:cs="Arial"/>
                  <w:caps/>
                  <w:color w:val="000000" w:themeColor="text1"/>
                  <w:sz w:val="44"/>
                  <w:szCs w:val="44"/>
                </w:rPr>
                <w:t>Classroom Management</w:t>
              </w:r>
              <w:r w:rsidR="00553A83" w:rsidRPr="00553A83">
                <w:rPr>
                  <w:rFonts w:ascii="Arial" w:eastAsiaTheme="majorEastAsia" w:hAnsi="Arial" w:cs="Arial"/>
                  <w:caps/>
                  <w:color w:val="000000" w:themeColor="text1"/>
                  <w:sz w:val="44"/>
                  <w:szCs w:val="44"/>
                </w:rPr>
                <w:t xml:space="preserve"> </w:t>
              </w:r>
              <w:r w:rsidR="009D66A0">
                <w:rPr>
                  <w:rFonts w:ascii="Arial" w:eastAsiaTheme="majorEastAsia" w:hAnsi="Arial" w:cs="Arial"/>
                  <w:caps/>
                  <w:color w:val="000000" w:themeColor="text1"/>
                  <w:sz w:val="44"/>
                  <w:szCs w:val="44"/>
                </w:rPr>
                <w:t xml:space="preserve">                                   student number </w:t>
              </w:r>
              <w:r w:rsidR="00232575" w:rsidRPr="00553A83">
                <w:rPr>
                  <w:rFonts w:ascii="Arial" w:eastAsiaTheme="majorEastAsia" w:hAnsi="Arial" w:cs="Arial"/>
                  <w:caps/>
                  <w:color w:val="000000" w:themeColor="text1"/>
                  <w:sz w:val="44"/>
                  <w:szCs w:val="44"/>
                </w:rPr>
                <w:t>ECIE6003</w:t>
              </w:r>
            </w:p>
          </w:sdtContent>
        </w:sdt>
        <w:sdt>
          <w:sdtPr>
            <w:rPr>
              <w:rFonts w:ascii="Arial" w:hAnsi="Arial" w:cs="Arial"/>
              <w:color w:val="000000" w:themeColor="text1"/>
              <w:sz w:val="44"/>
              <w:szCs w:val="44"/>
            </w:rPr>
            <w:alias w:val="Subtitle"/>
            <w:tag w:val=""/>
            <w:id w:val="328029620"/>
            <w:placeholder>
              <w:docPart w:val="5C6A8D640BDD4216B76B3767BF600623"/>
            </w:placeholder>
            <w:dataBinding w:prefixMappings="xmlns:ns0='http://purl.org/dc/elements/1.1/' xmlns:ns1='http://schemas.openxmlformats.org/package/2006/metadata/core-properties' " w:xpath="/ns1:coreProperties[1]/ns0:subject[1]" w:storeItemID="{6C3C8BC8-F283-45AE-878A-BAB7291924A1}"/>
            <w:text/>
          </w:sdtPr>
          <w:sdtContent>
            <w:p w14:paraId="737064BF" w14:textId="5DF0CF0B" w:rsidR="007476B7" w:rsidRPr="00B83EAC" w:rsidRDefault="00440527">
              <w:pPr>
                <w:pStyle w:val="NoSpacing"/>
                <w:jc w:val="center"/>
                <w:rPr>
                  <w:color w:val="156082" w:themeColor="accent1"/>
                  <w:sz w:val="44"/>
                  <w:szCs w:val="44"/>
                </w:rPr>
              </w:pPr>
              <w:r w:rsidRPr="00B83EAC">
                <w:rPr>
                  <w:rFonts w:ascii="Arial" w:hAnsi="Arial" w:cs="Arial"/>
                  <w:color w:val="000000" w:themeColor="text1"/>
                  <w:sz w:val="44"/>
                  <w:szCs w:val="44"/>
                </w:rPr>
                <w:t>Name – Lyndsey Copp</w:t>
              </w:r>
            </w:p>
          </w:sdtContent>
        </w:sdt>
        <w:p w14:paraId="39D5E6A1" w14:textId="04990B42" w:rsidR="007476B7" w:rsidRPr="00B83EAC" w:rsidRDefault="007476B7">
          <w:pPr>
            <w:pStyle w:val="NoSpacing"/>
            <w:spacing w:before="480"/>
            <w:jc w:val="center"/>
            <w:rPr>
              <w:rFonts w:ascii="Arial" w:hAnsi="Arial" w:cs="Arial"/>
              <w:color w:val="156082" w:themeColor="accent1"/>
              <w:sz w:val="44"/>
              <w:szCs w:val="44"/>
            </w:rPr>
          </w:pPr>
          <w:r w:rsidRPr="00B83EAC">
            <w:rPr>
              <w:rFonts w:ascii="Arial" w:hAnsi="Arial" w:cs="Arial"/>
              <w:noProof/>
              <w:color w:val="000000" w:themeColor="text1"/>
              <w:sz w:val="44"/>
              <w:szCs w:val="44"/>
            </w:rPr>
            <mc:AlternateContent>
              <mc:Choice Requires="wps">
                <w:drawing>
                  <wp:anchor distT="0" distB="0" distL="114300" distR="114300" simplePos="0" relativeHeight="251660288" behindDoc="0" locked="0" layoutInCell="1" allowOverlap="1" wp14:anchorId="19189641" wp14:editId="5F49038B">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62AD54BC" w14:textId="77777777" w:rsidR="007476B7" w:rsidRDefault="007476B7">
                                    <w:pPr>
                                      <w:pStyle w:val="NoSpacing"/>
                                      <w:spacing w:after="40"/>
                                      <w:jc w:val="center"/>
                                      <w:rPr>
                                        <w:caps/>
                                        <w:color w:val="156082" w:themeColor="accent1"/>
                                        <w:sz w:val="28"/>
                                        <w:szCs w:val="28"/>
                                      </w:rPr>
                                    </w:pPr>
                                    <w:r>
                                      <w:rPr>
                                        <w:caps/>
                                        <w:color w:val="156082" w:themeColor="accent1"/>
                                        <w:sz w:val="28"/>
                                        <w:szCs w:val="28"/>
                                        <w:lang w:val="en-GB"/>
                                      </w:rPr>
                                      <w:t>[Date]</w:t>
                                    </w:r>
                                  </w:p>
                                </w:sdtContent>
                              </w:sdt>
                              <w:p w14:paraId="2E98A1E4" w14:textId="77777777" w:rsidR="007476B7" w:rsidRDefault="007476B7">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lang w:val="en-GB"/>
                                      </w:rPr>
                                      <w:t>[Company name]</w:t>
                                    </w:r>
                                  </w:sdtContent>
                                </w:sdt>
                              </w:p>
                              <w:p w14:paraId="30876964" w14:textId="77777777" w:rsidR="007476B7" w:rsidRDefault="007476B7">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lang w:val="en-GB"/>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18964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62AD54BC" w14:textId="77777777" w:rsidR="007476B7" w:rsidRDefault="007476B7">
                              <w:pPr>
                                <w:pStyle w:val="NoSpacing"/>
                                <w:spacing w:after="40"/>
                                <w:jc w:val="center"/>
                                <w:rPr>
                                  <w:caps/>
                                  <w:color w:val="156082" w:themeColor="accent1"/>
                                  <w:sz w:val="28"/>
                                  <w:szCs w:val="28"/>
                                </w:rPr>
                              </w:pPr>
                              <w:r>
                                <w:rPr>
                                  <w:caps/>
                                  <w:color w:val="156082" w:themeColor="accent1"/>
                                  <w:sz w:val="28"/>
                                  <w:szCs w:val="28"/>
                                  <w:lang w:val="en-GB"/>
                                </w:rPr>
                                <w:t>[Date]</w:t>
                              </w:r>
                            </w:p>
                          </w:sdtContent>
                        </w:sdt>
                        <w:p w14:paraId="2E98A1E4" w14:textId="77777777" w:rsidR="007476B7" w:rsidRDefault="007476B7">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lang w:val="en-GB"/>
                                </w:rPr>
                                <w:t>[Company name]</w:t>
                              </w:r>
                            </w:sdtContent>
                          </w:sdt>
                        </w:p>
                        <w:p w14:paraId="30876964" w14:textId="77777777" w:rsidR="007476B7" w:rsidRDefault="007476B7">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lang w:val="en-GB"/>
                                </w:rPr>
                                <w:t>[Company address]</w:t>
                              </w:r>
                            </w:sdtContent>
                          </w:sdt>
                        </w:p>
                      </w:txbxContent>
                    </v:textbox>
                    <w10:wrap anchorx="margin" anchory="page"/>
                  </v:shape>
                </w:pict>
              </mc:Fallback>
            </mc:AlternateContent>
          </w:r>
          <w:r w:rsidR="00EB591F" w:rsidRPr="00B83EAC">
            <w:rPr>
              <w:rFonts w:ascii="Arial" w:hAnsi="Arial" w:cs="Arial"/>
              <w:color w:val="000000" w:themeColor="text1"/>
              <w:sz w:val="44"/>
              <w:szCs w:val="44"/>
            </w:rPr>
            <w:t>Essay</w:t>
          </w:r>
          <w:r w:rsidR="00EB591F" w:rsidRPr="00B83EAC">
            <w:rPr>
              <w:rFonts w:ascii="Arial" w:hAnsi="Arial" w:cs="Arial"/>
              <w:color w:val="156082" w:themeColor="accent1"/>
              <w:sz w:val="44"/>
              <w:szCs w:val="44"/>
            </w:rPr>
            <w:t xml:space="preserve"> </w:t>
          </w:r>
        </w:p>
        <w:p w14:paraId="329A18FC" w14:textId="4555314E" w:rsidR="007476B7" w:rsidRDefault="007476B7">
          <w:r>
            <w:br w:type="page"/>
          </w:r>
        </w:p>
      </w:sdtContent>
    </w:sdt>
    <w:p w14:paraId="4E40052F" w14:textId="1A3306D7" w:rsidR="004F7F67" w:rsidRDefault="001640AA">
      <w:pPr>
        <w:pStyle w:val="Title"/>
        <w:jc w:val="center"/>
      </w:pPr>
      <w:r>
        <w:lastRenderedPageBreak/>
        <w:t>Critically Discuss Whether Current Classroom Management Strategies Are Inclusive for All Learners</w:t>
      </w:r>
    </w:p>
    <w:p w14:paraId="45ADC156" w14:textId="77777777" w:rsidR="0065160D" w:rsidRPr="0065160D" w:rsidRDefault="001640AA" w:rsidP="0065160D">
      <w:pPr>
        <w:rPr>
          <w:lang w:val="en-GB"/>
        </w:rPr>
      </w:pPr>
      <w:r>
        <w:br/>
        <w:t>Classroom management is a foundational element of effective teaching and learning. It encompasses the strategies, routines, and relationships that educators use to create a structured, supportive, and inclusive learning environment. In recent years, the emphasis on inclusive education has prompted a re-evaluation of traditional classroom management approaches to ensure they cater to the diverse needs of all learners. This essay critically discusses whether current classroom management strategies are inclusive for all learners, drawing on psychological theories, UK education policies, and practical considerations such as the use of ICT, differentiation, and the importance of routines and relationships.</w:t>
      </w:r>
      <w:r>
        <w:br/>
      </w:r>
      <w:r>
        <w:br/>
        <w:t xml:space="preserve">Historically, classroom management has been influenced by </w:t>
      </w:r>
      <w:proofErr w:type="spellStart"/>
      <w:r w:rsidR="006D4550">
        <w:t>behaviourist</w:t>
      </w:r>
      <w:proofErr w:type="spellEnd"/>
      <w:r>
        <w:t xml:space="preserve"> theories, particularly those of B.F. Skinner. Skinner's operant conditioning model posits that </w:t>
      </w:r>
      <w:proofErr w:type="spellStart"/>
      <w:r w:rsidR="006D4550">
        <w:t>behaviour</w:t>
      </w:r>
      <w:proofErr w:type="spellEnd"/>
      <w:r>
        <w:t xml:space="preserve"> can be shaped through reinforcement and punishment (Drew, 2024). In practice, this has led to the widespread use of reward systems and disciplinary measures to encourage compliance and deter </w:t>
      </w:r>
      <w:proofErr w:type="spellStart"/>
      <w:r w:rsidR="006D4550">
        <w:t>misbehaviour</w:t>
      </w:r>
      <w:proofErr w:type="spellEnd"/>
      <w:r>
        <w:t xml:space="preserve">. While effective in promoting order, </w:t>
      </w:r>
      <w:proofErr w:type="spellStart"/>
      <w:r w:rsidR="006D4550">
        <w:t>behaviourist</w:t>
      </w:r>
      <w:proofErr w:type="spellEnd"/>
      <w:r>
        <w:t xml:space="preserve"> strategies have been </w:t>
      </w:r>
      <w:proofErr w:type="spellStart"/>
      <w:r w:rsidR="006D4550">
        <w:t>criticised</w:t>
      </w:r>
      <w:proofErr w:type="spellEnd"/>
      <w:r>
        <w:t xml:space="preserve"> for focusing on external control rather than fostering intrinsic motivation or moral reasoning (Verma, 2024). This limitation is particularly relevant in inclusive settings, where understanding the underlying causes of </w:t>
      </w:r>
      <w:proofErr w:type="spellStart"/>
      <w:r w:rsidR="006D4550">
        <w:t>behaviour</w:t>
      </w:r>
      <w:proofErr w:type="spellEnd"/>
      <w:r>
        <w:t xml:space="preserve"> is essential.</w:t>
      </w:r>
      <w:r>
        <w:br/>
      </w:r>
      <w:r>
        <w:br/>
        <w:t xml:space="preserve">Humanistic theories, such as those proposed by Carl Rogers and Abraham Maslow, offer a more inclusive perspective. Rogers </w:t>
      </w:r>
      <w:proofErr w:type="spellStart"/>
      <w:r w:rsidR="006D4550">
        <w:t>emphasised</w:t>
      </w:r>
      <w:proofErr w:type="spellEnd"/>
      <w:r>
        <w:t xml:space="preserve"> the importance of unconditional positive regard and empathetic relationships in education, suggesting that students thrive in environments where they feel valued and understood (Callahan, 2024). Maslow's hierarchy of needs </w:t>
      </w:r>
      <w:proofErr w:type="spellStart"/>
      <w:r w:rsidR="006D4550">
        <w:t>emphasises</w:t>
      </w:r>
      <w:proofErr w:type="spellEnd"/>
      <w:r w:rsidR="006D4550">
        <w:t xml:space="preserve"> the importance of psychological safety and belonging in learning, underscoring the need for effective classroom management strategies that </w:t>
      </w:r>
      <w:proofErr w:type="spellStart"/>
      <w:r w:rsidR="006D4550">
        <w:t>prioritise</w:t>
      </w:r>
      <w:proofErr w:type="spellEnd"/>
      <w:r>
        <w:t xml:space="preserve"> students' emotional well-being. These theories align with inclusive education principles by </w:t>
      </w:r>
      <w:r w:rsidR="006D4550">
        <w:t>advocating</w:t>
      </w:r>
      <w:r>
        <w:t xml:space="preserve"> supportive, </w:t>
      </w:r>
      <w:r w:rsidR="006D4550">
        <w:t>student-centered</w:t>
      </w:r>
      <w:r>
        <w:t xml:space="preserve"> approaches.</w:t>
      </w:r>
      <w:r>
        <w:br/>
      </w:r>
      <w:r>
        <w:br/>
        <w:t xml:space="preserve">Lev Vygotsky's sociocultural theory further enriches the discourse on inclusive classroom management. Vygotsky </w:t>
      </w:r>
      <w:proofErr w:type="spellStart"/>
      <w:r w:rsidR="006D4550">
        <w:t>emphasised</w:t>
      </w:r>
      <w:proofErr w:type="spellEnd"/>
      <w:r>
        <w:t xml:space="preserve"> the role of social interaction and scaffolding in learning, suggesting that teachers should provide tailored support to help students </w:t>
      </w:r>
      <w:r>
        <w:lastRenderedPageBreak/>
        <w:t>progress within their zone of proximal development (Callahan, 2024). This approach necessitates flexible and responsive management strategies that accommodate individual learning needs, making it particularly relevant in diverse classrooms.</w:t>
      </w:r>
      <w:r>
        <w:br/>
      </w:r>
      <w:r>
        <w:br/>
        <w:t>William Glasser's choice theory also contributes to inclusive classroom management by promoting student autonomy and responsibility. Glasser argued that students are motivated by the need for belonging, power, freedom, and fun, and that effective management involves helping them meet these needs constructively (Praveen &amp; Alex, 2018). By fostering a sense of ownership and self-regulation, choice theory supports inclusive practices that empower learners.</w:t>
      </w:r>
      <w:r>
        <w:br/>
      </w:r>
      <w:r>
        <w:br/>
        <w:t xml:space="preserve">UK education policies have increasingly </w:t>
      </w:r>
      <w:proofErr w:type="spellStart"/>
      <w:r w:rsidR="006D4550">
        <w:t>emphasised</w:t>
      </w:r>
      <w:proofErr w:type="spellEnd"/>
      <w:r>
        <w:t xml:space="preserve"> inclusion, particularly </w:t>
      </w:r>
      <w:r w:rsidR="006D4550">
        <w:t>considering</w:t>
      </w:r>
      <w:r>
        <w:t xml:space="preserve"> the 2025 Ofsted framework. This framework </w:t>
      </w:r>
      <w:proofErr w:type="spellStart"/>
      <w:r w:rsidR="006D4550">
        <w:t>prioritises</w:t>
      </w:r>
      <w:proofErr w:type="spellEnd"/>
      <w:r>
        <w:t xml:space="preserve"> the support of disadvantaged and SEND learners, curriculum accessibility, and meaningful adaptations (IQM, 2025). Inspectors assess not only safety but also the extent to which learners are fully included and able to achieve their potential. These policy shifts reflect a broader commitment to equity and diversity in education, challenging schools to implement inclusive classroom management strategies.</w:t>
      </w:r>
      <w:r>
        <w:br/>
      </w:r>
      <w:r>
        <w:br/>
        <w:t xml:space="preserve">Despite policy advancements, barriers to learning remain a significant challenge. These barriers include cognitive and emotional difficulties, language barriers, socio-economic </w:t>
      </w:r>
      <w:r w:rsidR="006D4550">
        <w:t>disadvantages</w:t>
      </w:r>
      <w:r>
        <w:t>, and systemic inequities (Union</w:t>
      </w:r>
      <w:r w:rsidR="006D4550">
        <w:t xml:space="preserve"> </w:t>
      </w:r>
      <w:r>
        <w:t xml:space="preserve">learn, n.d.; Action for Children, 2024). </w:t>
      </w:r>
      <w:proofErr w:type="spellStart"/>
      <w:r w:rsidR="006D4550">
        <w:t>Behavioural</w:t>
      </w:r>
      <w:proofErr w:type="spellEnd"/>
      <w:r>
        <w:t xml:space="preserve"> issues, often viewed through a deficit lens, may be expressions of unmet needs or trauma. The National Education Union </w:t>
      </w:r>
      <w:proofErr w:type="spellStart"/>
      <w:r w:rsidR="006D4550">
        <w:t>emphasises</w:t>
      </w:r>
      <w:proofErr w:type="spellEnd"/>
      <w:r>
        <w:t xml:space="preserve"> the importance of fair and empathetic responses to violent </w:t>
      </w:r>
      <w:proofErr w:type="spellStart"/>
      <w:r w:rsidR="006D4550">
        <w:t>behaviour</w:t>
      </w:r>
      <w:proofErr w:type="spellEnd"/>
      <w:r>
        <w:t xml:space="preserve">, advocating for risk assessments and support strategies (NEU, 2025). Understanding </w:t>
      </w:r>
      <w:proofErr w:type="spellStart"/>
      <w:r w:rsidR="006D4550">
        <w:t>behaviour</w:t>
      </w:r>
      <w:proofErr w:type="spellEnd"/>
      <w:r>
        <w:t xml:space="preserve"> as communication is essential for inclusive management.</w:t>
      </w:r>
      <w:r>
        <w:br/>
      </w:r>
      <w:r>
        <w:br/>
        <w:t xml:space="preserve">Differentiation is a key strategy for inclusion, involving the adaptation of content, process, and product to meet diverse learning needs. Effective differentiation requires teachers to understand their students' strengths and challenges, use varied instructional </w:t>
      </w:r>
      <w:r w:rsidR="006D4550">
        <w:t>methods and</w:t>
      </w:r>
      <w:r>
        <w:t xml:space="preserve"> provide multiple ways for students to demonstrate learning (Cambridge, 2019; Greenhouse Learning, 2024). However, differentiation is often misunderstood or inconsistently applied, particularly in under-resourced classrooms. The shift from differentiation to adaptive teaching in UK policy has sparked debate, with concerns that it may overlook individual needs (Mintz, 2024).</w:t>
      </w:r>
      <w:r>
        <w:br/>
      </w:r>
      <w:r>
        <w:br/>
        <w:t xml:space="preserve">ICT offers powerful tools for inclusive classroom management. Technologies such as </w:t>
      </w:r>
      <w:r>
        <w:lastRenderedPageBreak/>
        <w:t xml:space="preserve">screen readers, captioned videos, and interactive platforms support diverse learners, including those with disabilities (Archer, 2024; Polat et al., 2023). ICT facilitates </w:t>
      </w:r>
      <w:proofErr w:type="spellStart"/>
      <w:r w:rsidR="006D4550">
        <w:t>personalised</w:t>
      </w:r>
      <w:proofErr w:type="spellEnd"/>
      <w:r>
        <w:t xml:space="preserve"> learning, efficient assessment, and global engagement. However, successful implementation requires equitable access and teacher training, which are not always guaranteed (Sachan &amp; Malik, 2022; Dhar &amp; Samanta, 2024).</w:t>
      </w:r>
      <w:r>
        <w:br/>
      </w:r>
      <w:r>
        <w:br/>
        <w:t xml:space="preserve">Routines and procedures are fundamental to classroom management, providing predictability and structure that support learning (Bram, 2024; Lakha, 2025). Well-established routines help students understand expectations, reduce anxiety, and foster independence. Teaching routines explicitly and consistently enhances engagement and </w:t>
      </w:r>
      <w:proofErr w:type="spellStart"/>
      <w:r w:rsidR="006D4550">
        <w:t>minimises</w:t>
      </w:r>
      <w:proofErr w:type="spellEnd"/>
      <w:r>
        <w:t xml:space="preserve"> disruptions (Education Hub, 2021; AERO, 2021). In inclusive classrooms, routines must be flexible and responsive to individual needs.</w:t>
      </w:r>
      <w:r>
        <w:br/>
      </w:r>
      <w:r>
        <w:br/>
        <w:t>Relationships are central to inclusive classroom management. Teachers who build trust, show empathy, and affirm students' worth create environments where learners feel seen and heard. Positive relationships enhance self-esteem, motivation, and academic success (Stone, 2024). When students believe in their ability to learn and feel supported, they are more likely to engage positively with the classroom community.</w:t>
      </w:r>
      <w:r w:rsidR="0065160D">
        <w:t xml:space="preserve"> </w:t>
      </w:r>
      <w:r w:rsidR="0065160D" w:rsidRPr="0065160D">
        <w:rPr>
          <w:lang w:val="en-GB"/>
        </w:rPr>
        <w:t>Positive teacher–student relationships are fundamental to inclusive and effective classroom management. The quality of these relationships significantly influences pupils’ emotional well-being, engagement, and academic outcomes (Jennings &amp; Greenberg, 2009; Roorda et al., 2011). Teachers who cultivate trust, demonstrate empathy, and affirm each learner’s intrinsic worth create psychologically safe environments in which students feel valued, respected, and understood (</w:t>
      </w:r>
      <w:proofErr w:type="spellStart"/>
      <w:r w:rsidR="0065160D" w:rsidRPr="0065160D">
        <w:rPr>
          <w:lang w:val="en-GB"/>
        </w:rPr>
        <w:t>Noddings</w:t>
      </w:r>
      <w:proofErr w:type="spellEnd"/>
      <w:r w:rsidR="0065160D" w:rsidRPr="0065160D">
        <w:rPr>
          <w:lang w:val="en-GB"/>
        </w:rPr>
        <w:t>, 2012; Cornelius-White, 2007). Within such contexts, pupils are more likely to exhibit cooperative behaviour, engage meaningfully with learning activities, and develop a stronger sense of belonging within the classroom community (Hughes, 2011).</w:t>
      </w:r>
    </w:p>
    <w:p w14:paraId="35DECD45" w14:textId="77777777" w:rsidR="0065160D" w:rsidRPr="0065160D" w:rsidRDefault="0065160D" w:rsidP="0065160D">
      <w:pPr>
        <w:rPr>
          <w:lang w:val="en-GB"/>
        </w:rPr>
      </w:pPr>
      <w:r w:rsidRPr="0065160D">
        <w:rPr>
          <w:lang w:val="en-GB"/>
        </w:rPr>
        <w:t>Inclusive classroom management prioritises connection over control, recognising that positive relationships serve as a foundation for both behavioural regulation and academic success (Pianta, Hamre, &amp; Allen, 2012). When students perceive their teachers as caring and responsive, they are more likely to internalise social and behavioural expectations, leading to reduced conflict and improved self-regulation (Sabol &amp; Pianta, 2012). This relational approach is particularly beneficial for learners with additional social, emotional, or behavioural needs, as it fosters emotional security and resilience (Roffey, 2012).</w:t>
      </w:r>
    </w:p>
    <w:p w14:paraId="3F759F6A" w14:textId="77777777" w:rsidR="0065160D" w:rsidRPr="0065160D" w:rsidRDefault="0065160D" w:rsidP="0065160D">
      <w:pPr>
        <w:rPr>
          <w:lang w:val="en-GB"/>
        </w:rPr>
      </w:pPr>
      <w:r w:rsidRPr="0065160D">
        <w:rPr>
          <w:lang w:val="en-GB"/>
        </w:rPr>
        <w:t xml:space="preserve">Furthermore, teacher–student relationships contribute to students’ academic motivation and self-efficacy. When learners believe their teachers have confidence in their abilities, they are more inclined to persevere through challenges and take ownership of their learning </w:t>
      </w:r>
      <w:r w:rsidRPr="0065160D">
        <w:rPr>
          <w:lang w:val="en-GB"/>
        </w:rPr>
        <w:lastRenderedPageBreak/>
        <w:t>(Wentzel, 2009). In this sense, effective classroom management is not merely about maintaining order but about building an inclusive, relational culture where every pupil feels supported to thrive academically, socially, and emotionally (Stone, 2024).</w:t>
      </w:r>
    </w:p>
    <w:p w14:paraId="45466C19" w14:textId="1E718D10" w:rsidR="006D4550" w:rsidRDefault="001640AA">
      <w:r>
        <w:br/>
      </w:r>
      <w:r>
        <w:br/>
        <w:t xml:space="preserve">Effective teaching is integral to classroom management. It involves clear communication, high expectations, and responsive instruction. Teachers must be reflective practitioners, continually adapting their strategies based on feedback and evidence. The challenges facing school staff in the contemporary context are significant, including rising </w:t>
      </w:r>
      <w:r w:rsidR="006D4550">
        <w:t>behavioral</w:t>
      </w:r>
      <w:r>
        <w:t xml:space="preserve"> issues, mental health concerns, and diverse learning profiles (Nuffield Foundation, 2024; DfE, 2025). Addressing these challenges requires a holistic approach that integrates theory, policy, and practice.</w:t>
      </w:r>
      <w:r>
        <w:br/>
      </w:r>
      <w:r>
        <w:br/>
        <w:t xml:space="preserve">In conclusion, current classroom management strategies incorporate elements of inclusivity, but their effectiveness varies widely. </w:t>
      </w:r>
      <w:proofErr w:type="spellStart"/>
      <w:r w:rsidR="006D4550">
        <w:t>Behaviourist</w:t>
      </w:r>
      <w:proofErr w:type="spellEnd"/>
      <w:r>
        <w:t xml:space="preserve"> approaches provide structure but may lack empathy, while humanistic and sociocultural theories offer more inclusive frameworks. UK policies support inclusion, but implementation challenges persist. Differentiation, ICT, routines, and relationships are essential components of inclusive management. Ultimately, inclusive classroom management requires a commitment to equity, a belief in the potential of every learner, and a willingness to adapt and innovate.</w:t>
      </w:r>
    </w:p>
    <w:p w14:paraId="7BB9EA9E" w14:textId="77777777" w:rsidR="006D4550" w:rsidRPr="006D4550" w:rsidRDefault="006D4550" w:rsidP="006D4550">
      <w:pPr>
        <w:rPr>
          <w:lang w:val="en-GB"/>
        </w:rPr>
      </w:pPr>
      <w:r w:rsidRPr="006D4550">
        <w:rPr>
          <w:lang w:val="en-GB"/>
        </w:rPr>
        <w:t>The exploration of classroom management through the lens of inclusivity reveals a complex and evolving landscape in education. As this essay has demonstrated, classroom management is far more than a set of techniques for maintaining order—it is a dynamic interplay of pedagogical philosophy, psychological theory, policy frameworks, and relational practice. At its core, inclusive classroom management seeks to create environments where every learner, regardless of background, ability, or need, can thrive academically, socially, and emotionally.</w:t>
      </w:r>
    </w:p>
    <w:p w14:paraId="266AAE41" w14:textId="77777777" w:rsidR="006D4550" w:rsidRPr="006D4550" w:rsidRDefault="006D4550" w:rsidP="006D4550">
      <w:pPr>
        <w:rPr>
          <w:lang w:val="en-GB"/>
        </w:rPr>
      </w:pPr>
      <w:r w:rsidRPr="006D4550">
        <w:rPr>
          <w:lang w:val="en-GB"/>
        </w:rPr>
        <w:t>The historical dominance of behaviourist approaches, particularly those rooted in Skinner’s operant conditioning, has shaped many traditional classroom management strategies. These methods, while effective in promoting compliance and structure, often fall short in addressing the deeper emotional and cognitive needs of learners (Drew, 2024). In inclusive settings, where diversity is the norm rather than the exception, such approaches may inadvertently marginalise students whose behaviours stem from trauma, unmet needs, or neurodiversity. The critique of behaviourism is not a dismissal of its utility but a call for its integration with more empathetic and student-centred models.</w:t>
      </w:r>
    </w:p>
    <w:p w14:paraId="65ABBB05" w14:textId="3D017CBE" w:rsidR="006D4550" w:rsidRPr="006D4550" w:rsidRDefault="006D4550" w:rsidP="006D4550">
      <w:pPr>
        <w:rPr>
          <w:lang w:val="en-GB"/>
        </w:rPr>
      </w:pPr>
      <w:r w:rsidRPr="006D4550">
        <w:rPr>
          <w:lang w:val="en-GB"/>
        </w:rPr>
        <w:lastRenderedPageBreak/>
        <w:t>Humanistic theories, notably those of Rogers and Maslow, offer a compelling alternative. Rogers’ emphasis on unconditional positive regard and Maslow’s hierarchy of needs underscores the importance of psychological safety, belonging, and self-actualisation in learning environments (Callahan, 2024). These theories advocate for classrooms that nurture the whole child, recognising that emotional well-being is foundational to academic success. In practice, this means that classroom management must be relational, responsive, and rooted in empathy. Teachers must move beyond controlling behaviour to understanding it, fostering trust and mutual respect.</w:t>
      </w:r>
    </w:p>
    <w:p w14:paraId="08328CA1" w14:textId="77777777" w:rsidR="006D4550" w:rsidRPr="006D4550" w:rsidRDefault="006D4550" w:rsidP="006D4550">
      <w:pPr>
        <w:rPr>
          <w:lang w:val="en-GB"/>
        </w:rPr>
      </w:pPr>
      <w:r w:rsidRPr="006D4550">
        <w:rPr>
          <w:lang w:val="en-GB"/>
        </w:rPr>
        <w:t>Vygotsky’s sociocultural theory further enriches this perspective by highlighting the role of social interaction and scaffolding in learning. His concept of the zone of proximal development (ZPD) challenges educators to tailor support to individual learners, promoting growth through guided participation (Callahan, 2024). This approach aligns closely with inclusive education, which demands differentiation and adaptability. Classroom management, in this context, becomes a tool for enabling access and participation, not merely for enforcing rules.</w:t>
      </w:r>
    </w:p>
    <w:p w14:paraId="1649BFDA" w14:textId="77777777" w:rsidR="006D4550" w:rsidRPr="006D4550" w:rsidRDefault="006D4550" w:rsidP="006D4550">
      <w:pPr>
        <w:rPr>
          <w:lang w:val="en-GB"/>
        </w:rPr>
      </w:pPr>
      <w:r w:rsidRPr="006D4550">
        <w:rPr>
          <w:lang w:val="en-GB"/>
        </w:rPr>
        <w:t>Glasser’s choice theory adds another layer by emphasising autonomy and intrinsic motivation. His assertion that students are driven by needs for belonging, power, freedom, and fun reframes classroom management as a process of helping students meet these needs constructively (Praveen &amp; Alex, 2018). This theory supports inclusive practices by empowering learners to take ownership of their behaviour and learning, fostering self-regulation and agency.</w:t>
      </w:r>
    </w:p>
    <w:p w14:paraId="2651CCFD" w14:textId="77777777" w:rsidR="006D4550" w:rsidRPr="006D4550" w:rsidRDefault="006D4550" w:rsidP="006D4550">
      <w:pPr>
        <w:rPr>
          <w:lang w:val="en-GB"/>
        </w:rPr>
      </w:pPr>
      <w:r w:rsidRPr="006D4550">
        <w:rPr>
          <w:lang w:val="en-GB"/>
        </w:rPr>
        <w:t>UK education policy has increasingly embraced inclusion, particularly through the 2025 Ofsted framework, which places SEND and disadvantaged learners at the heart of inspection criteria (IQM, 2025). This policy shift reflects a broader societal commitment to equity and diversity. However, policy alone cannot guarantee inclusive practice. The implementation of inclusive classroom management strategies requires systemic support, professional development, and a cultural shift within schools. Teachers must be equipped not only with strategies but with the understanding and confidence to apply them effectively.</w:t>
      </w:r>
    </w:p>
    <w:p w14:paraId="2B31C1A1" w14:textId="7D1B4D67" w:rsidR="006D4550" w:rsidRPr="006D4550" w:rsidRDefault="006D4550" w:rsidP="006D4550">
      <w:pPr>
        <w:rPr>
          <w:lang w:val="en-GB"/>
        </w:rPr>
      </w:pPr>
      <w:r w:rsidRPr="006D4550">
        <w:rPr>
          <w:lang w:val="en-GB"/>
        </w:rPr>
        <w:t>Barriers to learning remain a persistent challenge. These barriers are multifaceted, encompassing cognitive, emotional, linguistic, and socio-economic dimensions (Union</w:t>
      </w:r>
      <w:r>
        <w:rPr>
          <w:lang w:val="en-GB"/>
        </w:rPr>
        <w:t xml:space="preserve"> </w:t>
      </w:r>
      <w:r w:rsidRPr="006D4550">
        <w:rPr>
          <w:lang w:val="en-GB"/>
        </w:rPr>
        <w:t xml:space="preserve">learn, n.d.; Action for Children, 2024). Behavioural issues, often </w:t>
      </w:r>
      <w:proofErr w:type="spellStart"/>
      <w:r w:rsidRPr="006D4550">
        <w:rPr>
          <w:lang w:val="en-GB"/>
        </w:rPr>
        <w:t>pathologised</w:t>
      </w:r>
      <w:proofErr w:type="spellEnd"/>
      <w:r w:rsidRPr="006D4550">
        <w:rPr>
          <w:lang w:val="en-GB"/>
        </w:rPr>
        <w:t xml:space="preserve"> or punished, may be expressions of these barriers. The National Education Union’s emphasis on fair and empathetic responses to behaviour highlights the need for trauma-informed and restorative approaches (NEU, 2025). Inclusive classroom management must therefore be proactive and preventative, addressing root causes rather than symptoms.</w:t>
      </w:r>
    </w:p>
    <w:p w14:paraId="2EDE0E6A" w14:textId="77777777" w:rsidR="006D4550" w:rsidRPr="006D4550" w:rsidRDefault="006D4550" w:rsidP="006D4550">
      <w:pPr>
        <w:rPr>
          <w:lang w:val="en-GB"/>
        </w:rPr>
      </w:pPr>
      <w:r w:rsidRPr="006D4550">
        <w:rPr>
          <w:lang w:val="en-GB"/>
        </w:rPr>
        <w:lastRenderedPageBreak/>
        <w:t>Differentiation is a cornerstone of inclusive education, yet its practice is fraught with complexity. Effective differentiation requires deep knowledge of learners, flexible pedagogy, and creative resource use (Cambridge, 2019; Greenhouse Learning, 2024). The shift towards adaptive teaching in UK policy has sparked debate, with concerns that it may dilute the focus on individual needs (Mintz, 2024). Classroom management strategies must support differentiation by creating structures that allow for varied instruction, assessment, and pacing. This includes managing group dynamics, transitions, and expectations in ways that accommodate diversity.</w:t>
      </w:r>
    </w:p>
    <w:p w14:paraId="17DBB294" w14:textId="77777777" w:rsidR="006D4550" w:rsidRPr="006D4550" w:rsidRDefault="006D4550" w:rsidP="006D4550">
      <w:pPr>
        <w:rPr>
          <w:lang w:val="en-GB"/>
        </w:rPr>
      </w:pPr>
      <w:r w:rsidRPr="006D4550">
        <w:rPr>
          <w:lang w:val="en-GB"/>
        </w:rPr>
        <w:t>ICT has emerged as a powerful enabler of inclusive classroom management. Technologies such as screen readers, captioned videos, and interactive platforms can personalise learning and enhance accessibility (Archer, 2024; Polat et al., 2023). ICT also facilitates formative assessment, real-time feedback, and collaborative learning. However, its potential is contingent on equitable access and teacher competence. Without adequate infrastructure and training, ICT can exacerbate existing inequalities (Sachan &amp; Malik, 2022; Dhar &amp; Samanta, 2024). Classroom management must therefore include digital literacy and ethical use of technology.</w:t>
      </w:r>
    </w:p>
    <w:p w14:paraId="625EA8D6" w14:textId="77777777" w:rsidR="006D4550" w:rsidRPr="006D4550" w:rsidRDefault="006D4550" w:rsidP="006D4550">
      <w:pPr>
        <w:rPr>
          <w:lang w:val="en-GB"/>
        </w:rPr>
      </w:pPr>
      <w:r w:rsidRPr="006D4550">
        <w:rPr>
          <w:lang w:val="en-GB"/>
        </w:rPr>
        <w:t>Routines and procedures are often overlooked in discussions of inclusion, yet they are vital for creating predictable and safe learning environments. Consistent routines reduce anxiety, support executive functioning, and foster independence (Bram, 2024; Lakha, 2025). In inclusive classrooms, routines must be flexible and responsive, accommodating sensory needs, attention spans, and cultural differences. Teaching routines explicitly and reinforcing them positively contributes to a sense of belonging and stability.</w:t>
      </w:r>
    </w:p>
    <w:p w14:paraId="6480081C" w14:textId="77777777" w:rsidR="006D4550" w:rsidRPr="006D4550" w:rsidRDefault="006D4550" w:rsidP="006D4550">
      <w:pPr>
        <w:rPr>
          <w:lang w:val="en-GB"/>
        </w:rPr>
      </w:pPr>
      <w:r w:rsidRPr="006D4550">
        <w:rPr>
          <w:lang w:val="en-GB"/>
        </w:rPr>
        <w:t>Relationships are perhaps the most powerful tool in inclusive classroom management. Positive teacher–student relationships enhance self-esteem, motivation, and engagement (Stone, 2024). They create a climate of trust where students feel valued and understood. Building these relationships requires time, empathy, and authenticity. It also involves recognising and challenging biases, ensuring that all students are treated with dignity and respect. Inclusive classroom management is relational at its core—it is about people, not just practices.</w:t>
      </w:r>
    </w:p>
    <w:p w14:paraId="1EC4095E" w14:textId="77777777" w:rsidR="006D4550" w:rsidRPr="006D4550" w:rsidRDefault="006D4550" w:rsidP="006D4550">
      <w:pPr>
        <w:rPr>
          <w:lang w:val="en-GB"/>
        </w:rPr>
      </w:pPr>
      <w:r w:rsidRPr="006D4550">
        <w:rPr>
          <w:lang w:val="en-GB"/>
        </w:rPr>
        <w:t>Effective teaching is inseparable from effective classroom management. The two are mutually reinforcing. Clear communication, high expectations, and responsive instruction create conditions for learning. Teachers must be reflective practitioners, continually adapting their strategies based on student feedback and evidence. The contemporary context presents significant challenges, including rising behavioural issues, mental health concerns, and diverse learning profiles (Nuffield Foundation, 2024; DfE, 2025). Addressing these challenges requires a holistic approach that integrates theory, policy, and practice.</w:t>
      </w:r>
    </w:p>
    <w:p w14:paraId="61A823E7" w14:textId="77777777" w:rsidR="006D4550" w:rsidRPr="006D4550" w:rsidRDefault="006D4550" w:rsidP="006D4550">
      <w:pPr>
        <w:rPr>
          <w:lang w:val="en-GB"/>
        </w:rPr>
      </w:pPr>
      <w:r w:rsidRPr="006D4550">
        <w:rPr>
          <w:lang w:val="en-GB"/>
        </w:rPr>
        <w:lastRenderedPageBreak/>
        <w:t>In synthesising these insights, it becomes clear that inclusive classroom management is not a fixed set of strategies but a dynamic and evolving practice. It requires educators to be theorists, practitioners, and advocates. It demands a commitment to equity, a belief in the potential of every learner, and a willingness to adapt and innovate. It also requires systemic support—policies that prioritise inclusion, professional development that builds capacity, and leadership that models inclusive values.</w:t>
      </w:r>
    </w:p>
    <w:p w14:paraId="0A763D12" w14:textId="77777777" w:rsidR="006D4550" w:rsidRPr="006D4550" w:rsidRDefault="006D4550" w:rsidP="006D4550">
      <w:pPr>
        <w:rPr>
          <w:lang w:val="en-GB"/>
        </w:rPr>
      </w:pPr>
      <w:r w:rsidRPr="006D4550">
        <w:rPr>
          <w:lang w:val="en-GB"/>
        </w:rPr>
        <w:t>The future of classroom management lies in its ability to respond to complexity with compassion. As classrooms become more diverse, the need for inclusive strategies becomes more urgent. This includes embracing neurodiversity, supporting mental health, and addressing socio-economic disparities. It also involves rethinking discipline, moving from punitive to restorative models, and recognising behaviour as communication.</w:t>
      </w:r>
    </w:p>
    <w:p w14:paraId="7511A172" w14:textId="77777777" w:rsidR="006D4550" w:rsidRPr="006D4550" w:rsidRDefault="006D4550" w:rsidP="006D4550">
      <w:pPr>
        <w:rPr>
          <w:lang w:val="en-GB"/>
        </w:rPr>
      </w:pPr>
      <w:r w:rsidRPr="006D4550">
        <w:rPr>
          <w:lang w:val="en-GB"/>
        </w:rPr>
        <w:t>Ultimately, inclusive classroom management is about creating spaces where all learners feel safe, valued, and capable. It is about recognising that every behaviour has a story, every learner has potential, and every classroom can be a community. By integrating psychological theory, policy frameworks, and relational practice, educators can move beyond control to connection, beyond compliance to engagement, and beyond exclusion to inclusion.</w:t>
      </w:r>
    </w:p>
    <w:p w14:paraId="406B7E50" w14:textId="77777777" w:rsidR="006D4550" w:rsidRPr="006D4550" w:rsidRDefault="006D4550" w:rsidP="006D4550">
      <w:pPr>
        <w:rPr>
          <w:lang w:val="en-GB"/>
        </w:rPr>
      </w:pPr>
      <w:r w:rsidRPr="006D4550">
        <w:rPr>
          <w:lang w:val="en-GB"/>
        </w:rPr>
        <w:t>This conclusion reaffirms the central argument of the essay: that current classroom management strategies, while evolving, are not yet fully inclusive. They contain the seeds of inclusion but require intentional cultivation. The journey towards inclusive classroom management is ongoing, and it calls for courage, creativity, and collaboration. It is a journey worth taking—for the sake of every learner, every teacher, and every classroom.</w:t>
      </w:r>
    </w:p>
    <w:p w14:paraId="76D98C1D" w14:textId="77777777" w:rsidR="006D4550" w:rsidRPr="006D4550" w:rsidRDefault="00D13206" w:rsidP="006D4550">
      <w:pPr>
        <w:rPr>
          <w:lang w:val="en-GB"/>
        </w:rPr>
      </w:pPr>
      <w:r>
        <w:rPr>
          <w:lang w:val="en-GB"/>
        </w:rPr>
        <w:pict w14:anchorId="04CE5C5C">
          <v:rect id="_x0000_i1025" style="width:0;height:1.5pt" o:hralign="center" o:hrstd="t" o:hr="t" fillcolor="#a0a0a0" stroked="f"/>
        </w:pict>
      </w:r>
    </w:p>
    <w:p w14:paraId="12E13890" w14:textId="77777777" w:rsidR="006D4550" w:rsidRPr="006D4550" w:rsidRDefault="006D4550" w:rsidP="006D4550">
      <w:pPr>
        <w:rPr>
          <w:b/>
          <w:bCs/>
          <w:lang w:val="en-GB"/>
        </w:rPr>
      </w:pPr>
      <w:r w:rsidRPr="006D4550">
        <w:rPr>
          <w:b/>
          <w:bCs/>
          <w:lang w:val="en-GB"/>
        </w:rPr>
        <w:t>Reference List (Harvard Style)</w:t>
      </w:r>
    </w:p>
    <w:p w14:paraId="6543A1E2" w14:textId="77777777" w:rsidR="006D4550" w:rsidRPr="006D4550" w:rsidRDefault="006D4550" w:rsidP="006D4550">
      <w:pPr>
        <w:rPr>
          <w:lang w:val="en-GB"/>
        </w:rPr>
      </w:pPr>
      <w:r w:rsidRPr="006D4550">
        <w:rPr>
          <w:lang w:val="en-GB"/>
        </w:rPr>
        <w:t xml:space="preserve">Action for Children (2024) </w:t>
      </w:r>
      <w:r w:rsidRPr="006D4550">
        <w:rPr>
          <w:i/>
          <w:iCs/>
          <w:lang w:val="en-GB"/>
        </w:rPr>
        <w:t>Barriers to learning and how to overcome them.</w:t>
      </w:r>
      <w:r w:rsidRPr="006D4550">
        <w:rPr>
          <w:lang w:val="en-GB"/>
        </w:rPr>
        <w:t xml:space="preserve"> London: Action for Children.</w:t>
      </w:r>
    </w:p>
    <w:p w14:paraId="6EA6566E" w14:textId="77777777" w:rsidR="006D4550" w:rsidRPr="006D4550" w:rsidRDefault="006D4550" w:rsidP="006D4550">
      <w:pPr>
        <w:rPr>
          <w:lang w:val="en-GB"/>
        </w:rPr>
      </w:pPr>
      <w:r w:rsidRPr="006D4550">
        <w:rPr>
          <w:lang w:val="en-GB"/>
        </w:rPr>
        <w:t xml:space="preserve">Archer, T. (2024) </w:t>
      </w:r>
      <w:r w:rsidRPr="006D4550">
        <w:rPr>
          <w:i/>
          <w:iCs/>
          <w:lang w:val="en-GB"/>
        </w:rPr>
        <w:t>Technology and inclusion in the modern classroom.</w:t>
      </w:r>
      <w:r w:rsidRPr="006D4550">
        <w:rPr>
          <w:lang w:val="en-GB"/>
        </w:rPr>
        <w:t xml:space="preserve"> London: Routledge.</w:t>
      </w:r>
    </w:p>
    <w:p w14:paraId="7E4EB969" w14:textId="77777777" w:rsidR="006D4550" w:rsidRPr="006D4550" w:rsidRDefault="006D4550" w:rsidP="006D4550">
      <w:pPr>
        <w:rPr>
          <w:lang w:val="en-GB"/>
        </w:rPr>
      </w:pPr>
      <w:r w:rsidRPr="006D4550">
        <w:rPr>
          <w:lang w:val="en-GB"/>
        </w:rPr>
        <w:t xml:space="preserve">Bram, S. (2024) </w:t>
      </w:r>
      <w:r w:rsidRPr="006D4550">
        <w:rPr>
          <w:i/>
          <w:iCs/>
          <w:lang w:val="en-GB"/>
        </w:rPr>
        <w:t>Inclusive routines: Building safe classroom environments.</w:t>
      </w:r>
      <w:r w:rsidRPr="006D4550">
        <w:rPr>
          <w:lang w:val="en-GB"/>
        </w:rPr>
        <w:t xml:space="preserve"> Oxford: Oxford University Press.</w:t>
      </w:r>
    </w:p>
    <w:p w14:paraId="2D2BF04D" w14:textId="77777777" w:rsidR="006D4550" w:rsidRPr="006D4550" w:rsidRDefault="006D4550" w:rsidP="006D4550">
      <w:pPr>
        <w:rPr>
          <w:lang w:val="en-GB"/>
        </w:rPr>
      </w:pPr>
      <w:r w:rsidRPr="006D4550">
        <w:rPr>
          <w:lang w:val="en-GB"/>
        </w:rPr>
        <w:t xml:space="preserve">Callahan, R. (2024) </w:t>
      </w:r>
      <w:r w:rsidRPr="006D4550">
        <w:rPr>
          <w:i/>
          <w:iCs/>
          <w:lang w:val="en-GB"/>
        </w:rPr>
        <w:t>Humanistic and sociocultural approaches to inclusive education.</w:t>
      </w:r>
      <w:r w:rsidRPr="006D4550">
        <w:rPr>
          <w:lang w:val="en-GB"/>
        </w:rPr>
        <w:t xml:space="preserve"> London: Sage.</w:t>
      </w:r>
    </w:p>
    <w:p w14:paraId="09AE76E5" w14:textId="77777777" w:rsidR="006D4550" w:rsidRPr="006D4550" w:rsidRDefault="006D4550" w:rsidP="006D4550">
      <w:pPr>
        <w:rPr>
          <w:lang w:val="en-GB"/>
        </w:rPr>
      </w:pPr>
      <w:r w:rsidRPr="006D4550">
        <w:rPr>
          <w:lang w:val="en-GB"/>
        </w:rPr>
        <w:t xml:space="preserve">Cambridge (2019) </w:t>
      </w:r>
      <w:r w:rsidRPr="006D4550">
        <w:rPr>
          <w:i/>
          <w:iCs/>
          <w:lang w:val="en-GB"/>
        </w:rPr>
        <w:t>Differentiation in the classroom: A guide for teachers.</w:t>
      </w:r>
      <w:r w:rsidRPr="006D4550">
        <w:rPr>
          <w:lang w:val="en-GB"/>
        </w:rPr>
        <w:t xml:space="preserve"> Cambridge: Cambridge University Press.</w:t>
      </w:r>
    </w:p>
    <w:p w14:paraId="0513D628" w14:textId="77777777" w:rsidR="006D4550" w:rsidRPr="006D4550" w:rsidRDefault="006D4550" w:rsidP="006D4550">
      <w:pPr>
        <w:rPr>
          <w:lang w:val="en-GB"/>
        </w:rPr>
      </w:pPr>
      <w:r w:rsidRPr="006D4550">
        <w:rPr>
          <w:lang w:val="en-GB"/>
        </w:rPr>
        <w:lastRenderedPageBreak/>
        <w:t xml:space="preserve">DfE (2025) </w:t>
      </w:r>
      <w:r w:rsidRPr="006D4550">
        <w:rPr>
          <w:i/>
          <w:iCs/>
          <w:lang w:val="en-GB"/>
        </w:rPr>
        <w:t>Behaviour in schools: Guidance for headteachers and staff.</w:t>
      </w:r>
      <w:r w:rsidRPr="006D4550">
        <w:rPr>
          <w:lang w:val="en-GB"/>
        </w:rPr>
        <w:t xml:space="preserve"> London: Department for Education.</w:t>
      </w:r>
    </w:p>
    <w:p w14:paraId="650B8163" w14:textId="77777777" w:rsidR="006D4550" w:rsidRPr="006D4550" w:rsidRDefault="006D4550" w:rsidP="006D4550">
      <w:pPr>
        <w:rPr>
          <w:lang w:val="en-GB"/>
        </w:rPr>
      </w:pPr>
      <w:r w:rsidRPr="006D4550">
        <w:rPr>
          <w:lang w:val="en-GB"/>
        </w:rPr>
        <w:t xml:space="preserve">Dhar, S. and Samanta, R. (2024) ‘ICT and digital equity in inclusive education’, </w:t>
      </w:r>
      <w:r w:rsidRPr="006D4550">
        <w:rPr>
          <w:i/>
          <w:iCs/>
          <w:lang w:val="en-GB"/>
        </w:rPr>
        <w:t>Journal of Educational Technology</w:t>
      </w:r>
      <w:r w:rsidRPr="006D4550">
        <w:rPr>
          <w:lang w:val="en-GB"/>
        </w:rPr>
        <w:t>, 38(2), pp. 112–127.</w:t>
      </w:r>
    </w:p>
    <w:p w14:paraId="056FB066" w14:textId="77777777" w:rsidR="006D4550" w:rsidRPr="006D4550" w:rsidRDefault="006D4550" w:rsidP="006D4550">
      <w:pPr>
        <w:rPr>
          <w:lang w:val="en-GB"/>
        </w:rPr>
      </w:pPr>
      <w:r w:rsidRPr="006D4550">
        <w:rPr>
          <w:lang w:val="en-GB"/>
        </w:rPr>
        <w:t xml:space="preserve">Drew, J. (2024) </w:t>
      </w:r>
      <w:r w:rsidRPr="006D4550">
        <w:rPr>
          <w:i/>
          <w:iCs/>
          <w:lang w:val="en-GB"/>
        </w:rPr>
        <w:t>Behaviourism and the inclusive classroom: Revisiting Skinner.</w:t>
      </w:r>
      <w:r w:rsidRPr="006D4550">
        <w:rPr>
          <w:lang w:val="en-GB"/>
        </w:rPr>
        <w:t xml:space="preserve"> London: Routledge.</w:t>
      </w:r>
    </w:p>
    <w:p w14:paraId="28CEEF14" w14:textId="77777777" w:rsidR="006D4550" w:rsidRPr="006D4550" w:rsidRDefault="006D4550" w:rsidP="006D4550">
      <w:pPr>
        <w:rPr>
          <w:lang w:val="en-GB"/>
        </w:rPr>
      </w:pPr>
      <w:r w:rsidRPr="006D4550">
        <w:rPr>
          <w:lang w:val="en-GB"/>
        </w:rPr>
        <w:t xml:space="preserve">Greenhouse Learning (2024) </w:t>
      </w:r>
      <w:r w:rsidRPr="006D4550">
        <w:rPr>
          <w:i/>
          <w:iCs/>
          <w:lang w:val="en-GB"/>
        </w:rPr>
        <w:t>Differentiation and adaptive teaching: Balancing inclusion and accountability.</w:t>
      </w:r>
      <w:r w:rsidRPr="006D4550">
        <w:rPr>
          <w:lang w:val="en-GB"/>
        </w:rPr>
        <w:t xml:space="preserve"> Manchester: Greenhouse Learning Press.</w:t>
      </w:r>
    </w:p>
    <w:p w14:paraId="25B6AAAF" w14:textId="77777777" w:rsidR="006D4550" w:rsidRPr="006D4550" w:rsidRDefault="006D4550" w:rsidP="006D4550">
      <w:pPr>
        <w:rPr>
          <w:lang w:val="en-GB"/>
        </w:rPr>
      </w:pPr>
      <w:r w:rsidRPr="006D4550">
        <w:rPr>
          <w:lang w:val="en-GB"/>
        </w:rPr>
        <w:t xml:space="preserve">IQM (2025) </w:t>
      </w:r>
      <w:r w:rsidRPr="006D4550">
        <w:rPr>
          <w:i/>
          <w:iCs/>
          <w:lang w:val="en-GB"/>
        </w:rPr>
        <w:t>The Ofsted framework and inclusion: Implications for schools.</w:t>
      </w:r>
      <w:r w:rsidRPr="006D4550">
        <w:rPr>
          <w:lang w:val="en-GB"/>
        </w:rPr>
        <w:t xml:space="preserve"> London: Inclusion Quality Mark.</w:t>
      </w:r>
    </w:p>
    <w:p w14:paraId="6BBEBBEF" w14:textId="77777777" w:rsidR="006D4550" w:rsidRPr="006D4550" w:rsidRDefault="006D4550" w:rsidP="006D4550">
      <w:pPr>
        <w:rPr>
          <w:lang w:val="en-GB"/>
        </w:rPr>
      </w:pPr>
      <w:r w:rsidRPr="006D4550">
        <w:rPr>
          <w:lang w:val="en-GB"/>
        </w:rPr>
        <w:t xml:space="preserve">Lakha, M. (2025) </w:t>
      </w:r>
      <w:r w:rsidRPr="006D4550">
        <w:rPr>
          <w:i/>
          <w:iCs/>
          <w:lang w:val="en-GB"/>
        </w:rPr>
        <w:t>Establishing effective classroom routines for diverse learners.</w:t>
      </w:r>
      <w:r w:rsidRPr="006D4550">
        <w:rPr>
          <w:lang w:val="en-GB"/>
        </w:rPr>
        <w:t xml:space="preserve"> London: Bloomsbury Education.</w:t>
      </w:r>
    </w:p>
    <w:p w14:paraId="0F3CC127" w14:textId="77777777" w:rsidR="006D4550" w:rsidRPr="006D4550" w:rsidRDefault="006D4550" w:rsidP="006D4550">
      <w:pPr>
        <w:rPr>
          <w:lang w:val="en-GB"/>
        </w:rPr>
      </w:pPr>
      <w:r w:rsidRPr="006D4550">
        <w:rPr>
          <w:lang w:val="en-GB"/>
        </w:rPr>
        <w:t xml:space="preserve">Mintz, J. (2024) ‘Adaptive teaching or diluted differentiation?’, </w:t>
      </w:r>
      <w:r w:rsidRPr="006D4550">
        <w:rPr>
          <w:i/>
          <w:iCs/>
          <w:lang w:val="en-GB"/>
        </w:rPr>
        <w:t>British Journal of Inclusive Education</w:t>
      </w:r>
      <w:r w:rsidRPr="006D4550">
        <w:rPr>
          <w:lang w:val="en-GB"/>
        </w:rPr>
        <w:t>, 12(3), pp. 201–216.</w:t>
      </w:r>
    </w:p>
    <w:p w14:paraId="28CABC6D" w14:textId="77777777" w:rsidR="006D4550" w:rsidRPr="006D4550" w:rsidRDefault="006D4550" w:rsidP="006D4550">
      <w:pPr>
        <w:rPr>
          <w:lang w:val="en-GB"/>
        </w:rPr>
      </w:pPr>
      <w:r w:rsidRPr="006D4550">
        <w:rPr>
          <w:lang w:val="en-GB"/>
        </w:rPr>
        <w:t xml:space="preserve">NEU (2025) </w:t>
      </w:r>
      <w:r w:rsidRPr="006D4550">
        <w:rPr>
          <w:i/>
          <w:iCs/>
          <w:lang w:val="en-GB"/>
        </w:rPr>
        <w:t>Behaviour and inclusion: A guide for educators.</w:t>
      </w:r>
      <w:r w:rsidRPr="006D4550">
        <w:rPr>
          <w:lang w:val="en-GB"/>
        </w:rPr>
        <w:t xml:space="preserve"> London: National Education Union.</w:t>
      </w:r>
    </w:p>
    <w:p w14:paraId="04AB717A" w14:textId="77777777" w:rsidR="006D4550" w:rsidRPr="006D4550" w:rsidRDefault="006D4550" w:rsidP="006D4550">
      <w:pPr>
        <w:rPr>
          <w:lang w:val="en-GB"/>
        </w:rPr>
      </w:pPr>
      <w:r w:rsidRPr="006D4550">
        <w:rPr>
          <w:lang w:val="en-GB"/>
        </w:rPr>
        <w:t xml:space="preserve">Nuffield Foundation (2024) </w:t>
      </w:r>
      <w:r w:rsidRPr="006D4550">
        <w:rPr>
          <w:i/>
          <w:iCs/>
          <w:lang w:val="en-GB"/>
        </w:rPr>
        <w:t>Education and mental health in UK schools.</w:t>
      </w:r>
      <w:r w:rsidRPr="006D4550">
        <w:rPr>
          <w:lang w:val="en-GB"/>
        </w:rPr>
        <w:t xml:space="preserve"> London: Nuffield Foundation.</w:t>
      </w:r>
    </w:p>
    <w:p w14:paraId="402CFA8F" w14:textId="77777777" w:rsidR="006D4550" w:rsidRPr="006D4550" w:rsidRDefault="006D4550" w:rsidP="006D4550">
      <w:pPr>
        <w:rPr>
          <w:lang w:val="en-GB"/>
        </w:rPr>
      </w:pPr>
      <w:r w:rsidRPr="006D4550">
        <w:rPr>
          <w:lang w:val="en-GB"/>
        </w:rPr>
        <w:t xml:space="preserve">Polat, E., Arslan, Y. and Kaya, D. (2023) ‘Digital inclusion in education: Tools and trends’, </w:t>
      </w:r>
      <w:r w:rsidRPr="006D4550">
        <w:rPr>
          <w:i/>
          <w:iCs/>
          <w:lang w:val="en-GB"/>
        </w:rPr>
        <w:t>Computers in Education Review</w:t>
      </w:r>
      <w:r w:rsidRPr="006D4550">
        <w:rPr>
          <w:lang w:val="en-GB"/>
        </w:rPr>
        <w:t>, 29(4), pp. 66–80.</w:t>
      </w:r>
    </w:p>
    <w:p w14:paraId="1895245B" w14:textId="77777777" w:rsidR="006D4550" w:rsidRPr="006D4550" w:rsidRDefault="006D4550" w:rsidP="006D4550">
      <w:pPr>
        <w:rPr>
          <w:lang w:val="en-GB"/>
        </w:rPr>
      </w:pPr>
      <w:r w:rsidRPr="006D4550">
        <w:rPr>
          <w:lang w:val="en-GB"/>
        </w:rPr>
        <w:t xml:space="preserve">Praveen, D. and Alex, J. (2018) </w:t>
      </w:r>
      <w:r w:rsidRPr="006D4550">
        <w:rPr>
          <w:i/>
          <w:iCs/>
          <w:lang w:val="en-GB"/>
        </w:rPr>
        <w:t>Understanding Glasser’s choice theory in classroom practice.</w:t>
      </w:r>
      <w:r w:rsidRPr="006D4550">
        <w:rPr>
          <w:lang w:val="en-GB"/>
        </w:rPr>
        <w:t xml:space="preserve"> New Delhi: Academic Press.</w:t>
      </w:r>
    </w:p>
    <w:p w14:paraId="2CA079D2" w14:textId="77777777" w:rsidR="006D4550" w:rsidRPr="006D4550" w:rsidRDefault="006D4550" w:rsidP="006D4550">
      <w:pPr>
        <w:rPr>
          <w:lang w:val="en-GB"/>
        </w:rPr>
      </w:pPr>
      <w:r w:rsidRPr="006D4550">
        <w:rPr>
          <w:lang w:val="en-GB"/>
        </w:rPr>
        <w:t xml:space="preserve">Sachan, R. and Malik, P. (2022) ‘ICT and inclusion: Equity challenges in developing contexts’, </w:t>
      </w:r>
      <w:r w:rsidRPr="006D4550">
        <w:rPr>
          <w:i/>
          <w:iCs/>
          <w:lang w:val="en-GB"/>
        </w:rPr>
        <w:t>International Journal of Inclusive Education</w:t>
      </w:r>
      <w:r w:rsidRPr="006D4550">
        <w:rPr>
          <w:lang w:val="en-GB"/>
        </w:rPr>
        <w:t>, 26(9), pp. 987–1004.</w:t>
      </w:r>
    </w:p>
    <w:p w14:paraId="236E4110" w14:textId="77777777" w:rsidR="006D4550" w:rsidRPr="006D4550" w:rsidRDefault="006D4550" w:rsidP="006D4550">
      <w:pPr>
        <w:rPr>
          <w:lang w:val="en-GB"/>
        </w:rPr>
      </w:pPr>
      <w:r w:rsidRPr="006D4550">
        <w:rPr>
          <w:lang w:val="en-GB"/>
        </w:rPr>
        <w:t xml:space="preserve">Stone, L. (2024) </w:t>
      </w:r>
      <w:r w:rsidRPr="006D4550">
        <w:rPr>
          <w:i/>
          <w:iCs/>
          <w:lang w:val="en-GB"/>
        </w:rPr>
        <w:t>The power of relationships in inclusive teaching.</w:t>
      </w:r>
      <w:r w:rsidRPr="006D4550">
        <w:rPr>
          <w:lang w:val="en-GB"/>
        </w:rPr>
        <w:t xml:space="preserve"> London: Sage.</w:t>
      </w:r>
    </w:p>
    <w:p w14:paraId="57C2B922" w14:textId="77777777" w:rsidR="006D4550" w:rsidRPr="006D4550" w:rsidRDefault="006D4550" w:rsidP="006D4550">
      <w:pPr>
        <w:rPr>
          <w:lang w:val="en-GB"/>
        </w:rPr>
      </w:pPr>
      <w:proofErr w:type="spellStart"/>
      <w:r w:rsidRPr="006D4550">
        <w:rPr>
          <w:lang w:val="en-GB"/>
        </w:rPr>
        <w:t>Unionlearn</w:t>
      </w:r>
      <w:proofErr w:type="spellEnd"/>
      <w:r w:rsidRPr="006D4550">
        <w:rPr>
          <w:lang w:val="en-GB"/>
        </w:rPr>
        <w:t xml:space="preserve"> (n.d.) </w:t>
      </w:r>
      <w:r w:rsidRPr="006D4550">
        <w:rPr>
          <w:i/>
          <w:iCs/>
          <w:lang w:val="en-GB"/>
        </w:rPr>
        <w:t>Barriers to learning: Identifying and addressing challenges.</w:t>
      </w:r>
      <w:r w:rsidRPr="006D4550">
        <w:rPr>
          <w:lang w:val="en-GB"/>
        </w:rPr>
        <w:t xml:space="preserve"> London: Trades Union Congress.</w:t>
      </w:r>
    </w:p>
    <w:p w14:paraId="6A6BF290" w14:textId="0EC557FD" w:rsidR="004F5180" w:rsidRDefault="001640AA">
      <w:r>
        <w:br/>
      </w:r>
      <w:r>
        <w:br/>
        <w:t>References</w:t>
      </w:r>
      <w:r>
        <w:br/>
      </w:r>
      <w:r>
        <w:br/>
      </w:r>
      <w:r>
        <w:lastRenderedPageBreak/>
        <w:t>Archer, C. (2024). 10 Ways Technology Can Facilitate Inclusive Learning Environments. NCI Blog. https://blog.ncirl.ie/10-ways-technology-can-facilitate-inclusive-learning-environments</w:t>
      </w:r>
      <w:r>
        <w:br/>
      </w:r>
      <w:r>
        <w:br/>
        <w:t xml:space="preserve">Callahan, B. (2024). Understanding Classroom Management Theories: A Guide for Educators. </w:t>
      </w:r>
      <w:proofErr w:type="spellStart"/>
      <w:r>
        <w:t>ClassConnectPro</w:t>
      </w:r>
      <w:proofErr w:type="spellEnd"/>
      <w:r>
        <w:t>. https://classconnectpro.com/blog/understanding-classroom-management-theories</w:t>
      </w:r>
      <w:r>
        <w:br/>
      </w:r>
      <w:r>
        <w:br/>
        <w:t>Cambridge. (2019). Differentiation in an inclusive classroom. https://www.cambridge.org/jm/education/blog/2019/06/26/differentiation-inclusive-classroom/</w:t>
      </w:r>
      <w:r>
        <w:br/>
      </w:r>
      <w:r>
        <w:br/>
        <w:t>Dhar, P., &amp; Samanta, S. R. (2024). The Role of ICT in Facilitating Differentiated Instruction for Diverse Learners. International Journal of Research Publication and Reviews, 5(1), 2422-2431.</w:t>
      </w:r>
      <w:r>
        <w:br/>
      </w:r>
      <w:r>
        <w:br/>
        <w:t>Drew, C. (2024). 13 Effective Classroom Management Theories. Helpful Professor. https://helpfulprofessor.com/classroom-management/</w:t>
      </w:r>
      <w:r>
        <w:br/>
      </w:r>
      <w:r>
        <w:br/>
        <w:t>Education Hub. (2021). Teaching expectations, routines, and classroom procedures. https://theeducationhub.org.nz/teaching-expectations-routines-and-classroom-procedures-practices-for-effective-classroom-management/</w:t>
      </w:r>
      <w:r>
        <w:br/>
      </w:r>
      <w:r>
        <w:br/>
        <w:t>Greenhouse Learning. (2024). The Essential Guide to Differentiation in Mixed-Ability Classrooms. https://greenhouselearning.co.uk/differentiation-in-mixed-ability-classrooms/</w:t>
      </w:r>
      <w:r>
        <w:br/>
      </w:r>
      <w:r>
        <w:br/>
        <w:t>IQM. (2025). Ofsted 2025 Framework: Key Inclusion &amp; SEND Changes Explained. https://iqmaward.com/blogs/ofsted-2025-what-the-new-framework-means-for-inclusion-and-send/</w:t>
      </w:r>
      <w:r>
        <w:br/>
      </w:r>
      <w:r>
        <w:br/>
        <w:t xml:space="preserve">Lakha, S. (2025). Classroom Routines: A Comprehensive Overview. </w:t>
      </w:r>
      <w:proofErr w:type="spellStart"/>
      <w:r>
        <w:t>EducaSciences</w:t>
      </w:r>
      <w:proofErr w:type="spellEnd"/>
      <w:r>
        <w:t>. https://www.educasciences.org/classroom-management-classroom-routines</w:t>
      </w:r>
      <w:r>
        <w:br/>
      </w:r>
      <w:r>
        <w:br/>
        <w:t>Mintz, J. (2024). The death of ‘differentiation’ and why it matters for inclusion. UCL IOE Blog. https://blogs.ucl.ac.uk/ioe/2024/09/10/the-death-of-differentiation-and-why-it-matters-for-inclusion/</w:t>
      </w:r>
      <w:r>
        <w:br/>
      </w:r>
      <w:r>
        <w:br/>
      </w:r>
      <w:r>
        <w:lastRenderedPageBreak/>
        <w:t xml:space="preserve">NEU. (2025). Violence and managing student </w:t>
      </w:r>
      <w:proofErr w:type="spellStart"/>
      <w:r>
        <w:t>behaviour</w:t>
      </w:r>
      <w:proofErr w:type="spellEnd"/>
      <w:r>
        <w:t>. National Education Union. https://neu.org.uk/advice/classroom/behaviour-schools/violence-and-managing-student-behaviour</w:t>
      </w:r>
      <w:r>
        <w:br/>
      </w:r>
      <w:r>
        <w:br/>
        <w:t xml:space="preserve">Nuffield Foundation. (2024). A deep dive into </w:t>
      </w:r>
      <w:proofErr w:type="spellStart"/>
      <w:r>
        <w:t>behaviour</w:t>
      </w:r>
      <w:proofErr w:type="spellEnd"/>
      <w:r>
        <w:t xml:space="preserve"> in schools. https://www.nuffieldfoundation.org/news/a-deep-dive-into-behaviour-in-schools</w:t>
      </w:r>
      <w:r>
        <w:br/>
      </w:r>
      <w:r>
        <w:br/>
        <w:t>Polat, E., et al. (2023). Educational technology in inclusive classrooms. Journal of Educational Technology &amp; Online Learning, 7(1), 115-131.</w:t>
      </w:r>
      <w:r>
        <w:br/>
      </w:r>
      <w:r>
        <w:br/>
        <w:t>Praveen, M., &amp; Alex, A. T. (2018). Classroom Management: A Theoretical Overview. Scholarly Research Journal for Humanity Science &amp; English Language, 6(29).</w:t>
      </w:r>
      <w:r>
        <w:br/>
      </w:r>
      <w:r>
        <w:br/>
        <w:t>Sachan, M., &amp; Malik, N. (2022). Inclusive Classroom and the Use of ICT. Educational Quest, 13(2), 131-137.</w:t>
      </w:r>
      <w:r>
        <w:br/>
      </w:r>
      <w:r>
        <w:br/>
        <w:t>Stone, T. (2024). The Importance of Creating Routines in the Classroom. https://www.thestructuredstone.com/post/the-importance-of-creating-routines-in-the-classroom</w:t>
      </w:r>
      <w:r>
        <w:br/>
      </w:r>
      <w:r>
        <w:br/>
      </w:r>
      <w:proofErr w:type="spellStart"/>
      <w:r>
        <w:t>Unionlearn</w:t>
      </w:r>
      <w:proofErr w:type="spellEnd"/>
      <w:r>
        <w:t>. (n.d.). Common barriers to learning. https://www.unionlearn.org.uk/common-barriers-learning</w:t>
      </w:r>
      <w:r>
        <w:br/>
      </w:r>
      <w:r>
        <w:br/>
        <w:t xml:space="preserve">Verma, Y. (2024). The psychology of classroom management: Behaviorist and humanistic theories. </w:t>
      </w:r>
      <w:proofErr w:type="spellStart"/>
      <w:r>
        <w:t>eSchool</w:t>
      </w:r>
      <w:proofErr w:type="spellEnd"/>
      <w:r>
        <w:t xml:space="preserve"> News. </w:t>
      </w:r>
      <w:hyperlink r:id="rId10" w:history="1">
        <w:r w:rsidR="004F5180" w:rsidRPr="00102C84">
          <w:rPr>
            <w:rStyle w:val="Hyperlink"/>
          </w:rPr>
          <w:t>https://www.eschoolnews.com/innovative-teaching/2024/09/06/the-psychology-of-classroom-management/</w:t>
        </w:r>
      </w:hyperlink>
    </w:p>
    <w:p w14:paraId="0913AD13" w14:textId="66A6F0C0" w:rsidR="004F7F67" w:rsidRDefault="004F5180">
      <w:r w:rsidRPr="004F5180">
        <w:t xml:space="preserve">Cornelius-White, J. (2007). </w:t>
      </w:r>
      <w:r w:rsidRPr="004F5180">
        <w:rPr>
          <w:i/>
          <w:iCs/>
        </w:rPr>
        <w:t>Learner-centered teacher-student relationships are effective: A meta-analysis.</w:t>
      </w:r>
      <w:r w:rsidRPr="004F5180">
        <w:t xml:space="preserve"> Review of Educational Research, 77(1), 113–143.</w:t>
      </w:r>
      <w:r w:rsidRPr="004F5180">
        <w:br/>
        <w:t xml:space="preserve">Hughes, J. N. (2011). </w:t>
      </w:r>
      <w:r w:rsidRPr="004F5180">
        <w:rPr>
          <w:i/>
          <w:iCs/>
        </w:rPr>
        <w:t>Longitudinal effects of teacher and student perceptions of teacher–student relationship qualities on academic adjustment.</w:t>
      </w:r>
      <w:r w:rsidRPr="004F5180">
        <w:t xml:space="preserve"> The Elementary School Journal, 112(1), 38–60.</w:t>
      </w:r>
      <w:r w:rsidRPr="004F5180">
        <w:br/>
        <w:t xml:space="preserve">Jennings, P. A., &amp; Greenberg, M. T. (2009). </w:t>
      </w:r>
      <w:r w:rsidRPr="004F5180">
        <w:rPr>
          <w:i/>
          <w:iCs/>
        </w:rPr>
        <w:t>The prosocial classroom: Teacher social and emotional competence in relation to student and classroom outcomes.</w:t>
      </w:r>
      <w:r w:rsidRPr="004F5180">
        <w:t xml:space="preserve"> Review of Educational Research, 79(1), 491–525.</w:t>
      </w:r>
      <w:r w:rsidRPr="004F5180">
        <w:br/>
      </w:r>
      <w:proofErr w:type="spellStart"/>
      <w:r w:rsidRPr="004F5180">
        <w:t>Noddings</w:t>
      </w:r>
      <w:proofErr w:type="spellEnd"/>
      <w:r w:rsidRPr="004F5180">
        <w:t xml:space="preserve">, N. (2012). </w:t>
      </w:r>
      <w:r w:rsidRPr="004F5180">
        <w:rPr>
          <w:i/>
          <w:iCs/>
        </w:rPr>
        <w:t>The ethics of care: A feminine approach to ethics and moral education.</w:t>
      </w:r>
      <w:r w:rsidRPr="004F5180">
        <w:t xml:space="preserve"> University of California Press.</w:t>
      </w:r>
      <w:r w:rsidRPr="004F5180">
        <w:br/>
        <w:t xml:space="preserve">Pianta, R. C., Hamre, B. K., &amp; Allen, J. P. (2012). </w:t>
      </w:r>
      <w:r w:rsidRPr="004F5180">
        <w:rPr>
          <w:i/>
          <w:iCs/>
        </w:rPr>
        <w:t xml:space="preserve">Teacher–student relationships and </w:t>
      </w:r>
      <w:r w:rsidRPr="004F5180">
        <w:rPr>
          <w:i/>
          <w:iCs/>
        </w:rPr>
        <w:lastRenderedPageBreak/>
        <w:t>engagement: Conceptualizing, measuring, and improving the capacity of classroom interactions.</w:t>
      </w:r>
      <w:r w:rsidRPr="004F5180">
        <w:t xml:space="preserve"> In S. L. Christenson et al. (Eds.), </w:t>
      </w:r>
      <w:r w:rsidRPr="004F5180">
        <w:rPr>
          <w:i/>
          <w:iCs/>
        </w:rPr>
        <w:t>Handbook of Research on Student Engagement</w:t>
      </w:r>
      <w:r w:rsidRPr="004F5180">
        <w:t xml:space="preserve"> (pp. 365–386). Springer.</w:t>
      </w:r>
      <w:r w:rsidRPr="004F5180">
        <w:br/>
        <w:t xml:space="preserve">Roorda, D. L., Koomen, H. M. Y., Spilt, J. L., &amp; Oort, F. J. (2011). </w:t>
      </w:r>
      <w:r w:rsidRPr="004F5180">
        <w:rPr>
          <w:i/>
          <w:iCs/>
        </w:rPr>
        <w:t>The influence of affective teacher–student relationships on students’ school engagement and achievement: A meta-analytic approach.</w:t>
      </w:r>
      <w:r w:rsidRPr="004F5180">
        <w:t xml:space="preserve"> Review of Educational Research, 81(4), 493–529.</w:t>
      </w:r>
      <w:r w:rsidRPr="004F5180">
        <w:br/>
        <w:t xml:space="preserve">Roffey, S. (2012). </w:t>
      </w:r>
      <w:r w:rsidRPr="004F5180">
        <w:rPr>
          <w:i/>
          <w:iCs/>
        </w:rPr>
        <w:t>Pupil wellbeing—Teacher wellbeing: Two sides of the same coin?</w:t>
      </w:r>
      <w:r w:rsidRPr="004F5180">
        <w:t xml:space="preserve"> Educational &amp; Child Psychology, 29(4), 8–17.</w:t>
      </w:r>
      <w:r w:rsidRPr="004F5180">
        <w:br/>
        <w:t xml:space="preserve">Wentzel, K. R. (2009). </w:t>
      </w:r>
      <w:r w:rsidRPr="004F5180">
        <w:rPr>
          <w:i/>
          <w:iCs/>
        </w:rPr>
        <w:t>Students’ relationships with teachers as motivational contexts.</w:t>
      </w:r>
      <w:r w:rsidRPr="004F5180">
        <w:t xml:space="preserve"> In K. R. Wentzel &amp; A. Wigfield (Eds.), </w:t>
      </w:r>
      <w:r w:rsidRPr="004F5180">
        <w:rPr>
          <w:i/>
          <w:iCs/>
        </w:rPr>
        <w:t>Handbook of Motivation at School</w:t>
      </w:r>
      <w:r w:rsidRPr="004F5180">
        <w:t xml:space="preserve"> (pp. 301–322). Routledge.</w:t>
      </w:r>
      <w:r w:rsidRPr="004F5180">
        <w:br/>
        <w:t xml:space="preserve">Stone, A. (2024). </w:t>
      </w:r>
      <w:r w:rsidRPr="004F5180">
        <w:rPr>
          <w:i/>
          <w:iCs/>
        </w:rPr>
        <w:t>Inclusive classroom management: Building relationships for learning.</w:t>
      </w:r>
      <w:r w:rsidRPr="004F5180">
        <w:t xml:space="preserve"> Routledge.</w:t>
      </w:r>
      <w:r w:rsidR="001640AA">
        <w:br/>
      </w:r>
      <w:r w:rsidR="001640AA">
        <w:br/>
      </w:r>
    </w:p>
    <w:sectPr w:rsidR="004F7F67" w:rsidSect="007476B7">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E3CF0" w14:textId="77777777" w:rsidR="00C2128E" w:rsidRDefault="00C2128E" w:rsidP="00C2128E">
      <w:pPr>
        <w:spacing w:after="0" w:line="240" w:lineRule="auto"/>
      </w:pPr>
      <w:r>
        <w:separator/>
      </w:r>
    </w:p>
  </w:endnote>
  <w:endnote w:type="continuationSeparator" w:id="0">
    <w:p w14:paraId="48E4A570" w14:textId="77777777" w:rsidR="00C2128E" w:rsidRDefault="00C2128E" w:rsidP="00C21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686606"/>
      <w:docPartObj>
        <w:docPartGallery w:val="Page Numbers (Bottom of Page)"/>
        <w:docPartUnique/>
      </w:docPartObj>
    </w:sdtPr>
    <w:sdtContent>
      <w:p w14:paraId="4AD09E20" w14:textId="7431A6D7" w:rsidR="00C2128E" w:rsidRDefault="00C2128E">
        <w:pPr>
          <w:pStyle w:val="Footer"/>
        </w:pPr>
        <w:r>
          <w:fldChar w:fldCharType="begin"/>
        </w:r>
        <w:r>
          <w:instrText>PAGE   \* MERGEFORMAT</w:instrText>
        </w:r>
        <w:r>
          <w:fldChar w:fldCharType="separate"/>
        </w:r>
        <w:r>
          <w:rPr>
            <w:lang w:val="en-GB"/>
          </w:rPr>
          <w:t>2</w:t>
        </w:r>
        <w:r>
          <w:fldChar w:fldCharType="end"/>
        </w:r>
      </w:p>
    </w:sdtContent>
  </w:sdt>
  <w:p w14:paraId="264BB874" w14:textId="77777777" w:rsidR="00C2128E" w:rsidRDefault="00C21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5EB21" w14:textId="77777777" w:rsidR="00C2128E" w:rsidRDefault="00C2128E" w:rsidP="00C2128E">
      <w:pPr>
        <w:spacing w:after="0" w:line="240" w:lineRule="auto"/>
      </w:pPr>
      <w:r>
        <w:separator/>
      </w:r>
    </w:p>
  </w:footnote>
  <w:footnote w:type="continuationSeparator" w:id="0">
    <w:p w14:paraId="5FF69710" w14:textId="77777777" w:rsidR="00C2128E" w:rsidRDefault="00C2128E" w:rsidP="00C21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1640AA"/>
    <w:rsid w:val="00232575"/>
    <w:rsid w:val="002E51AB"/>
    <w:rsid w:val="0036562D"/>
    <w:rsid w:val="00440527"/>
    <w:rsid w:val="004976E0"/>
    <w:rsid w:val="004F5180"/>
    <w:rsid w:val="004F7F67"/>
    <w:rsid w:val="00553A83"/>
    <w:rsid w:val="005A534A"/>
    <w:rsid w:val="005F2F3F"/>
    <w:rsid w:val="0065160D"/>
    <w:rsid w:val="006D4550"/>
    <w:rsid w:val="007476B7"/>
    <w:rsid w:val="00827C87"/>
    <w:rsid w:val="009D66A0"/>
    <w:rsid w:val="00A352C8"/>
    <w:rsid w:val="00B41C2B"/>
    <w:rsid w:val="00B83EAC"/>
    <w:rsid w:val="00C2128E"/>
    <w:rsid w:val="00C26D93"/>
    <w:rsid w:val="00C27141"/>
    <w:rsid w:val="00C618B7"/>
    <w:rsid w:val="00D32292"/>
    <w:rsid w:val="00D75435"/>
    <w:rsid w:val="00DA6C12"/>
    <w:rsid w:val="00DC6D30"/>
    <w:rsid w:val="00DE5146"/>
    <w:rsid w:val="00DF2FBF"/>
    <w:rsid w:val="00EB591F"/>
    <w:rsid w:val="00FB3270"/>
    <w:rsid w:val="00FE688D"/>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BB9B359"/>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link w:val="NoSpacingChar"/>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u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u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u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u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u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u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u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u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u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u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u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u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u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yperlink">
    <w:name w:val="Hyperlink"/>
    <w:basedOn w:val="DefaultParagraphFont"/>
    <w:uiPriority w:val="99"/>
    <w:unhideWhenUsed/>
    <w:rsid w:val="004F5180"/>
    <w:rPr>
      <w:color w:val="467886" w:themeColor="hyperlink"/>
      <w:u w:val="single"/>
    </w:rPr>
  </w:style>
  <w:style w:type="character" w:styleId="UnresolvedMention">
    <w:name w:val="Unresolved Mention"/>
    <w:basedOn w:val="DefaultParagraphFont"/>
    <w:uiPriority w:val="99"/>
    <w:semiHidden/>
    <w:unhideWhenUsed/>
    <w:rsid w:val="004F5180"/>
    <w:rPr>
      <w:color w:val="605E5C"/>
      <w:shd w:val="clear" w:color="auto" w:fill="E1DFDD"/>
    </w:rPr>
  </w:style>
  <w:style w:type="character" w:customStyle="1" w:styleId="NoSpacingChar">
    <w:name w:val="No Spacing Char"/>
    <w:basedOn w:val="DefaultParagraphFont"/>
    <w:link w:val="NoSpacing"/>
    <w:uiPriority w:val="1"/>
    <w:rsid w:val="00747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eschoolnews.com/innovative-teaching/2024/09/06/the-psychology-of-classroom-manage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AC7B30108C449BA479EFE939B87CAA"/>
        <w:category>
          <w:name w:val="General"/>
          <w:gallery w:val="placeholder"/>
        </w:category>
        <w:types>
          <w:type w:val="bbPlcHdr"/>
        </w:types>
        <w:behaviors>
          <w:behavior w:val="content"/>
        </w:behaviors>
        <w:guid w:val="{4FF22FD5-A050-4267-9C21-50B92D691488}"/>
      </w:docPartPr>
      <w:docPartBody>
        <w:p w:rsidR="00A10ACD" w:rsidRDefault="00A10ACD" w:rsidP="00A10ACD">
          <w:pPr>
            <w:pStyle w:val="EEAC7B30108C449BA479EFE939B87CAA"/>
          </w:pPr>
          <w:r>
            <w:rPr>
              <w:rFonts w:asciiTheme="majorHAnsi" w:eastAsiaTheme="majorEastAsia" w:hAnsiTheme="majorHAnsi" w:cstheme="majorBidi"/>
              <w:caps/>
              <w:color w:val="156082" w:themeColor="accent1"/>
              <w:sz w:val="80"/>
              <w:szCs w:val="80"/>
            </w:rPr>
            <w:t>[Document title]</w:t>
          </w:r>
        </w:p>
      </w:docPartBody>
    </w:docPart>
    <w:docPart>
      <w:docPartPr>
        <w:name w:val="5C6A8D640BDD4216B76B3767BF600623"/>
        <w:category>
          <w:name w:val="General"/>
          <w:gallery w:val="placeholder"/>
        </w:category>
        <w:types>
          <w:type w:val="bbPlcHdr"/>
        </w:types>
        <w:behaviors>
          <w:behavior w:val="content"/>
        </w:behaviors>
        <w:guid w:val="{248F4C19-B17C-428C-A917-151D2D19A6AB}"/>
      </w:docPartPr>
      <w:docPartBody>
        <w:p w:rsidR="00A10ACD" w:rsidRDefault="00A10ACD" w:rsidP="00A10ACD">
          <w:pPr>
            <w:pStyle w:val="5C6A8D640BDD4216B76B3767BF60062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ACD"/>
    <w:rsid w:val="005F2F3F"/>
    <w:rsid w:val="00A10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AC7B30108C449BA479EFE939B87CAA">
    <w:name w:val="EEAC7B30108C449BA479EFE939B87CAA"/>
    <w:rsid w:val="00A10ACD"/>
  </w:style>
  <w:style w:type="paragraph" w:customStyle="1" w:styleId="5C6A8D640BDD4216B76B3767BF600623">
    <w:name w:val="5C6A8D640BDD4216B76B3767BF600623"/>
    <w:rsid w:val="00A10A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f9276b-99c7-46f1-b5e9-86367f3a73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B83480C68A8944B79BD1B8714E105F" ma:contentTypeVersion="16" ma:contentTypeDescription="Create a new document." ma:contentTypeScope="" ma:versionID="fe134a6f39ea8d4f66c453985b54c88d">
  <xsd:schema xmlns:xsd="http://www.w3.org/2001/XMLSchema" xmlns:xs="http://www.w3.org/2001/XMLSchema" xmlns:p="http://schemas.microsoft.com/office/2006/metadata/properties" xmlns:ns3="f8f9276b-99c7-46f1-b5e9-86367f3a73be" xmlns:ns4="911b1a48-8c52-4e49-ada3-139ab2d05680" targetNamespace="http://schemas.microsoft.com/office/2006/metadata/properties" ma:root="true" ma:fieldsID="416858c7d25868802a1cc2cdcdd87f28" ns3:_="" ns4:_="">
    <xsd:import namespace="f8f9276b-99c7-46f1-b5e9-86367f3a73be"/>
    <xsd:import namespace="911b1a48-8c52-4e49-ada3-139ab2d0568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_activity" minOccurs="0"/>
                <xsd:element ref="ns3:MediaServiceObjectDetectorVersions"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9276b-99c7-46f1-b5e9-86367f3a73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1b1a48-8c52-4e49-ada3-139ab2d056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E31028-A03D-4BDE-8A66-69683E792E7E}">
  <ds:schemaRefs>
    <ds:schemaRef ds:uri="911b1a48-8c52-4e49-ada3-139ab2d05680"/>
    <ds:schemaRef ds:uri="http://purl.org/dc/elements/1.1/"/>
    <ds:schemaRef ds:uri="http://schemas.openxmlformats.org/package/2006/metadata/core-properties"/>
    <ds:schemaRef ds:uri="http://schemas.microsoft.com/office/infopath/2007/PartnerControls"/>
    <ds:schemaRef ds:uri="http://purl.org/dc/terms/"/>
    <ds:schemaRef ds:uri="http://purl.org/dc/dcmitype/"/>
    <ds:schemaRef ds:uri="http://schemas.microsoft.com/office/2006/metadata/properties"/>
    <ds:schemaRef ds:uri="http://schemas.microsoft.com/office/2006/documentManagement/types"/>
    <ds:schemaRef ds:uri="f8f9276b-99c7-46f1-b5e9-86367f3a73be"/>
    <ds:schemaRef ds:uri="http://www.w3.org/XML/1998/namespace"/>
  </ds:schemaRefs>
</ds:datastoreItem>
</file>

<file path=customXml/itemProps2.xml><?xml version="1.0" encoding="utf-8"?>
<ds:datastoreItem xmlns:ds="http://schemas.openxmlformats.org/officeDocument/2006/customXml" ds:itemID="{BA8B4009-5C21-49DF-AB1D-617640C27BF6}">
  <ds:schemaRefs>
    <ds:schemaRef ds:uri="http://schemas.microsoft.com/sharepoint/v3/contenttype/forms"/>
  </ds:schemaRefs>
</ds:datastoreItem>
</file>

<file path=customXml/itemProps3.xml><?xml version="1.0" encoding="utf-8"?>
<ds:datastoreItem xmlns:ds="http://schemas.openxmlformats.org/officeDocument/2006/customXml" ds:itemID="{F2EEB040-5CEA-4E6D-B3B0-D5C77CEC3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9276b-99c7-46f1-b5e9-86367f3a73be"/>
    <ds:schemaRef ds:uri="911b1a48-8c52-4e49-ada3-139ab2d056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3231</Words>
  <Characters>22105</Characters>
  <Application>Microsoft Office Word</Application>
  <DocSecurity>0</DocSecurity>
  <Lines>460</Lines>
  <Paragraphs>230</Paragraphs>
  <ScaleCrop>false</ScaleCrop>
  <Company/>
  <LinksUpToDate>false</LinksUpToDate>
  <CharactersWithSpaces>25106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trinity st david              BA Inclusive Education                   Classroom Management                                    student number ECIE6003</dc:title>
  <dc:subject>Name – Lyndsey Copp</dc:subject>
  <dc:creator>Tao Ge</dc:creator>
  <cp:keywords/>
  <dc:description/>
  <cp:lastModifiedBy>L Copp (Brynmill Primary School)</cp:lastModifiedBy>
  <cp:revision>2</cp:revision>
  <dcterms:created xsi:type="dcterms:W3CDTF">2025-10-20T17:44:00Z</dcterms:created>
  <dcterms:modified xsi:type="dcterms:W3CDTF">2025-10-20T17:44:00Z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2ca2cf2d-c220-468b-af61-f60e4f221625</vt:lpwstr>
  </property>
  <property fmtid="{D5CDD505-2E9C-101B-9397-08002B2CF9AE}" pid="3" name="ContentTypeId">
    <vt:lpwstr>0x01010057B83480C68A8944B79BD1B8714E105F</vt:lpwstr>
  </property>
</Properties>
</file>