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2ABA" w:rsidRPr="005A5464" w:rsidRDefault="005A5464" w:rsidP="005A5464">
      <w:pPr>
        <w:pStyle w:val="Title"/>
        <w:contextualSpacing w:val="0"/>
        <w:jc w:val="center"/>
        <w:rPr>
          <w:lang w:val="en-GB"/>
        </w:rPr>
      </w:pPr>
      <w:bookmarkStart w:id="0" w:name="_GoBack"/>
      <w:bookmarkEnd w:id="0"/>
      <w:r w:rsidRPr="005A5464">
        <w:rPr>
          <w:lang w:val="en-GB"/>
        </w:rPr>
        <w:t>Carrier’s responsibilities and liabilities when carrying third person goods using road transport</w:t>
      </w:r>
    </w:p>
    <w:p w:rsidR="00C72ABA" w:rsidRDefault="00C72ABA">
      <w:pPr>
        <w:contextualSpacing w:val="0"/>
        <w:rPr>
          <w:lang w:val="en-GB"/>
        </w:rPr>
      </w:pPr>
    </w:p>
    <w:p w:rsidR="005A5464" w:rsidRDefault="005A5464">
      <w:pPr>
        <w:contextualSpacing w:val="0"/>
        <w:rPr>
          <w:lang w:val="en-GB"/>
        </w:rPr>
      </w:pPr>
    </w:p>
    <w:p w:rsidR="005A5464" w:rsidRPr="005A5464" w:rsidRDefault="005A5464">
      <w:pPr>
        <w:contextualSpacing w:val="0"/>
        <w:rPr>
          <w:lang w:val="en-GB"/>
        </w:rPr>
      </w:pPr>
    </w:p>
    <w:p w:rsidR="00C72ABA" w:rsidRPr="005A5464" w:rsidRDefault="005A5464">
      <w:pPr>
        <w:contextualSpacing w:val="0"/>
        <w:rPr>
          <w:lang w:val="en-GB"/>
        </w:rPr>
      </w:pPr>
      <w:r w:rsidRPr="005A5464">
        <w:rPr>
          <w:lang w:val="en-GB"/>
        </w:rPr>
        <w:t xml:space="preserve">The purpose of this essay is to outline and discuss some responsibilities that operators face when carrying third party goods. I decided to concentrate on legal and technology </w:t>
      </w:r>
      <w:proofErr w:type="gramStart"/>
      <w:r w:rsidRPr="005A5464">
        <w:rPr>
          <w:lang w:val="en-GB"/>
        </w:rPr>
        <w:t>aspects  of</w:t>
      </w:r>
      <w:proofErr w:type="gramEnd"/>
      <w:r w:rsidRPr="005A5464">
        <w:rPr>
          <w:lang w:val="en-GB"/>
        </w:rPr>
        <w:t xml:space="preserve"> freight transit because the PESTEL analysis carried out during the l</w:t>
      </w:r>
      <w:r w:rsidRPr="005A5464">
        <w:rPr>
          <w:lang w:val="en-GB"/>
        </w:rPr>
        <w:t>ecture when the task was set showed that those two factors contain the most information. Some other responsibilities include other aspects; political, economic or environmental, but I will not be focusing on these.</w:t>
      </w:r>
    </w:p>
    <w:p w:rsidR="00C72ABA" w:rsidRDefault="00C72ABA">
      <w:pPr>
        <w:contextualSpacing w:val="0"/>
        <w:rPr>
          <w:lang w:val="en-GB"/>
        </w:rPr>
      </w:pPr>
    </w:p>
    <w:p w:rsidR="005A5464" w:rsidRPr="005A5464" w:rsidRDefault="005A5464">
      <w:pPr>
        <w:contextualSpacing w:val="0"/>
        <w:rPr>
          <w:lang w:val="en-GB"/>
        </w:rPr>
      </w:pPr>
    </w:p>
    <w:p w:rsidR="00C72ABA" w:rsidRPr="005A5464" w:rsidRDefault="00C72ABA">
      <w:pPr>
        <w:contextualSpacing w:val="0"/>
        <w:rPr>
          <w:lang w:val="en-GB"/>
        </w:rPr>
      </w:pPr>
    </w:p>
    <w:p w:rsidR="00C72ABA" w:rsidRDefault="005A5464">
      <w:pPr>
        <w:pStyle w:val="Subtitle"/>
        <w:numPr>
          <w:ilvl w:val="0"/>
          <w:numId w:val="1"/>
        </w:numPr>
      </w:pPr>
      <w:bookmarkStart w:id="1" w:name="_njixs1hktbxs" w:colFirst="0" w:colLast="0"/>
      <w:bookmarkEnd w:id="1"/>
      <w:r>
        <w:t>Working times and tachographs</w:t>
      </w:r>
    </w:p>
    <w:p w:rsidR="00C72ABA" w:rsidRPr="005A5464" w:rsidRDefault="005A5464">
      <w:pPr>
        <w:ind w:left="720"/>
        <w:contextualSpacing w:val="0"/>
        <w:rPr>
          <w:lang w:val="en-GB"/>
        </w:rPr>
      </w:pPr>
      <w:r w:rsidRPr="005A5464">
        <w:rPr>
          <w:lang w:val="en-GB"/>
        </w:rPr>
        <w:t>It is com</w:t>
      </w:r>
      <w:r w:rsidRPr="005A5464">
        <w:rPr>
          <w:lang w:val="en-GB"/>
        </w:rPr>
        <w:t>monly known that tiredness behind the wheel can kill. Both British government and the European Union have noted that and therefore each introduced a set of rules about commercial driver’s (both freight and passenger vehicles) working hours and rest times i</w:t>
      </w:r>
      <w:r w:rsidRPr="005A5464">
        <w:rPr>
          <w:lang w:val="en-GB"/>
        </w:rPr>
        <w:t xml:space="preserve">n order to improve safety on roads and minimising the risk of accidents caused by overworked and tired heavy vehicle drivers across all member states. All carriers and drivers of vehicles regardless of its weight or capacity must obey these specific rules </w:t>
      </w:r>
      <w:r w:rsidRPr="005A5464">
        <w:rPr>
          <w:lang w:val="en-GB"/>
        </w:rPr>
        <w:t xml:space="preserve">and most of them </w:t>
      </w:r>
      <w:proofErr w:type="gramStart"/>
      <w:r w:rsidRPr="005A5464">
        <w:rPr>
          <w:lang w:val="en-GB"/>
        </w:rPr>
        <w:t>have to</w:t>
      </w:r>
      <w:proofErr w:type="gramEnd"/>
      <w:r w:rsidRPr="005A5464">
        <w:rPr>
          <w:lang w:val="en-GB"/>
        </w:rPr>
        <w:t xml:space="preserve"> keep the records for at least 12 months.</w:t>
      </w:r>
    </w:p>
    <w:p w:rsidR="00C72ABA" w:rsidRPr="005A5464" w:rsidRDefault="00C72ABA">
      <w:pPr>
        <w:ind w:left="720"/>
        <w:contextualSpacing w:val="0"/>
        <w:rPr>
          <w:lang w:val="en-GB"/>
        </w:rPr>
      </w:pPr>
    </w:p>
    <w:p w:rsidR="00C72ABA" w:rsidRPr="005A5464" w:rsidRDefault="005A5464">
      <w:pPr>
        <w:ind w:left="720"/>
        <w:contextualSpacing w:val="0"/>
        <w:rPr>
          <w:lang w:val="en-GB"/>
        </w:rPr>
      </w:pPr>
      <w:r w:rsidRPr="005A5464">
        <w:rPr>
          <w:lang w:val="en-GB"/>
        </w:rPr>
        <w:t>Drivers are not allowed to exceed 9 hours daily driving limit, or 10 hours twice a week. There is also a 7 day driving hours limit of 56 hours. Maximum driving time before taking a break of</w:t>
      </w:r>
      <w:r w:rsidRPr="005A5464">
        <w:rPr>
          <w:lang w:val="en-GB"/>
        </w:rPr>
        <w:t xml:space="preserve"> at least 45 minutes is 4 and a half hours. The </w:t>
      </w:r>
      <w:proofErr w:type="gramStart"/>
      <w:r w:rsidRPr="005A5464">
        <w:rPr>
          <w:lang w:val="en-GB"/>
        </w:rPr>
        <w:t>45 minute</w:t>
      </w:r>
      <w:proofErr w:type="gramEnd"/>
      <w:r w:rsidRPr="005A5464">
        <w:rPr>
          <w:lang w:val="en-GB"/>
        </w:rPr>
        <w:t xml:space="preserve"> break can be split into two breaks; one of at least 15 minutes and the second of at least half an hour. On top of that, it is compulsory for drivers to use at least 11 hours daily to rest not includ</w:t>
      </w:r>
      <w:r w:rsidRPr="005A5464">
        <w:rPr>
          <w:lang w:val="en-GB"/>
        </w:rPr>
        <w:t xml:space="preserve">ing break times.  </w:t>
      </w:r>
    </w:p>
    <w:p w:rsidR="00C72ABA" w:rsidRPr="005A5464" w:rsidRDefault="005A5464">
      <w:pPr>
        <w:ind w:left="720"/>
        <w:contextualSpacing w:val="0"/>
        <w:jc w:val="right"/>
        <w:rPr>
          <w:sz w:val="16"/>
          <w:szCs w:val="16"/>
          <w:lang w:val="en-GB"/>
        </w:rPr>
      </w:pPr>
      <w:r w:rsidRPr="005A5464">
        <w:rPr>
          <w:lang w:val="en-GB"/>
        </w:rPr>
        <w:t xml:space="preserve">                                                            </w:t>
      </w:r>
    </w:p>
    <w:p w:rsidR="00C72ABA" w:rsidRPr="005A5464" w:rsidRDefault="005A5464">
      <w:pPr>
        <w:ind w:left="720"/>
        <w:contextualSpacing w:val="0"/>
        <w:rPr>
          <w:lang w:val="en-GB"/>
        </w:rPr>
      </w:pPr>
      <w:r w:rsidRPr="005A5464">
        <w:rPr>
          <w:lang w:val="en-GB"/>
        </w:rPr>
        <w:t xml:space="preserve"> Enforcement of these rules in the United Kingdom is taken very seriously by the police and DVSA, therefore failure to comply to the legislation can result in serious fines or </w:t>
      </w:r>
      <w:r w:rsidRPr="005A5464">
        <w:rPr>
          <w:lang w:val="en-GB"/>
        </w:rPr>
        <w:t xml:space="preserve">in extreme cases imprisonment. The driver might lose his job as well as his licence and the employer could face court impeachment due to the broken promise of </w:t>
      </w:r>
      <w:proofErr w:type="gramStart"/>
      <w:r w:rsidRPr="005A5464">
        <w:rPr>
          <w:lang w:val="en-GB"/>
        </w:rPr>
        <w:t>making arrangements</w:t>
      </w:r>
      <w:proofErr w:type="gramEnd"/>
      <w:r w:rsidRPr="005A5464">
        <w:rPr>
          <w:lang w:val="en-GB"/>
        </w:rPr>
        <w:t xml:space="preserve"> to observe and analyse driver’s working hours stated in the Declaration of in</w:t>
      </w:r>
      <w:r w:rsidRPr="005A5464">
        <w:rPr>
          <w:lang w:val="en-GB"/>
        </w:rPr>
        <w:t>tend in their ‘O’ licence application.</w:t>
      </w:r>
    </w:p>
    <w:p w:rsidR="00C72ABA" w:rsidRPr="005A5464" w:rsidRDefault="00C72ABA">
      <w:pPr>
        <w:ind w:left="720"/>
        <w:contextualSpacing w:val="0"/>
        <w:rPr>
          <w:lang w:val="en-GB"/>
        </w:rPr>
      </w:pPr>
    </w:p>
    <w:p w:rsidR="00C72ABA" w:rsidRPr="005A5464" w:rsidRDefault="005A5464">
      <w:pPr>
        <w:ind w:left="720"/>
        <w:contextualSpacing w:val="0"/>
        <w:rPr>
          <w:lang w:val="en-GB"/>
        </w:rPr>
      </w:pPr>
      <w:r w:rsidRPr="005A5464">
        <w:rPr>
          <w:lang w:val="en-GB"/>
        </w:rPr>
        <w:t>In some cases, this law can be broken due to an unfair politics of the operator rather than the driver’s own will. This can happen when a company is trying to save money at the expense of health and safety. The Publi</w:t>
      </w:r>
      <w:r w:rsidRPr="005A5464">
        <w:rPr>
          <w:lang w:val="en-GB"/>
        </w:rPr>
        <w:t xml:space="preserve">c Interest Disclosure Act 1998 states </w:t>
      </w:r>
      <w:r w:rsidRPr="005A5464">
        <w:rPr>
          <w:lang w:val="en-GB"/>
        </w:rPr>
        <w:lastRenderedPageBreak/>
        <w:t>that ‘employees are protected if they report corruption, wrongdoing or danger at work, or if they are unduly pressured by an unscrupulous employer to break the law’ (Lowe and Pidgeon, 2018, p.94). This provides a legal</w:t>
      </w:r>
      <w:r w:rsidRPr="005A5464">
        <w:rPr>
          <w:lang w:val="en-GB"/>
        </w:rPr>
        <w:t xml:space="preserve"> protection for drivers who report a breach of law committed by their employer to an appropriate body in order to maintain high levels of safety on roads and secure driver’s job and/or licence.</w:t>
      </w:r>
    </w:p>
    <w:p w:rsidR="00C72ABA" w:rsidRPr="005A5464" w:rsidRDefault="00C72ABA">
      <w:pPr>
        <w:ind w:left="720"/>
        <w:contextualSpacing w:val="0"/>
        <w:rPr>
          <w:lang w:val="en-GB"/>
        </w:rPr>
      </w:pPr>
    </w:p>
    <w:p w:rsidR="00C72ABA" w:rsidRPr="005A5464" w:rsidRDefault="005A5464">
      <w:pPr>
        <w:ind w:left="720"/>
        <w:contextualSpacing w:val="0"/>
        <w:rPr>
          <w:lang w:val="en-GB"/>
        </w:rPr>
      </w:pPr>
      <w:r w:rsidRPr="005A5464">
        <w:rPr>
          <w:lang w:val="en-GB"/>
        </w:rPr>
        <w:t xml:space="preserve">Tachograph is a device that monitors driver’s activities. It </w:t>
      </w:r>
      <w:r w:rsidRPr="005A5464">
        <w:rPr>
          <w:lang w:val="en-GB"/>
        </w:rPr>
        <w:t>produces physical evidence of driver’s working and resting times. All cargo carrying road vehicles used for commercial purposes across the European Union that have a weight of over 3500 kilograms including pulled trailers, need to be equipped with either a</w:t>
      </w:r>
      <w:r w:rsidRPr="005A5464">
        <w:rPr>
          <w:lang w:val="en-GB"/>
        </w:rPr>
        <w:t>nalogue or a digital tachograph. When travelling outside of the union or through countries that aren’t part of AETR (The European Agreement Concerning the Work of Crews of Vehicles Engaged in International Road Transport) drivers are obliged to keep record</w:t>
      </w:r>
      <w:r w:rsidRPr="005A5464">
        <w:rPr>
          <w:lang w:val="en-GB"/>
        </w:rPr>
        <w:t>s using records books instead of tachographs.</w:t>
      </w:r>
    </w:p>
    <w:p w:rsidR="00C72ABA" w:rsidRPr="005A5464" w:rsidRDefault="00C72ABA">
      <w:pPr>
        <w:ind w:left="720"/>
        <w:contextualSpacing w:val="0"/>
        <w:rPr>
          <w:lang w:val="en-GB"/>
        </w:rPr>
      </w:pPr>
    </w:p>
    <w:p w:rsidR="00C72ABA" w:rsidRPr="005A5464" w:rsidRDefault="005A5464">
      <w:pPr>
        <w:ind w:left="720"/>
        <w:contextualSpacing w:val="0"/>
        <w:rPr>
          <w:sz w:val="16"/>
          <w:szCs w:val="16"/>
          <w:lang w:val="en-GB"/>
        </w:rPr>
      </w:pPr>
      <w:r w:rsidRPr="005A5464">
        <w:rPr>
          <w:lang w:val="en-GB"/>
        </w:rPr>
        <w:t>It is the rolling stock operator’s duty to ensure that tachographs throughout the entire fleet are compatible with EU specification as well as they’re properly calibrated and sealed by an authorized body. Empl</w:t>
      </w:r>
      <w:r w:rsidRPr="005A5464">
        <w:rPr>
          <w:lang w:val="en-GB"/>
        </w:rPr>
        <w:t>oyers must also make sure that driver’s shifts are organised in a way so it’s possible to comply with the law and then carry periodical checks of tachograph records to check if there aren’t any breaches of the law. if there are any suspicious elements, the</w:t>
      </w:r>
      <w:r w:rsidRPr="005A5464">
        <w:rPr>
          <w:lang w:val="en-GB"/>
        </w:rPr>
        <w:t xml:space="preserve"> employer must evaluate the problems to stop it from happening again.                                                     </w:t>
      </w:r>
    </w:p>
    <w:p w:rsidR="00C72ABA" w:rsidRPr="005A5464" w:rsidRDefault="005A5464">
      <w:pPr>
        <w:ind w:left="720"/>
        <w:contextualSpacing w:val="0"/>
        <w:rPr>
          <w:lang w:val="en-GB"/>
        </w:rPr>
      </w:pPr>
      <w:r>
        <w:rPr>
          <w:noProof/>
        </w:rPr>
        <w:drawing>
          <wp:anchor distT="114300" distB="114300" distL="114300" distR="114300" simplePos="0" relativeHeight="251658240" behindDoc="0" locked="0" layoutInCell="1" hidden="0" allowOverlap="1">
            <wp:simplePos x="0" y="0"/>
            <wp:positionH relativeFrom="column">
              <wp:posOffset>476250</wp:posOffset>
            </wp:positionH>
            <wp:positionV relativeFrom="paragraph">
              <wp:posOffset>209550</wp:posOffset>
            </wp:positionV>
            <wp:extent cx="3605213" cy="3590792"/>
            <wp:effectExtent l="0" t="0" r="0" b="0"/>
            <wp:wrapSquare wrapText="bothSides" distT="114300" distB="114300" distL="114300" distR="1143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3605213" cy="3590792"/>
                    </a:xfrm>
                    <a:prstGeom prst="rect">
                      <a:avLst/>
                    </a:prstGeom>
                    <a:ln/>
                  </pic:spPr>
                </pic:pic>
              </a:graphicData>
            </a:graphic>
          </wp:anchor>
        </w:drawing>
      </w:r>
    </w:p>
    <w:p w:rsidR="00C72ABA" w:rsidRPr="005A5464" w:rsidRDefault="00C72ABA">
      <w:pPr>
        <w:ind w:left="720"/>
        <w:contextualSpacing w:val="0"/>
        <w:rPr>
          <w:lang w:val="en-GB"/>
        </w:rPr>
      </w:pPr>
    </w:p>
    <w:p w:rsidR="00C72ABA" w:rsidRPr="005A5464" w:rsidRDefault="00C72ABA">
      <w:pPr>
        <w:ind w:left="720"/>
        <w:contextualSpacing w:val="0"/>
        <w:jc w:val="right"/>
        <w:rPr>
          <w:lang w:val="en-GB"/>
        </w:rPr>
      </w:pPr>
    </w:p>
    <w:p w:rsidR="00C72ABA" w:rsidRPr="005A5464" w:rsidRDefault="00C72ABA">
      <w:pPr>
        <w:ind w:left="720"/>
        <w:contextualSpacing w:val="0"/>
        <w:jc w:val="right"/>
        <w:rPr>
          <w:lang w:val="en-GB"/>
        </w:rPr>
      </w:pPr>
    </w:p>
    <w:p w:rsidR="00C72ABA" w:rsidRPr="005A5464" w:rsidRDefault="00C72ABA">
      <w:pPr>
        <w:ind w:left="720"/>
        <w:contextualSpacing w:val="0"/>
        <w:jc w:val="right"/>
        <w:rPr>
          <w:lang w:val="en-GB"/>
        </w:rPr>
      </w:pPr>
    </w:p>
    <w:p w:rsidR="00C72ABA" w:rsidRPr="005A5464" w:rsidRDefault="00C72ABA">
      <w:pPr>
        <w:ind w:left="720"/>
        <w:contextualSpacing w:val="0"/>
        <w:jc w:val="right"/>
        <w:rPr>
          <w:lang w:val="en-GB"/>
        </w:rPr>
      </w:pPr>
    </w:p>
    <w:p w:rsidR="00C72ABA" w:rsidRPr="005A5464" w:rsidRDefault="005A5464">
      <w:pPr>
        <w:ind w:left="720"/>
        <w:contextualSpacing w:val="0"/>
        <w:jc w:val="right"/>
        <w:rPr>
          <w:sz w:val="18"/>
          <w:szCs w:val="18"/>
          <w:lang w:val="en-GB"/>
        </w:rPr>
      </w:pPr>
      <w:r w:rsidRPr="005A5464">
        <w:rPr>
          <w:sz w:val="18"/>
          <w:szCs w:val="18"/>
          <w:lang w:val="en-GB"/>
        </w:rPr>
        <w:t xml:space="preserve">  fig. 1, An example of a blank analogue tachograph chart for </w:t>
      </w:r>
      <w:proofErr w:type="gramStart"/>
      <w:r w:rsidRPr="005A5464">
        <w:rPr>
          <w:sz w:val="18"/>
          <w:szCs w:val="18"/>
          <w:lang w:val="en-GB"/>
        </w:rPr>
        <w:t>a  vehicle</w:t>
      </w:r>
      <w:proofErr w:type="gramEnd"/>
      <w:r w:rsidRPr="005A5464">
        <w:rPr>
          <w:sz w:val="18"/>
          <w:szCs w:val="18"/>
          <w:lang w:val="en-GB"/>
        </w:rPr>
        <w:t xml:space="preserve"> with top speed of 140 km/h. The record is produced in</w:t>
      </w:r>
      <w:r w:rsidRPr="005A5464">
        <w:rPr>
          <w:sz w:val="18"/>
          <w:szCs w:val="18"/>
          <w:lang w:val="en-GB"/>
        </w:rPr>
        <w:t xml:space="preserve"> the format of a round graph with timescales on the x axis and vehicle’s velocity on the Y axis. The centre area is reserved for driver’s name, starting point and time, vehicle registration number and destination with arrival time.</w:t>
      </w: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5A5464" w:rsidRDefault="005A5464">
      <w:pPr>
        <w:contextualSpacing w:val="0"/>
        <w:rPr>
          <w:sz w:val="16"/>
          <w:szCs w:val="16"/>
          <w:lang w:val="en-GB"/>
        </w:rPr>
      </w:pPr>
    </w:p>
    <w:p w:rsidR="005A5464" w:rsidRDefault="005A5464">
      <w:pPr>
        <w:contextualSpacing w:val="0"/>
        <w:rPr>
          <w:lang w:val="en-GB"/>
        </w:rPr>
      </w:pPr>
    </w:p>
    <w:p w:rsidR="00C72ABA" w:rsidRPr="005A5464" w:rsidRDefault="005A5464">
      <w:pPr>
        <w:contextualSpacing w:val="0"/>
        <w:rPr>
          <w:sz w:val="16"/>
          <w:szCs w:val="16"/>
          <w:lang w:val="en-GB"/>
        </w:rPr>
      </w:pPr>
      <w:r w:rsidRPr="005A5464">
        <w:rPr>
          <w:lang w:val="en-GB"/>
        </w:rPr>
        <w:t>Even though the important role that tachographs play in the wide context of safety on roads is indisputable, some irresponsible drivers found a way to falsify the records to allow them to extend their working time. It is possible to interfere with tachogra</w:t>
      </w:r>
      <w:r w:rsidRPr="005A5464">
        <w:rPr>
          <w:lang w:val="en-GB"/>
        </w:rPr>
        <w:t xml:space="preserve">ph operation by attaching </w:t>
      </w:r>
      <w:r w:rsidRPr="005A5464">
        <w:rPr>
          <w:lang w:val="en-GB"/>
        </w:rPr>
        <w:lastRenderedPageBreak/>
        <w:t xml:space="preserve">strong magnets in the device proximity. By doing that the tachograph can produce records stating that the vehicle was stationary, where in fact it was operating </w:t>
      </w:r>
      <w:proofErr w:type="gramStart"/>
      <w:r w:rsidRPr="005A5464">
        <w:rPr>
          <w:lang w:val="en-GB"/>
        </w:rPr>
        <w:t>normally</w:t>
      </w:r>
      <w:proofErr w:type="gramEnd"/>
      <w:r w:rsidRPr="005A5464">
        <w:rPr>
          <w:lang w:val="en-GB"/>
        </w:rPr>
        <w:t xml:space="preserve"> and the driver was working. Apart from the obvious danger of</w:t>
      </w:r>
      <w:r w:rsidRPr="005A5464">
        <w:rPr>
          <w:lang w:val="en-GB"/>
        </w:rPr>
        <w:t xml:space="preserve"> overworking such setup can influence the velocity indication on speedometers and disable the ABS system making the vehicle dangerous to operate on public roads. Because of that, drivers who decide to tamper with tachographs can face heavy fines and risk r</w:t>
      </w:r>
      <w:r w:rsidRPr="005A5464">
        <w:rPr>
          <w:lang w:val="en-GB"/>
        </w:rPr>
        <w:t xml:space="preserve">evoking their licence for </w:t>
      </w:r>
      <w:proofErr w:type="gramStart"/>
      <w:r w:rsidRPr="005A5464">
        <w:rPr>
          <w:lang w:val="en-GB"/>
        </w:rPr>
        <w:t>a period of time</w:t>
      </w:r>
      <w:proofErr w:type="gramEnd"/>
      <w:r w:rsidRPr="005A5464">
        <w:rPr>
          <w:lang w:val="en-GB"/>
        </w:rPr>
        <w:t xml:space="preserve">. </w:t>
      </w: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Pr="005A5464" w:rsidRDefault="00C72ABA">
      <w:pPr>
        <w:ind w:left="720"/>
        <w:contextualSpacing w:val="0"/>
        <w:jc w:val="center"/>
        <w:rPr>
          <w:sz w:val="16"/>
          <w:szCs w:val="16"/>
          <w:lang w:val="en-GB"/>
        </w:rPr>
      </w:pPr>
    </w:p>
    <w:p w:rsidR="00C72ABA" w:rsidRDefault="005A5464">
      <w:pPr>
        <w:pStyle w:val="Subtitle"/>
        <w:numPr>
          <w:ilvl w:val="0"/>
          <w:numId w:val="1"/>
        </w:numPr>
      </w:pPr>
      <w:bookmarkStart w:id="2" w:name="_c8jlpoudu4x3" w:colFirst="0" w:colLast="0"/>
      <w:bookmarkEnd w:id="2"/>
      <w:r>
        <w:t>Vehicle and cargo insurance</w:t>
      </w:r>
    </w:p>
    <w:p w:rsidR="00C72ABA" w:rsidRPr="005A5464" w:rsidRDefault="005A5464">
      <w:pPr>
        <w:contextualSpacing w:val="0"/>
        <w:rPr>
          <w:lang w:val="en-GB"/>
        </w:rPr>
      </w:pPr>
      <w:r w:rsidRPr="005A5464">
        <w:rPr>
          <w:lang w:val="en-GB"/>
        </w:rPr>
        <w:t xml:space="preserve"> It is carrier’s responsibility to insure every vehicle in the fleet, even if they are not used in operations (unless the DVLA was notified and such vehicle has a Statutory </w:t>
      </w:r>
      <w:proofErr w:type="gramStart"/>
      <w:r w:rsidRPr="005A5464">
        <w:rPr>
          <w:lang w:val="en-GB"/>
        </w:rPr>
        <w:t>Off Roa</w:t>
      </w:r>
      <w:r w:rsidRPr="005A5464">
        <w:rPr>
          <w:lang w:val="en-GB"/>
        </w:rPr>
        <w:t>d</w:t>
      </w:r>
      <w:proofErr w:type="gramEnd"/>
      <w:r w:rsidRPr="005A5464">
        <w:rPr>
          <w:lang w:val="en-GB"/>
        </w:rPr>
        <w:t xml:space="preserve"> Notification). The Road Traffic Act 1988 states that “all motor vehicles, except invalid carriages and vehicles owned by local authorities or the police, used on a road must be covered against third party risk” (Lowe and Pidgeon, 2018, p.265). The </w:t>
      </w:r>
      <w:proofErr w:type="gramStart"/>
      <w:r w:rsidRPr="005A5464">
        <w:rPr>
          <w:lang w:val="en-GB"/>
        </w:rPr>
        <w:t xml:space="preserve">third </w:t>
      </w:r>
      <w:r w:rsidRPr="005A5464">
        <w:rPr>
          <w:lang w:val="en-GB"/>
        </w:rPr>
        <w:t>party</w:t>
      </w:r>
      <w:proofErr w:type="gramEnd"/>
      <w:r w:rsidRPr="005A5464">
        <w:rPr>
          <w:lang w:val="en-GB"/>
        </w:rPr>
        <w:t xml:space="preserve"> insurance covers the costs of damage in an accident caused by a third party. That includes passenger liability insurance. The EU law states that “all insurance policies are required to cover liability for damage to property up to maximum of £250,000 </w:t>
      </w:r>
      <w:r w:rsidRPr="005A5464">
        <w:rPr>
          <w:lang w:val="en-GB"/>
        </w:rPr>
        <w:t xml:space="preserve">arising from one or a series of accidents” (Lowe and Pidgeon, 2018, p.266). The European Motor Insurance Directive makes it a responsibility for fleet operators to provide all insurance information to the Motor Insurance Database which holds such data for </w:t>
      </w:r>
      <w:r w:rsidRPr="005A5464">
        <w:rPr>
          <w:lang w:val="en-GB"/>
        </w:rPr>
        <w:t>all vehicles on European roads. Failure to do that can result in a substantial fine.</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Third party insurance does not cover for goods in transit. In order to obtain such cover, another type of insurance needs to be acquired - Goods in Transit Insurance (GIT</w:t>
      </w:r>
      <w:r w:rsidRPr="005A5464">
        <w:rPr>
          <w:lang w:val="en-GB"/>
        </w:rPr>
        <w:t>). Even though under UK law this is not compulsory for domestic operations, international operations need to have such cover. The terms of the insurance agreement can be complicated and often require vehicles to be equipped with immobilizers, steering colu</w:t>
      </w:r>
      <w:r w:rsidRPr="005A5464">
        <w:rPr>
          <w:lang w:val="en-GB"/>
        </w:rPr>
        <w:t xml:space="preserve">mn locks and overnight parking happening only at guarded premises, </w:t>
      </w:r>
      <w:proofErr w:type="gramStart"/>
      <w:r w:rsidRPr="005A5464">
        <w:rPr>
          <w:lang w:val="en-GB"/>
        </w:rPr>
        <w:t>Some</w:t>
      </w:r>
      <w:proofErr w:type="gramEnd"/>
      <w:r w:rsidRPr="005A5464">
        <w:rPr>
          <w:lang w:val="en-GB"/>
        </w:rPr>
        <w:t xml:space="preserve"> logistics providers negotiate the responsibility of goods in transit, making the client to remain liable</w:t>
      </w:r>
    </w:p>
    <w:p w:rsidR="00C72ABA" w:rsidRPr="005A5464" w:rsidRDefault="00C72ABA">
      <w:pPr>
        <w:contextualSpacing w:val="0"/>
        <w:rPr>
          <w:lang w:val="en-GB"/>
        </w:rPr>
      </w:pPr>
    </w:p>
    <w:p w:rsidR="00C72ABA" w:rsidRPr="005A5464" w:rsidRDefault="00C72ABA">
      <w:pPr>
        <w:contextualSpacing w:val="0"/>
        <w:rPr>
          <w:lang w:val="en-GB"/>
        </w:rPr>
      </w:pPr>
    </w:p>
    <w:p w:rsidR="00C72ABA" w:rsidRDefault="005A5464">
      <w:pPr>
        <w:pStyle w:val="Subtitle"/>
        <w:numPr>
          <w:ilvl w:val="0"/>
          <w:numId w:val="1"/>
        </w:numPr>
      </w:pPr>
      <w:bookmarkStart w:id="3" w:name="_1fdrnyncfn0t" w:colFirst="0" w:colLast="0"/>
      <w:bookmarkEnd w:id="3"/>
      <w:r>
        <w:t>Dangerous goods</w:t>
      </w:r>
    </w:p>
    <w:p w:rsidR="00C72ABA" w:rsidRPr="005A5464" w:rsidRDefault="005A5464">
      <w:pPr>
        <w:contextualSpacing w:val="0"/>
        <w:rPr>
          <w:lang w:val="en-GB"/>
        </w:rPr>
      </w:pPr>
      <w:r w:rsidRPr="005A5464">
        <w:rPr>
          <w:lang w:val="en-GB"/>
        </w:rPr>
        <w:t xml:space="preserve">The European Agreement Concerning the International Carriage </w:t>
      </w:r>
      <w:r w:rsidRPr="005A5464">
        <w:rPr>
          <w:lang w:val="en-GB"/>
        </w:rPr>
        <w:t>of Dangerous Goods by Road, or the ADR is an agreement with purpose to legislate carriage of dangerous goods by road. This document states how said cargo should be classified, transported and how to deal with risks associated with this kind of load. It als</w:t>
      </w:r>
      <w:r w:rsidRPr="005A5464">
        <w:rPr>
          <w:lang w:val="en-GB"/>
        </w:rPr>
        <w:t>o describes emergency situations and what precautions need to be taken in order to protect both; the handling crew and other people involved in the emergency.</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It is not legal to transport dangerous goods without establishing what substance is being carrie</w:t>
      </w:r>
      <w:r w:rsidRPr="005A5464">
        <w:rPr>
          <w:lang w:val="en-GB"/>
        </w:rPr>
        <w:t>d and without determining risks associated with this type of substance. There is an internationally recognised system to classify dangerous goods and it is found in the Orange Book - a publication by the United Nations organisation and the second part of t</w:t>
      </w:r>
      <w:r w:rsidRPr="005A5464">
        <w:rPr>
          <w:lang w:val="en-GB"/>
        </w:rPr>
        <w:t xml:space="preserve">he ADR agreement. The system described in the orange book classifies the goods into classes, </w:t>
      </w:r>
      <w:r w:rsidRPr="005A5464">
        <w:rPr>
          <w:lang w:val="en-GB"/>
        </w:rPr>
        <w:lastRenderedPageBreak/>
        <w:t>divisions and packing groups. The classes being the most important and basic way to identify go as follows:</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Class 1 - Explosives</w:t>
      </w:r>
    </w:p>
    <w:p w:rsidR="00C72ABA" w:rsidRPr="005A5464" w:rsidRDefault="005A5464">
      <w:pPr>
        <w:contextualSpacing w:val="0"/>
        <w:rPr>
          <w:lang w:val="en-GB"/>
        </w:rPr>
      </w:pPr>
      <w:r w:rsidRPr="005A5464">
        <w:rPr>
          <w:lang w:val="en-GB"/>
        </w:rPr>
        <w:t>Class 2 - Gases</w:t>
      </w:r>
    </w:p>
    <w:p w:rsidR="00C72ABA" w:rsidRPr="005A5464" w:rsidRDefault="005A5464">
      <w:pPr>
        <w:contextualSpacing w:val="0"/>
        <w:rPr>
          <w:lang w:val="en-GB"/>
        </w:rPr>
      </w:pPr>
      <w:r w:rsidRPr="005A5464">
        <w:rPr>
          <w:lang w:val="en-GB"/>
        </w:rPr>
        <w:t>Class 3 - Flammab</w:t>
      </w:r>
      <w:r w:rsidRPr="005A5464">
        <w:rPr>
          <w:lang w:val="en-GB"/>
        </w:rPr>
        <w:t>le Liquids</w:t>
      </w:r>
    </w:p>
    <w:p w:rsidR="00C72ABA" w:rsidRPr="005A5464" w:rsidRDefault="005A5464">
      <w:pPr>
        <w:contextualSpacing w:val="0"/>
        <w:rPr>
          <w:lang w:val="en-GB"/>
        </w:rPr>
      </w:pPr>
      <w:r w:rsidRPr="005A5464">
        <w:rPr>
          <w:lang w:val="en-GB"/>
        </w:rPr>
        <w:t>Class 4 - Flammable solids, chemicals that can combust spontaneously, and chemicals which release flammable gases when in contact with water</w:t>
      </w:r>
    </w:p>
    <w:p w:rsidR="00C72ABA" w:rsidRPr="005A5464" w:rsidRDefault="005A5464">
      <w:pPr>
        <w:contextualSpacing w:val="0"/>
        <w:rPr>
          <w:lang w:val="en-GB"/>
        </w:rPr>
      </w:pPr>
      <w:r w:rsidRPr="005A5464">
        <w:rPr>
          <w:lang w:val="en-GB"/>
        </w:rPr>
        <w:t>Class 5 - Oxidising agents and organic peroxides</w:t>
      </w:r>
    </w:p>
    <w:p w:rsidR="00C72ABA" w:rsidRPr="005A5464" w:rsidRDefault="005A5464">
      <w:pPr>
        <w:contextualSpacing w:val="0"/>
        <w:rPr>
          <w:lang w:val="en-GB"/>
        </w:rPr>
      </w:pPr>
      <w:r w:rsidRPr="005A5464">
        <w:rPr>
          <w:lang w:val="en-GB"/>
        </w:rPr>
        <w:t>Class 6 - Toxic and infectious substances</w:t>
      </w:r>
    </w:p>
    <w:p w:rsidR="00C72ABA" w:rsidRPr="005A5464" w:rsidRDefault="005A5464">
      <w:pPr>
        <w:contextualSpacing w:val="0"/>
        <w:rPr>
          <w:lang w:val="en-GB"/>
        </w:rPr>
      </w:pPr>
      <w:r w:rsidRPr="005A5464">
        <w:rPr>
          <w:lang w:val="en-GB"/>
        </w:rPr>
        <w:t>Class 7 - Radioactive material</w:t>
      </w:r>
    </w:p>
    <w:p w:rsidR="00C72ABA" w:rsidRPr="005A5464" w:rsidRDefault="005A5464">
      <w:pPr>
        <w:contextualSpacing w:val="0"/>
        <w:rPr>
          <w:lang w:val="en-GB"/>
        </w:rPr>
      </w:pPr>
      <w:r w:rsidRPr="005A5464">
        <w:rPr>
          <w:lang w:val="en-GB"/>
        </w:rPr>
        <w:t>Class 8 - Corrosives</w:t>
      </w:r>
    </w:p>
    <w:p w:rsidR="00C72ABA" w:rsidRPr="005A5464" w:rsidRDefault="005A5464">
      <w:pPr>
        <w:contextualSpacing w:val="0"/>
        <w:rPr>
          <w:lang w:val="en-GB"/>
        </w:rPr>
      </w:pPr>
      <w:r w:rsidRPr="005A5464">
        <w:rPr>
          <w:lang w:val="en-GB"/>
        </w:rPr>
        <w:t>Class 9 - Miscellaneous chemicals and articles.</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Each class is then divided into divisions to further identify carried load and estimate how much of a risk they create.</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 xml:space="preserve">Furthermore, </w:t>
      </w:r>
      <w:proofErr w:type="gramStart"/>
      <w:r w:rsidRPr="005A5464">
        <w:rPr>
          <w:lang w:val="en-GB"/>
        </w:rPr>
        <w:t>each and every</w:t>
      </w:r>
      <w:proofErr w:type="gramEnd"/>
      <w:r w:rsidRPr="005A5464">
        <w:rPr>
          <w:lang w:val="en-GB"/>
        </w:rPr>
        <w:t xml:space="preserve"> type o</w:t>
      </w:r>
      <w:r w:rsidRPr="005A5464">
        <w:rPr>
          <w:lang w:val="en-GB"/>
        </w:rPr>
        <w:t>f dangerous load is marked with a packing group:</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 xml:space="preserve">Packing </w:t>
      </w:r>
      <w:proofErr w:type="gramStart"/>
      <w:r w:rsidRPr="005A5464">
        <w:rPr>
          <w:lang w:val="en-GB"/>
        </w:rPr>
        <w:t>group</w:t>
      </w:r>
      <w:proofErr w:type="gramEnd"/>
      <w:r w:rsidRPr="005A5464">
        <w:rPr>
          <w:lang w:val="en-GB"/>
        </w:rPr>
        <w:t xml:space="preserve"> I       -     high danger goods</w:t>
      </w:r>
    </w:p>
    <w:p w:rsidR="00C72ABA" w:rsidRPr="005A5464" w:rsidRDefault="005A5464">
      <w:pPr>
        <w:contextualSpacing w:val="0"/>
        <w:rPr>
          <w:lang w:val="en-GB"/>
        </w:rPr>
      </w:pPr>
      <w:r w:rsidRPr="005A5464">
        <w:rPr>
          <w:lang w:val="en-GB"/>
        </w:rPr>
        <w:t>Packing group II      -     medium danger goods</w:t>
      </w:r>
    </w:p>
    <w:p w:rsidR="00C72ABA" w:rsidRPr="005A5464" w:rsidRDefault="005A5464">
      <w:pPr>
        <w:contextualSpacing w:val="0"/>
        <w:rPr>
          <w:lang w:val="en-GB"/>
        </w:rPr>
      </w:pPr>
      <w:r w:rsidRPr="005A5464">
        <w:rPr>
          <w:lang w:val="en-GB"/>
        </w:rPr>
        <w:t>Packing group III     -     low danger goods</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When carrying third party dangerous goods, the carrier’s responsib</w:t>
      </w:r>
      <w:r w:rsidRPr="005A5464">
        <w:rPr>
          <w:lang w:val="en-GB"/>
        </w:rPr>
        <w:t xml:space="preserve">ilities are key to providing a safe, reliable and sustainable transit. </w:t>
      </w:r>
      <w:proofErr w:type="gramStart"/>
      <w:r w:rsidRPr="005A5464">
        <w:rPr>
          <w:lang w:val="en-GB"/>
        </w:rPr>
        <w:t>First of all</w:t>
      </w:r>
      <w:proofErr w:type="gramEnd"/>
      <w:r w:rsidRPr="005A5464">
        <w:rPr>
          <w:lang w:val="en-GB"/>
        </w:rPr>
        <w:t xml:space="preserve">, it needs to be checked if carried load is compliant with the ADR. It is also important to ensure that all vehicles to be used in operation are tested and if there </w:t>
      </w:r>
      <w:proofErr w:type="gramStart"/>
      <w:r w:rsidRPr="005A5464">
        <w:rPr>
          <w:lang w:val="en-GB"/>
        </w:rPr>
        <w:t>is</w:t>
      </w:r>
      <w:proofErr w:type="gramEnd"/>
      <w:r w:rsidRPr="005A5464">
        <w:rPr>
          <w:lang w:val="en-GB"/>
        </w:rPr>
        <w:t xml:space="preserve"> no ob</w:t>
      </w:r>
      <w:r w:rsidRPr="005A5464">
        <w:rPr>
          <w:lang w:val="en-GB"/>
        </w:rPr>
        <w:t>vious, visible malfunctions like leaks or cracks. It’s also the carrier’s responsibility to make sure the vehicle is not overloaded and all markings and labels identifying the load are attached to the vehicle. Last, but not least, the carrier needs to prov</w:t>
      </w:r>
      <w:r w:rsidRPr="005A5464">
        <w:rPr>
          <w:lang w:val="en-GB"/>
        </w:rPr>
        <w:t xml:space="preserve">ide the driver with documentation concerning the load as well as written instructions and specific equipment, </w:t>
      </w:r>
      <w:r>
        <w:rPr>
          <w:lang w:val="en-GB"/>
        </w:rPr>
        <w:t>for example</w:t>
      </w:r>
      <w:r w:rsidRPr="005A5464">
        <w:rPr>
          <w:lang w:val="en-GB"/>
        </w:rPr>
        <w:t xml:space="preserve"> extra fire extinguishers</w:t>
      </w:r>
      <w:r>
        <w:rPr>
          <w:lang w:val="en-GB"/>
        </w:rPr>
        <w:t xml:space="preserve"> and first aid kits</w:t>
      </w:r>
      <w:r w:rsidRPr="005A5464">
        <w:rPr>
          <w:lang w:val="en-GB"/>
        </w:rPr>
        <w:t>.</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Vehicles carrying dangerous goods need to be marked correctly. In order to do that, they must display a rectangular</w:t>
      </w:r>
      <w:r w:rsidRPr="005A5464">
        <w:rPr>
          <w:lang w:val="en-GB"/>
        </w:rPr>
        <w:t>, orange sign with black border lines on both; the front and rear of the vehicle. Apart from that, on both sides of the vehicle there needs to be a similarly coloured panel with a substance specific UN code (to identify what substance is being transported)</w:t>
      </w:r>
      <w:r w:rsidRPr="005A5464">
        <w:rPr>
          <w:lang w:val="en-GB"/>
        </w:rPr>
        <w:t>, and emergency action code below</w:t>
      </w:r>
    </w:p>
    <w:p w:rsidR="005A5464" w:rsidRDefault="005A5464">
      <w:pPr>
        <w:contextualSpacing w:val="0"/>
        <w:rPr>
          <w:lang w:val="en-GB"/>
        </w:rPr>
      </w:pPr>
    </w:p>
    <w:p w:rsidR="00C72ABA" w:rsidRPr="005A5464" w:rsidRDefault="005A5464">
      <w:pPr>
        <w:contextualSpacing w:val="0"/>
        <w:rPr>
          <w:lang w:val="en-GB"/>
        </w:rPr>
      </w:pPr>
      <w:r w:rsidRPr="005A5464">
        <w:rPr>
          <w:lang w:val="en-GB"/>
        </w:rPr>
        <w:t xml:space="preserve">In conclusion, carriers face great liabilities when carrying third party goods. They are responsible for the goods transit and must provide appropriate conditions, </w:t>
      </w:r>
      <w:proofErr w:type="spellStart"/>
      <w:r w:rsidRPr="005A5464">
        <w:rPr>
          <w:lang w:val="en-GB"/>
        </w:rPr>
        <w:t>eg</w:t>
      </w:r>
      <w:proofErr w:type="spellEnd"/>
      <w:r w:rsidRPr="005A5464">
        <w:rPr>
          <w:lang w:val="en-GB"/>
        </w:rPr>
        <w:t xml:space="preserve"> low temperature of loading spaces when needed. Employee</w:t>
      </w:r>
      <w:r w:rsidRPr="005A5464">
        <w:rPr>
          <w:lang w:val="en-GB"/>
        </w:rPr>
        <w:t>s must comply with legislation including but not limited to traffic rules and working hours and employers must make sure that staff is familiar with those in order to provide a safe, reliable and sustainable transit system as well as to avoid fines and oth</w:t>
      </w:r>
      <w:r w:rsidRPr="005A5464">
        <w:rPr>
          <w:lang w:val="en-GB"/>
        </w:rPr>
        <w:t xml:space="preserve">er penalties. On top of this, </w:t>
      </w:r>
      <w:proofErr w:type="spellStart"/>
      <w:r w:rsidRPr="005A5464">
        <w:rPr>
          <w:lang w:val="en-GB"/>
        </w:rPr>
        <w:t>Carrier’s</w:t>
      </w:r>
      <w:proofErr w:type="spellEnd"/>
      <w:r w:rsidRPr="005A5464">
        <w:rPr>
          <w:lang w:val="en-GB"/>
        </w:rPr>
        <w:t xml:space="preserve"> are obliged to ensure their fleet is roadworthy. They need to cover the costs of insurance, pay the staff’s salaries and make sure it’s fair. Operators need to keep records of driving available for inspection. They n</w:t>
      </w:r>
      <w:r w:rsidRPr="005A5464">
        <w:rPr>
          <w:lang w:val="en-GB"/>
        </w:rPr>
        <w:t xml:space="preserve">eed to supervise the drivers to make sure they aren’t breaking the law for </w:t>
      </w:r>
      <w:r w:rsidRPr="005A5464">
        <w:rPr>
          <w:lang w:val="en-GB"/>
        </w:rPr>
        <w:lastRenderedPageBreak/>
        <w:t xml:space="preserve">example by overloading the vehicles or exceeding working time. By doing this, operators can make our roads a bit safer, as well as provide a good service for a </w:t>
      </w:r>
      <w:proofErr w:type="gramStart"/>
      <w:r w:rsidRPr="005A5464">
        <w:rPr>
          <w:lang w:val="en-GB"/>
        </w:rPr>
        <w:t>third party</w:t>
      </w:r>
      <w:proofErr w:type="gramEnd"/>
      <w:r w:rsidRPr="005A5464">
        <w:rPr>
          <w:lang w:val="en-GB"/>
        </w:rPr>
        <w:t xml:space="preserve"> customer.</w:t>
      </w:r>
    </w:p>
    <w:p w:rsidR="00C72ABA" w:rsidRPr="005A5464" w:rsidRDefault="00C72ABA">
      <w:pPr>
        <w:contextualSpacing w:val="0"/>
        <w:rPr>
          <w:lang w:val="en-GB"/>
        </w:rPr>
      </w:pPr>
    </w:p>
    <w:p w:rsidR="00C72ABA" w:rsidRPr="005A5464" w:rsidRDefault="00C72ABA">
      <w:pPr>
        <w:contextualSpacing w:val="0"/>
        <w:rPr>
          <w:lang w:val="en-GB"/>
        </w:rPr>
      </w:pP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Bibliography:</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fig. 1 - Tachograph.co.uk - An online shop with analogue tachograph charts</w:t>
      </w:r>
    </w:p>
    <w:p w:rsidR="00C72ABA" w:rsidRPr="005A5464" w:rsidRDefault="005A5464">
      <w:pPr>
        <w:contextualSpacing w:val="0"/>
        <w:rPr>
          <w:lang w:val="en-GB"/>
        </w:rPr>
      </w:pPr>
      <w:r w:rsidRPr="005A5464">
        <w:rPr>
          <w:lang w:val="en-GB"/>
        </w:rPr>
        <w:t xml:space="preserve">( </w:t>
      </w:r>
      <w:hyperlink r:id="rId6">
        <w:r w:rsidRPr="005A5464">
          <w:rPr>
            <w:color w:val="1155CC"/>
            <w:u w:val="single"/>
            <w:lang w:val="en-GB"/>
          </w:rPr>
          <w:t>https://tachograph.co.uk/product/t804r-tachograph-charts-unnumbered-t804run/</w:t>
        </w:r>
      </w:hyperlink>
      <w:r w:rsidRPr="005A5464">
        <w:rPr>
          <w:lang w:val="en-GB"/>
        </w:rPr>
        <w:t xml:space="preserve"> )</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Government website about driving hours and AETR</w:t>
      </w:r>
    </w:p>
    <w:p w:rsidR="00C72ABA" w:rsidRPr="005A5464" w:rsidRDefault="005A5464">
      <w:pPr>
        <w:contextualSpacing w:val="0"/>
        <w:rPr>
          <w:lang w:val="en-GB"/>
        </w:rPr>
      </w:pPr>
      <w:r w:rsidRPr="005A5464">
        <w:rPr>
          <w:lang w:val="en-GB"/>
        </w:rPr>
        <w:t>(</w:t>
      </w:r>
      <w:hyperlink r:id="rId7">
        <w:r w:rsidRPr="005A5464">
          <w:rPr>
            <w:color w:val="1155CC"/>
            <w:u w:val="single"/>
            <w:lang w:val="en-GB"/>
          </w:rPr>
          <w:t>https://www.gov.uk/drivers-hours/aetr-rules</w:t>
        </w:r>
      </w:hyperlink>
      <w:r w:rsidRPr="005A5464">
        <w:rPr>
          <w:lang w:val="en-GB"/>
        </w:rPr>
        <w:t>)</w:t>
      </w:r>
    </w:p>
    <w:p w:rsidR="00C72ABA" w:rsidRPr="005A5464" w:rsidRDefault="00C72ABA">
      <w:pPr>
        <w:contextualSpacing w:val="0"/>
        <w:rPr>
          <w:lang w:val="en-GB"/>
        </w:rPr>
      </w:pPr>
    </w:p>
    <w:p w:rsidR="00C72ABA" w:rsidRPr="005A5464" w:rsidRDefault="005A5464">
      <w:pPr>
        <w:contextualSpacing w:val="0"/>
        <w:rPr>
          <w:i/>
          <w:lang w:val="en-GB"/>
        </w:rPr>
      </w:pPr>
      <w:r w:rsidRPr="005A5464">
        <w:rPr>
          <w:lang w:val="en-GB"/>
        </w:rPr>
        <w:t>Hogan, T. and Dugg</w:t>
      </w:r>
      <w:r w:rsidRPr="005A5464">
        <w:rPr>
          <w:lang w:val="en-GB"/>
        </w:rPr>
        <w:t xml:space="preserve">an, B. 2018. Independent.ie. </w:t>
      </w:r>
      <w:r w:rsidRPr="005A5464">
        <w:rPr>
          <w:i/>
          <w:lang w:val="en-GB"/>
        </w:rPr>
        <w:t>Truckers put lives at risk with magnet scam that knocks out brakes</w:t>
      </w:r>
    </w:p>
    <w:p w:rsidR="00C72ABA" w:rsidRPr="005A5464" w:rsidRDefault="005A5464">
      <w:pPr>
        <w:contextualSpacing w:val="0"/>
        <w:rPr>
          <w:lang w:val="en-GB"/>
        </w:rPr>
      </w:pPr>
      <w:r w:rsidRPr="005A5464">
        <w:rPr>
          <w:lang w:val="en-GB"/>
        </w:rPr>
        <w:t>(</w:t>
      </w:r>
      <w:hyperlink r:id="rId8">
        <w:r w:rsidRPr="005A5464">
          <w:rPr>
            <w:color w:val="1155CC"/>
            <w:u w:val="single"/>
            <w:lang w:val="en-GB"/>
          </w:rPr>
          <w:t>https://www.independe</w:t>
        </w:r>
        <w:r w:rsidRPr="005A5464">
          <w:rPr>
            <w:color w:val="1155CC"/>
            <w:u w:val="single"/>
            <w:lang w:val="en-GB"/>
          </w:rPr>
          <w:t>nt.ie/irish-news/truckers-put-lives-at-risk-with-magnet-scam-that-knocks-out-brakes-26658972.html</w:t>
        </w:r>
      </w:hyperlink>
      <w:r w:rsidRPr="005A5464">
        <w:rPr>
          <w:lang w:val="en-GB"/>
        </w:rPr>
        <w:t>)</w:t>
      </w:r>
    </w:p>
    <w:p w:rsidR="00C72ABA" w:rsidRPr="005A5464" w:rsidRDefault="00C72ABA">
      <w:pPr>
        <w:contextualSpacing w:val="0"/>
        <w:rPr>
          <w:lang w:val="en-GB"/>
        </w:rPr>
      </w:pPr>
    </w:p>
    <w:p w:rsidR="00C72ABA" w:rsidRPr="005A5464" w:rsidRDefault="005A5464">
      <w:pPr>
        <w:contextualSpacing w:val="0"/>
        <w:rPr>
          <w:lang w:val="en-GB"/>
        </w:rPr>
      </w:pPr>
      <w:r w:rsidRPr="005A5464">
        <w:rPr>
          <w:lang w:val="en-GB"/>
        </w:rPr>
        <w:t>Lowe, D. and Pidgeon, C. 2018. Lowe’s Transport Manager’s and Operator’s handbook 2018 chapters 3, 4, 5, 9, 18, 20</w:t>
      </w:r>
    </w:p>
    <w:p w:rsidR="00C72ABA" w:rsidRPr="005A5464" w:rsidRDefault="00C72ABA">
      <w:pPr>
        <w:contextualSpacing w:val="0"/>
        <w:rPr>
          <w:lang w:val="en-GB"/>
        </w:rPr>
      </w:pPr>
    </w:p>
    <w:p w:rsidR="00C72ABA" w:rsidRPr="005A5464" w:rsidRDefault="00C72ABA">
      <w:pPr>
        <w:contextualSpacing w:val="0"/>
        <w:rPr>
          <w:lang w:val="en-GB"/>
        </w:rPr>
      </w:pPr>
    </w:p>
    <w:p w:rsidR="00C72ABA" w:rsidRPr="005A5464" w:rsidRDefault="00C72ABA">
      <w:pPr>
        <w:contextualSpacing w:val="0"/>
        <w:rPr>
          <w:lang w:val="en-GB"/>
        </w:rPr>
      </w:pPr>
    </w:p>
    <w:sectPr w:rsidR="00C72ABA" w:rsidRPr="005A5464">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B32278"/>
    <w:multiLevelType w:val="multilevel"/>
    <w:tmpl w:val="243A2F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C72ABA"/>
    <w:rsid w:val="005A5464"/>
    <w:rsid w:val="00C72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E0B22"/>
  <w15:docId w15:val="{A7D770E1-AF0F-4B07-8C61-EFA2117B9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pl" w:eastAsia="en-GB"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independent.ie/irish-news/truckers-put-lives-at-risk-with-magnet-scam-that-knocks-out-brakes-26658972.html" TargetMode="External"/><Relationship Id="rId3" Type="http://schemas.openxmlformats.org/officeDocument/2006/relationships/settings" Target="settings.xml"/><Relationship Id="rId7" Type="http://schemas.openxmlformats.org/officeDocument/2006/relationships/hyperlink" Target="https://www.gov.uk/drivers-hours/aetr-ru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achograph.co.uk/product/t804r-tachograph-charts-unnumbered-t804run/"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1757</Words>
  <Characters>10017</Characters>
  <Application>Microsoft Office Word</Application>
  <DocSecurity>0</DocSecurity>
  <Lines>83</Lines>
  <Paragraphs>23</Paragraphs>
  <ScaleCrop>false</ScaleCrop>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Krystian Halas (1800777)</cp:lastModifiedBy>
  <cp:revision>2</cp:revision>
  <dcterms:created xsi:type="dcterms:W3CDTF">2018-11-20T19:05:00Z</dcterms:created>
  <dcterms:modified xsi:type="dcterms:W3CDTF">2018-11-20T19:06:00Z</dcterms:modified>
</cp:coreProperties>
</file>