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5C1" w:rsidRDefault="00A735C1" w:rsidP="00FE1FC6">
      <w:pPr>
        <w:rPr>
          <w:b/>
          <w:u w:val="single"/>
        </w:rPr>
      </w:pPr>
    </w:p>
    <w:p w:rsidR="00A735C1" w:rsidRPr="00A735C1" w:rsidRDefault="00A735C1" w:rsidP="00A735C1">
      <w:pPr>
        <w:rPr>
          <w:b/>
          <w:color w:val="4F81BD" w:themeColor="accent1"/>
          <w:sz w:val="32"/>
          <w:szCs w:val="32"/>
          <w:u w:val="single"/>
        </w:rPr>
      </w:pPr>
      <w:r w:rsidRPr="00A735C1">
        <w:rPr>
          <w:b/>
          <w:noProof/>
          <w:u w:val="single"/>
          <w:lang w:eastAsia="en-GB"/>
        </w:rPr>
        <mc:AlternateContent>
          <mc:Choice Requires="wps">
            <w:drawing>
              <wp:anchor distT="0" distB="0" distL="114300" distR="114300" simplePos="0" relativeHeight="251659264" behindDoc="0" locked="0" layoutInCell="1" allowOverlap="1" wp14:editId="36B11C9B">
                <wp:simplePos x="0" y="0"/>
                <wp:positionH relativeFrom="column">
                  <wp:align>center</wp:align>
                </wp:positionH>
                <wp:positionV relativeFrom="paragraph">
                  <wp:posOffset>0</wp:posOffset>
                </wp:positionV>
                <wp:extent cx="5435600" cy="8212667"/>
                <wp:effectExtent l="0" t="0" r="12700"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5600" cy="8212667"/>
                        </a:xfrm>
                        <a:prstGeom prst="rect">
                          <a:avLst/>
                        </a:prstGeom>
                        <a:solidFill>
                          <a:srgbClr val="FFFFFF"/>
                        </a:solidFill>
                        <a:ln w="9525">
                          <a:solidFill>
                            <a:srgbClr val="000000"/>
                          </a:solidFill>
                          <a:miter lim="800000"/>
                          <a:headEnd/>
                          <a:tailEnd/>
                        </a:ln>
                      </wps:spPr>
                      <wps:txbx>
                        <w:txbxContent>
                          <w:p w:rsidR="00A735C1" w:rsidRDefault="00A735C1" w:rsidP="005C4C11">
                            <w:pPr>
                              <w:jc w:val="center"/>
                              <w:rPr>
                                <w:color w:val="4F81BD" w:themeColor="accent1"/>
                                <w:sz w:val="48"/>
                                <w:szCs w:val="48"/>
                              </w:rPr>
                            </w:pPr>
                            <w:r w:rsidRPr="005C4C11">
                              <w:rPr>
                                <w:color w:val="4F81BD" w:themeColor="accent1"/>
                                <w:sz w:val="48"/>
                                <w:szCs w:val="48"/>
                              </w:rPr>
                              <w:t xml:space="preserve">Similarity </w:t>
                            </w:r>
                            <w:proofErr w:type="gramStart"/>
                            <w:r w:rsidRPr="005C4C11">
                              <w:rPr>
                                <w:color w:val="4F81BD" w:themeColor="accent1"/>
                                <w:sz w:val="48"/>
                                <w:szCs w:val="48"/>
                              </w:rPr>
                              <w:t>Within</w:t>
                            </w:r>
                            <w:proofErr w:type="gramEnd"/>
                            <w:r w:rsidRPr="005C4C11">
                              <w:rPr>
                                <w:color w:val="4F81BD" w:themeColor="accent1"/>
                                <w:sz w:val="48"/>
                                <w:szCs w:val="48"/>
                              </w:rPr>
                              <w:t xml:space="preserve"> Diversity</w:t>
                            </w:r>
                            <w:r w:rsidR="005C4C11" w:rsidRPr="005C4C11">
                              <w:rPr>
                                <w:color w:val="4F81BD" w:themeColor="accent1"/>
                                <w:sz w:val="48"/>
                                <w:szCs w:val="48"/>
                              </w:rPr>
                              <w:t>: A Comparison Of Mythologies In Ancient Egyptian And Chinese Culture</w:t>
                            </w:r>
                          </w:p>
                          <w:p w:rsidR="005C4C11" w:rsidRDefault="005C4C11" w:rsidP="005C4C11">
                            <w:pPr>
                              <w:jc w:val="center"/>
                              <w:rPr>
                                <w:color w:val="4F81BD" w:themeColor="accent1"/>
                                <w:sz w:val="48"/>
                                <w:szCs w:val="48"/>
                              </w:rPr>
                            </w:pPr>
                            <w:r w:rsidRPr="005C4C11">
                              <w:rPr>
                                <w:noProof/>
                                <w:lang w:eastAsia="en-GB"/>
                              </w:rPr>
                              <w:drawing>
                                <wp:inline distT="0" distB="0" distL="0" distR="0">
                                  <wp:extent cx="1506855" cy="35477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6855" cy="3547745"/>
                                          </a:xfrm>
                                          <a:prstGeom prst="rect">
                                            <a:avLst/>
                                          </a:prstGeom>
                                          <a:noFill/>
                                          <a:ln>
                                            <a:noFill/>
                                          </a:ln>
                                        </pic:spPr>
                                      </pic:pic>
                                    </a:graphicData>
                                  </a:graphic>
                                </wp:inline>
                              </w:drawing>
                            </w:r>
                            <w:r w:rsidRPr="005C4C11">
                              <w:rPr>
                                <w:noProof/>
                                <w:color w:val="4F81BD" w:themeColor="accent1"/>
                                <w:sz w:val="48"/>
                                <w:szCs w:val="48"/>
                                <w:lang w:eastAsia="en-GB"/>
                              </w:rPr>
                              <w:drawing>
                                <wp:inline distT="0" distB="0" distL="0" distR="0" wp14:anchorId="380CAFA9" wp14:editId="59BBB73E">
                                  <wp:extent cx="1456266" cy="3540197"/>
                                  <wp:effectExtent l="0" t="0" r="0" b="3175"/>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22156" r="27698"/>
                                          <a:stretch/>
                                        </pic:blipFill>
                                        <pic:spPr bwMode="auto">
                                          <a:xfrm>
                                            <a:off x="0" y="0"/>
                                            <a:ext cx="1457809" cy="3543947"/>
                                          </a:xfrm>
                                          <a:prstGeom prst="rect">
                                            <a:avLst/>
                                          </a:prstGeom>
                                          <a:noFill/>
                                          <a:ln>
                                            <a:noFill/>
                                          </a:ln>
                                          <a:extLst>
                                            <a:ext uri="{53640926-AAD7-44D8-BBD7-CCE9431645EC}">
                                              <a14:shadowObscured xmlns:a14="http://schemas.microsoft.com/office/drawing/2010/main"/>
                                            </a:ext>
                                          </a:extLst>
                                        </pic:spPr>
                                      </pic:pic>
                                    </a:graphicData>
                                  </a:graphic>
                                </wp:inline>
                              </w:drawing>
                            </w:r>
                          </w:p>
                          <w:p w:rsidR="00CD1F96" w:rsidRDefault="00CD1F96" w:rsidP="005C4C11">
                            <w:pPr>
                              <w:jc w:val="center"/>
                              <w:rPr>
                                <w:color w:val="4F81BD" w:themeColor="accent1"/>
                                <w:sz w:val="32"/>
                                <w:szCs w:val="48"/>
                              </w:rPr>
                            </w:pPr>
                            <w:r>
                              <w:rPr>
                                <w:color w:val="4F81BD" w:themeColor="accent1"/>
                                <w:sz w:val="32"/>
                                <w:szCs w:val="48"/>
                              </w:rPr>
                              <w:t>Max Noah Brown</w:t>
                            </w:r>
                          </w:p>
                          <w:p w:rsidR="00CD1F96" w:rsidRDefault="00CD1F96" w:rsidP="005C4C11">
                            <w:pPr>
                              <w:jc w:val="center"/>
                              <w:rPr>
                                <w:color w:val="4F81BD" w:themeColor="accent1"/>
                                <w:sz w:val="32"/>
                                <w:szCs w:val="48"/>
                              </w:rPr>
                            </w:pPr>
                            <w:r>
                              <w:rPr>
                                <w:color w:val="4F81BD" w:themeColor="accent1"/>
                                <w:sz w:val="32"/>
                                <w:szCs w:val="48"/>
                              </w:rPr>
                              <w:t>1500377</w:t>
                            </w:r>
                          </w:p>
                          <w:p w:rsidR="00CD1F96" w:rsidRDefault="00CD1F96" w:rsidP="00CD1F96">
                            <w:pPr>
                              <w:jc w:val="center"/>
                              <w:rPr>
                                <w:color w:val="4F81BD" w:themeColor="accent1"/>
                                <w:sz w:val="32"/>
                                <w:szCs w:val="48"/>
                              </w:rPr>
                            </w:pPr>
                            <w:r>
                              <w:rPr>
                                <w:color w:val="4F81BD" w:themeColor="accent1"/>
                                <w:sz w:val="32"/>
                                <w:szCs w:val="48"/>
                              </w:rPr>
                              <w:t>Dissertation submitted in partial fulfilment in B.A (Hons) Ancient Civilisations</w:t>
                            </w:r>
                          </w:p>
                          <w:p w:rsidR="00CD1F96" w:rsidRPr="00CD1F96" w:rsidRDefault="00CD1F96" w:rsidP="00CD1F96">
                            <w:pPr>
                              <w:jc w:val="center"/>
                              <w:rPr>
                                <w:color w:val="4F81BD" w:themeColor="accent1"/>
                                <w:sz w:val="32"/>
                                <w:szCs w:val="48"/>
                              </w:rPr>
                            </w:pPr>
                            <w:r>
                              <w:rPr>
                                <w:color w:val="4F81BD" w:themeColor="accent1"/>
                                <w:sz w:val="32"/>
                                <w:szCs w:val="48"/>
                              </w:rPr>
                              <w:t>University of Wales 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428pt;height:646.6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">
                <v:textbox>
                  <w:txbxContent>
                    <w:p w:rsidR="00A735C1" w:rsidRDefault="00A735C1" w:rsidP="005C4C11">
                      <w:pPr>
                        <w:jc w:val="center"/>
                        <w:rPr>
                          <w:color w:val="4F81BD" w:themeColor="accent1"/>
                          <w:sz w:val="48"/>
                          <w:szCs w:val="48"/>
                        </w:rPr>
                      </w:pPr>
                      <w:r w:rsidRPr="005C4C11">
                        <w:rPr>
                          <w:color w:val="4F81BD" w:themeColor="accent1"/>
                          <w:sz w:val="48"/>
                          <w:szCs w:val="48"/>
                        </w:rPr>
                        <w:t xml:space="preserve">Similarity </w:t>
                      </w:r>
                      <w:proofErr w:type="gramStart"/>
                      <w:r w:rsidRPr="005C4C11">
                        <w:rPr>
                          <w:color w:val="4F81BD" w:themeColor="accent1"/>
                          <w:sz w:val="48"/>
                          <w:szCs w:val="48"/>
                        </w:rPr>
                        <w:t>Within</w:t>
                      </w:r>
                      <w:proofErr w:type="gramEnd"/>
                      <w:r w:rsidRPr="005C4C11">
                        <w:rPr>
                          <w:color w:val="4F81BD" w:themeColor="accent1"/>
                          <w:sz w:val="48"/>
                          <w:szCs w:val="48"/>
                        </w:rPr>
                        <w:t xml:space="preserve"> Diversity</w:t>
                      </w:r>
                      <w:r w:rsidR="005C4C11" w:rsidRPr="005C4C11">
                        <w:rPr>
                          <w:color w:val="4F81BD" w:themeColor="accent1"/>
                          <w:sz w:val="48"/>
                          <w:szCs w:val="48"/>
                        </w:rPr>
                        <w:t>: A Comparison Of Mythologies In Ancient Egyptian And Chinese Culture</w:t>
                      </w:r>
                    </w:p>
                    <w:p w:rsidR="005C4C11" w:rsidRDefault="005C4C11" w:rsidP="005C4C11">
                      <w:pPr>
                        <w:jc w:val="center"/>
                        <w:rPr>
                          <w:color w:val="4F81BD" w:themeColor="accent1"/>
                          <w:sz w:val="48"/>
                          <w:szCs w:val="48"/>
                        </w:rPr>
                      </w:pPr>
                      <w:r w:rsidRPr="005C4C11">
                        <w:rPr>
                          <w:noProof/>
                          <w:lang w:eastAsia="en-GB"/>
                        </w:rPr>
                        <w:drawing>
                          <wp:inline distT="0" distB="0" distL="0" distR="0">
                            <wp:extent cx="1506855" cy="35477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06855" cy="3547745"/>
                                    </a:xfrm>
                                    <a:prstGeom prst="rect">
                                      <a:avLst/>
                                    </a:prstGeom>
                                    <a:noFill/>
                                    <a:ln>
                                      <a:noFill/>
                                    </a:ln>
                                  </pic:spPr>
                                </pic:pic>
                              </a:graphicData>
                            </a:graphic>
                          </wp:inline>
                        </w:drawing>
                      </w:r>
                      <w:r w:rsidRPr="005C4C11">
                        <w:rPr>
                          <w:noProof/>
                          <w:color w:val="4F81BD" w:themeColor="accent1"/>
                          <w:sz w:val="48"/>
                          <w:szCs w:val="48"/>
                          <w:lang w:eastAsia="en-GB"/>
                        </w:rPr>
                        <w:drawing>
                          <wp:inline distT="0" distB="0" distL="0" distR="0" wp14:anchorId="380CAFA9" wp14:editId="59BBB73E">
                            <wp:extent cx="1456266" cy="3540197"/>
                            <wp:effectExtent l="0" t="0" r="0" b="3175"/>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22156" r="27698"/>
                                    <a:stretch/>
                                  </pic:blipFill>
                                  <pic:spPr bwMode="auto">
                                    <a:xfrm>
                                      <a:off x="0" y="0"/>
                                      <a:ext cx="1457809" cy="3543947"/>
                                    </a:xfrm>
                                    <a:prstGeom prst="rect">
                                      <a:avLst/>
                                    </a:prstGeom>
                                    <a:noFill/>
                                    <a:ln>
                                      <a:noFill/>
                                    </a:ln>
                                    <a:extLst>
                                      <a:ext uri="{53640926-AAD7-44D8-BBD7-CCE9431645EC}">
                                        <a14:shadowObscured xmlns:a14="http://schemas.microsoft.com/office/drawing/2010/main"/>
                                      </a:ext>
                                    </a:extLst>
                                  </pic:spPr>
                                </pic:pic>
                              </a:graphicData>
                            </a:graphic>
                          </wp:inline>
                        </w:drawing>
                      </w:r>
                    </w:p>
                    <w:p w:rsidR="00CD1F96" w:rsidRDefault="00CD1F96" w:rsidP="005C4C11">
                      <w:pPr>
                        <w:jc w:val="center"/>
                        <w:rPr>
                          <w:color w:val="4F81BD" w:themeColor="accent1"/>
                          <w:sz w:val="32"/>
                          <w:szCs w:val="48"/>
                        </w:rPr>
                      </w:pPr>
                      <w:r>
                        <w:rPr>
                          <w:color w:val="4F81BD" w:themeColor="accent1"/>
                          <w:sz w:val="32"/>
                          <w:szCs w:val="48"/>
                        </w:rPr>
                        <w:t>Max Noah Brown</w:t>
                      </w:r>
                    </w:p>
                    <w:p w:rsidR="00CD1F96" w:rsidRDefault="00CD1F96" w:rsidP="005C4C11">
                      <w:pPr>
                        <w:jc w:val="center"/>
                        <w:rPr>
                          <w:color w:val="4F81BD" w:themeColor="accent1"/>
                          <w:sz w:val="32"/>
                          <w:szCs w:val="48"/>
                        </w:rPr>
                      </w:pPr>
                      <w:r>
                        <w:rPr>
                          <w:color w:val="4F81BD" w:themeColor="accent1"/>
                          <w:sz w:val="32"/>
                          <w:szCs w:val="48"/>
                        </w:rPr>
                        <w:t>1500377</w:t>
                      </w:r>
                    </w:p>
                    <w:p w:rsidR="00CD1F96" w:rsidRDefault="00CD1F96" w:rsidP="00CD1F96">
                      <w:pPr>
                        <w:jc w:val="center"/>
                        <w:rPr>
                          <w:color w:val="4F81BD" w:themeColor="accent1"/>
                          <w:sz w:val="32"/>
                          <w:szCs w:val="48"/>
                        </w:rPr>
                      </w:pPr>
                      <w:r>
                        <w:rPr>
                          <w:color w:val="4F81BD" w:themeColor="accent1"/>
                          <w:sz w:val="32"/>
                          <w:szCs w:val="48"/>
                        </w:rPr>
                        <w:t>Dissertation submitted in partial fulfilment in B.A (Hons) Ancient Civilisations</w:t>
                      </w:r>
                    </w:p>
                    <w:p w:rsidR="00CD1F96" w:rsidRPr="00CD1F96" w:rsidRDefault="00CD1F96" w:rsidP="00CD1F96">
                      <w:pPr>
                        <w:jc w:val="center"/>
                        <w:rPr>
                          <w:color w:val="4F81BD" w:themeColor="accent1"/>
                          <w:sz w:val="32"/>
                          <w:szCs w:val="48"/>
                        </w:rPr>
                      </w:pPr>
                      <w:r>
                        <w:rPr>
                          <w:color w:val="4F81BD" w:themeColor="accent1"/>
                          <w:sz w:val="32"/>
                          <w:szCs w:val="48"/>
                        </w:rPr>
                        <w:t>University of Wales Trinity Saint David</w:t>
                      </w:r>
                    </w:p>
                  </w:txbxContent>
                </v:textbox>
              </v:shape>
            </w:pict>
          </mc:Fallback>
        </mc:AlternateContent>
      </w:r>
      <w:r>
        <w:rPr>
          <w:b/>
          <w:u w:val="single"/>
        </w:rPr>
        <w:br w:type="page"/>
      </w:r>
    </w:p>
    <w:p w:rsidR="006A61EC" w:rsidRDefault="001C26C9" w:rsidP="008B387F">
      <w:pPr>
        <w:spacing w:line="480" w:lineRule="auto"/>
        <w:ind w:left="720"/>
        <w:rPr>
          <w:b/>
          <w:u w:val="single"/>
        </w:rPr>
      </w:pPr>
      <w:r>
        <w:rPr>
          <w:b/>
          <w:u w:val="single"/>
        </w:rPr>
        <w:lastRenderedPageBreak/>
        <w:t>Simil</w:t>
      </w:r>
      <w:bookmarkStart w:id="0" w:name="_GoBack"/>
      <w:bookmarkEnd w:id="0"/>
      <w:r>
        <w:rPr>
          <w:b/>
          <w:u w:val="single"/>
        </w:rPr>
        <w:t>arity within diversity: A comparison of</w:t>
      </w:r>
      <w:r w:rsidR="00A735C1">
        <w:rPr>
          <w:b/>
          <w:u w:val="single"/>
        </w:rPr>
        <w:t xml:space="preserve"> mythologies in </w:t>
      </w:r>
      <w:r w:rsidR="005C4C11">
        <w:rPr>
          <w:b/>
          <w:u w:val="single"/>
        </w:rPr>
        <w:t>ancient Egyptian</w:t>
      </w:r>
      <w:r>
        <w:rPr>
          <w:b/>
          <w:u w:val="single"/>
        </w:rPr>
        <w:t xml:space="preserve"> and Chinese</w:t>
      </w:r>
      <w:r w:rsidR="00A735C1">
        <w:rPr>
          <w:b/>
          <w:u w:val="single"/>
        </w:rPr>
        <w:t xml:space="preserve"> culture</w:t>
      </w:r>
    </w:p>
    <w:p w:rsidR="001C26C9" w:rsidRDefault="001C26C9" w:rsidP="008B387F">
      <w:pPr>
        <w:spacing w:line="480" w:lineRule="auto"/>
        <w:ind w:left="720"/>
      </w:pPr>
      <w:r>
        <w:t>Throughout humanities hi</w:t>
      </w:r>
      <w:r w:rsidR="00F849FB">
        <w:t xml:space="preserve">story we have often called ourselves a diverse species, from </w:t>
      </w:r>
      <w:r w:rsidR="007A1017">
        <w:t xml:space="preserve">our languages to our religious beliefs; we have forever been segregating ourselves into multiple groups based on things such as our cultural beliefs or physical appearance. Far too often this need to </w:t>
      </w:r>
      <w:r w:rsidR="00540931">
        <w:t xml:space="preserve">define ourselves </w:t>
      </w:r>
      <w:r w:rsidR="00CF6182">
        <w:t>so distinctively has led to numerous counts of bloodshed and persecution spanning humanities written history; from the many crusades of the Knights Templar to the torment inflicted upon the Jewish community – amongst others – during the world wars</w:t>
      </w:r>
      <w:r w:rsidR="007B5402">
        <w:t>, it could be said that religious stigmatism is one of the most common catalysts in human violence.</w:t>
      </w:r>
    </w:p>
    <w:p w:rsidR="00AF3014" w:rsidRDefault="00AF3014" w:rsidP="008B387F">
      <w:pPr>
        <w:spacing w:line="480" w:lineRule="auto"/>
        <w:ind w:left="720"/>
      </w:pPr>
      <w:r>
        <w:t>Despite this, humanity does try to learn from its violent past, for there as just as many peace makers as there are war mongers who realise that even amongst our diversity we are all inherently human and therefore by nature for all our differences we have similarities to match.</w:t>
      </w:r>
      <w:r w:rsidR="004A1ADA">
        <w:t xml:space="preserve"> This is where my comparison comes in; as for example at face value if you were asked how similar both Egypt and China’s mythologies were then </w:t>
      </w:r>
      <w:r w:rsidR="005513AA">
        <w:t xml:space="preserve">you would mostly be initially inclined to say they had very little in common. </w:t>
      </w:r>
      <w:r w:rsidR="00062882">
        <w:t>Whereas if one were to talk a closer look at the two, there is definite proof that within these diverse cultures there is still similarity</w:t>
      </w:r>
      <w:r w:rsidR="00EE1FF2">
        <w:t xml:space="preserve"> to be found</w:t>
      </w:r>
      <w:r w:rsidR="00062882">
        <w:t>.</w:t>
      </w:r>
    </w:p>
    <w:p w:rsidR="00EA33C5" w:rsidRDefault="00EA33C5" w:rsidP="008B387F">
      <w:pPr>
        <w:spacing w:line="480" w:lineRule="auto"/>
        <w:ind w:left="1440"/>
      </w:pPr>
      <w:r>
        <w:t>“World mythology is dominated by an archetypal concept to which we apply the terms ‘god’ and ‘goddess’. Virtually no version of the universal dream that is myth is without the concept of the gods.”</w:t>
      </w:r>
      <w:r>
        <w:rPr>
          <w:rStyle w:val="FootnoteReference"/>
        </w:rPr>
        <w:footnoteReference w:id="1"/>
      </w:r>
    </w:p>
    <w:p w:rsidR="006E24C4" w:rsidRDefault="006E24C4" w:rsidP="008B387F">
      <w:pPr>
        <w:spacing w:line="480" w:lineRule="auto"/>
        <w:ind w:left="1440"/>
      </w:pPr>
      <w:r>
        <w:t xml:space="preserve">“The gods are also personifications of aspects of nature – the sun, the winds, impatience, </w:t>
      </w:r>
      <w:proofErr w:type="gramStart"/>
      <w:r>
        <w:t>love</w:t>
      </w:r>
      <w:proofErr w:type="gramEnd"/>
      <w:r>
        <w:t xml:space="preserve">. The existence of the deity fulfils a still more important human need. Gods are symbols of ultimate reality. Their existence provides us with a </w:t>
      </w:r>
      <w:r>
        <w:lastRenderedPageBreak/>
        <w:t>sense of significance in an otherwise random universe</w:t>
      </w:r>
      <w:r w:rsidR="00D55D54">
        <w:t>… To say that there are gods or a God is to say that we have meaning, a reason for being,</w:t>
      </w:r>
      <w:r>
        <w:t>”</w:t>
      </w:r>
      <w:r>
        <w:rPr>
          <w:rStyle w:val="FootnoteReference"/>
        </w:rPr>
        <w:footnoteReference w:id="2"/>
      </w:r>
    </w:p>
    <w:p w:rsidR="00EE1FF2" w:rsidRDefault="002A3A88" w:rsidP="008B387F">
      <w:pPr>
        <w:spacing w:line="480" w:lineRule="auto"/>
        <w:ind w:left="720"/>
      </w:pPr>
      <w:r>
        <w:t xml:space="preserve">Through this dissertation I intend to relay and highlight several mythological figures and tales from </w:t>
      </w:r>
      <w:r w:rsidR="00E4064C">
        <w:t xml:space="preserve">studying predominantly secondary sources on </w:t>
      </w:r>
      <w:r>
        <w:t>both ancient Egyptian and Chinese history</w:t>
      </w:r>
      <w:r w:rsidR="00855569">
        <w:t>, drawing attention to and comparing those which have either identical aspects or in the least are very similar in nature to each other. Before any comparisons</w:t>
      </w:r>
      <w:r w:rsidR="009C7B27">
        <w:t xml:space="preserve"> are made</w:t>
      </w:r>
      <w:r w:rsidR="00855569">
        <w:t xml:space="preserve"> however I will attempt to outline</w:t>
      </w:r>
      <w:r w:rsidR="00D414B6">
        <w:t xml:space="preserve"> fundamental details and beliefs from</w:t>
      </w:r>
      <w:r w:rsidR="00855569">
        <w:t xml:space="preserve"> </w:t>
      </w:r>
      <w:r w:rsidR="004A30B3">
        <w:t xml:space="preserve">both religions </w:t>
      </w:r>
      <w:r w:rsidR="00D414B6">
        <w:t xml:space="preserve">that I have </w:t>
      </w:r>
      <w:r w:rsidR="009C7B27">
        <w:t>gathered throughout my research that hopefully provide a slight insight into how each religion was perceived in their respective cultures individually.</w:t>
      </w:r>
    </w:p>
    <w:p w:rsidR="002D6F18" w:rsidRDefault="00C5747C" w:rsidP="008B387F">
      <w:pPr>
        <w:spacing w:line="480" w:lineRule="auto"/>
        <w:ind w:left="720"/>
      </w:pPr>
      <w:r>
        <w:t xml:space="preserve">My first point of focus is on the Egyptians, a culture that has fascinated scholars the world over for decades, from their many anthropomorphic deities </w:t>
      </w:r>
      <w:r w:rsidR="00E45E54">
        <w:t>to their monumental architecture, the Egyptians took great lengths to preserve and depict what they deemed most important to their culture</w:t>
      </w:r>
      <w:r w:rsidR="003B3903">
        <w:t xml:space="preserve"> and protecting them the best they could by either concealing them or invoking divine protection through various spells such as those found in the Book of the Dead.</w:t>
      </w:r>
      <w:r w:rsidR="00325650">
        <w:t xml:space="preserve"> From a Westerners perspective, ancient Egyptian culture as a whole, from the outside both appears and sounds peculiar at best.</w:t>
      </w:r>
    </w:p>
    <w:p w:rsidR="00D55D54" w:rsidRDefault="00D55D54" w:rsidP="008B387F">
      <w:pPr>
        <w:spacing w:line="480" w:lineRule="auto"/>
        <w:ind w:left="1440"/>
      </w:pPr>
      <w:r>
        <w:t>“The Egyptian pantheon is marked by a struggle for supremacy among various gods, a struggle that mirrors conflicts among ruling religious and political factions in various parts of Egypt beginning as early as 4000B.C.E.”</w:t>
      </w:r>
      <w:r>
        <w:rPr>
          <w:rStyle w:val="FootnoteReference"/>
        </w:rPr>
        <w:footnoteReference w:id="3"/>
      </w:r>
    </w:p>
    <w:p w:rsidR="00D55D54" w:rsidRDefault="00D55D54" w:rsidP="0038481D">
      <w:pPr>
        <w:spacing w:line="480" w:lineRule="auto"/>
        <w:ind w:left="720"/>
      </w:pPr>
    </w:p>
    <w:p w:rsidR="002D6F18" w:rsidRDefault="002D6F18" w:rsidP="008B387F">
      <w:pPr>
        <w:spacing w:line="480" w:lineRule="auto"/>
        <w:ind w:left="1440"/>
      </w:pPr>
      <w:r>
        <w:t xml:space="preserve">“The ancient Egyptians visualized their gods and goddesses in manifold ways, and this is demonstrated by the Egyptian word </w:t>
      </w:r>
      <w:proofErr w:type="spellStart"/>
      <w:r>
        <w:rPr>
          <w:i/>
        </w:rPr>
        <w:t>netcher</w:t>
      </w:r>
      <w:proofErr w:type="spellEnd"/>
      <w:r>
        <w:rPr>
          <w:i/>
        </w:rPr>
        <w:t xml:space="preserve">, </w:t>
      </w:r>
      <w:r>
        <w:t xml:space="preserve">the etymology and original meaning of which are unknown, although examination of the word’s </w:t>
      </w:r>
      <w:r>
        <w:lastRenderedPageBreak/>
        <w:t>used by the Egyptians show that it actually encompassed a far wider range of meanings than the English word god. It could include deified humans (famous individuals, and from the 30</w:t>
      </w:r>
      <w:r w:rsidRPr="002D6F18">
        <w:rPr>
          <w:vertAlign w:val="superscript"/>
        </w:rPr>
        <w:t>th</w:t>
      </w:r>
      <w:r>
        <w:t xml:space="preserve"> dynasty, those who had drowned) as well as what might be called spirits and demons, or in some cases even monsters such as the great chaos serpent Apophis.”</w:t>
      </w:r>
      <w:r>
        <w:rPr>
          <w:rStyle w:val="FootnoteReference"/>
        </w:rPr>
        <w:footnoteReference w:id="4"/>
      </w:r>
    </w:p>
    <w:p w:rsidR="00E4064C" w:rsidRDefault="00325650" w:rsidP="008B387F">
      <w:pPr>
        <w:spacing w:line="480" w:lineRule="auto"/>
        <w:ind w:left="720"/>
      </w:pPr>
      <w:r>
        <w:t xml:space="preserve">A point to focus on would be the various anthropomorphic, zoomorphic and hybrid </w:t>
      </w:r>
      <w:r w:rsidR="00135A8D">
        <w:t xml:space="preserve">deities and their various roles, so “despite the fact that the Egyptian pantheon appears to the outside observer to be filled with a veritable menagerie of gods, goddesses and other beings in an almost mindless variety of manifestation, for the most part Egyptian deities were </w:t>
      </w:r>
      <w:r w:rsidR="00E64A63">
        <w:t>conceived in logical types consisting of human (anthropomorphic), animal (zoomorphic), hybrid, and composite forms.”</w:t>
      </w:r>
      <w:r w:rsidR="00E64A63">
        <w:rPr>
          <w:rStyle w:val="FootnoteReference"/>
        </w:rPr>
        <w:footnoteReference w:id="5"/>
      </w:r>
      <w:r w:rsidR="00E476DA">
        <w:t xml:space="preserve"> When thinking of Egyptian anthropomorphic gods, most minds automatically </w:t>
      </w:r>
      <w:r w:rsidR="00A46698">
        <w:t xml:space="preserve">turn to the falcon headed god </w:t>
      </w:r>
      <w:r w:rsidR="00A46698" w:rsidRPr="001854F2">
        <w:t>Horus</w:t>
      </w:r>
      <w:r w:rsidR="00A46698">
        <w:t xml:space="preserve"> as he is one of the most well-known as well being one of the oldest examples; or more specifically an example of a “’hybrid’ or accurately ‘bimorphic’ half-human and half animal deities that existed in to forms – having the head of either a human or an animal and the body of the opposite type.”</w:t>
      </w:r>
      <w:r w:rsidR="00A46698">
        <w:rPr>
          <w:rStyle w:val="FootnoteReference"/>
        </w:rPr>
        <w:footnoteReference w:id="6"/>
      </w:r>
      <w:r w:rsidR="00D4514A">
        <w:t xml:space="preserve"> As previousl</w:t>
      </w:r>
      <w:r w:rsidR="00311BE9">
        <w:t xml:space="preserve">y mentioned Horus is one of the most established gods in Egyptian history, known for his falcon head and human body; a depiction found as early as the third dynasty on the stela of </w:t>
      </w:r>
      <w:proofErr w:type="spellStart"/>
      <w:r w:rsidR="00311BE9">
        <w:t>Qahadjet</w:t>
      </w:r>
      <w:proofErr w:type="spellEnd"/>
      <w:r w:rsidR="00311BE9">
        <w:t>, and is the earliest known example of a bimorphic entity consisting of an animal head and human body.</w:t>
      </w:r>
      <w:r w:rsidR="00311BE9">
        <w:rPr>
          <w:rStyle w:val="FootnoteReference"/>
        </w:rPr>
        <w:footnoteReference w:id="7"/>
      </w:r>
      <w:r w:rsidR="00E84982">
        <w:t xml:space="preserve"> The head is the main point of focus as “the head is consistently the original and essential element of these deities, with the body representing the secondary aspect.”</w:t>
      </w:r>
      <w:r w:rsidR="00E84982">
        <w:rPr>
          <w:rStyle w:val="FootnoteReference"/>
        </w:rPr>
        <w:footnoteReference w:id="8"/>
      </w:r>
      <w:r w:rsidR="00E84982">
        <w:t xml:space="preserve"> Therefore as further highlighted in Wilkinson’s book “a lion headed goddess is a lion goddess in human form, while a royal sphinx, conversely, is a man who has assumed the form of a </w:t>
      </w:r>
      <w:r w:rsidR="00E84982">
        <w:lastRenderedPageBreak/>
        <w:t>lion.”</w:t>
      </w:r>
      <w:r w:rsidR="00E84982">
        <w:rPr>
          <w:rStyle w:val="FootnoteReference"/>
        </w:rPr>
        <w:footnoteReference w:id="9"/>
      </w:r>
      <w:r w:rsidR="00ED1C4D">
        <w:t xml:space="preserve"> This quote therefore pinpoints the key difference between the hybrid form of a sphinx and the bimorphic form of a lion headed deity such as the lion headed goddess </w:t>
      </w:r>
      <w:r w:rsidR="00ED1C4D" w:rsidRPr="001854F2">
        <w:t>Sekhmet</w:t>
      </w:r>
      <w:r w:rsidR="001854F2">
        <w:t>.</w:t>
      </w:r>
      <w:r w:rsidR="001854F2">
        <w:rPr>
          <w:rStyle w:val="FootnoteReference"/>
        </w:rPr>
        <w:footnoteReference w:id="10"/>
      </w:r>
      <w:r w:rsidR="007F5FFC">
        <w:t xml:space="preserve"> Then of course there are zoomorphic deities, also prevalent throughout ancient Egyptian history</w:t>
      </w:r>
      <w:r w:rsidR="00C70564">
        <w:t>, once again the falcon is speculated to be the foremost of its kind in various depictions of Horus.</w:t>
      </w:r>
      <w:r w:rsidR="00C70564">
        <w:rPr>
          <w:rStyle w:val="FootnoteReference"/>
        </w:rPr>
        <w:footnoteReference w:id="11"/>
      </w:r>
      <w:r w:rsidR="00BA461D">
        <w:t xml:space="preserve"> </w:t>
      </w:r>
    </w:p>
    <w:p w:rsidR="009C6918" w:rsidRDefault="00BA461D" w:rsidP="008B387F">
      <w:pPr>
        <w:spacing w:line="480" w:lineRule="auto"/>
        <w:ind w:left="720"/>
      </w:pPr>
      <w:r>
        <w:t>Even amongst this menagerie of multi headed deities however there does somewhat appear to be a sense of categorising in terms of which animals – or specifically their heads – were associated with which deity; as “gods associated with specific animal species were viewed as male or female according to their apparent or perceived characteristics. Male deities often took the form of the bull, ram, falcon or lion; and female deities were often associated with the cow, vulture, cobra or lioness.”</w:t>
      </w:r>
      <w:r>
        <w:rPr>
          <w:rStyle w:val="FootnoteReference"/>
        </w:rPr>
        <w:footnoteReference w:id="12"/>
      </w:r>
      <w:r>
        <w:t xml:space="preserve"> </w:t>
      </w:r>
      <w:r w:rsidR="00DD0D5F">
        <w:t>Examples of this exist in the forms of deities such as the aforementioned lion goddess Sekhmet; the goddess Hathor who is often depicted with the head of a cow</w:t>
      </w:r>
      <w:r w:rsidR="00F362E8">
        <w:t xml:space="preserve"> and the ram headed god Khnum.</w:t>
      </w:r>
      <w:r w:rsidR="00F362E8">
        <w:rPr>
          <w:rStyle w:val="FootnoteReference"/>
        </w:rPr>
        <w:footnoteReference w:id="13"/>
      </w:r>
      <w:r w:rsidR="001A4ED8">
        <w:t xml:space="preserve"> Then there is also what Wilkinson classified as gods with a ‘composite’ form, which despite being similar to the previously mentioned hybrid or bimorphic forms, differ from what we imagine a typical hybrid to be; a being half human and half animal in some shape or form.</w:t>
      </w:r>
      <w:r w:rsidR="001A4ED8">
        <w:rPr>
          <w:rStyle w:val="FootnoteReference"/>
        </w:rPr>
        <w:footnoteReference w:id="14"/>
      </w:r>
      <w:r w:rsidR="001A4ED8">
        <w:t xml:space="preserve"> </w:t>
      </w:r>
    </w:p>
    <w:p w:rsidR="00803CD8" w:rsidRDefault="001A4ED8" w:rsidP="008B387F">
      <w:pPr>
        <w:spacing w:line="480" w:lineRule="auto"/>
        <w:ind w:left="1440"/>
      </w:pPr>
      <w:r>
        <w:t xml:space="preserve">“They may be made up of numerous zoomorphic or anthropomorphic deities, and range from baboon-hawks or hippopotamus-serpents to multiple-headed and armed deities </w:t>
      </w:r>
      <w:r w:rsidR="00803CD8">
        <w:t xml:space="preserve">combining as many as a dozen different gods. Despite their bizarre appearances, there remains a certain logic to many of these polymorphic deities as seen, for example, by comparing the fearsome </w:t>
      </w:r>
      <w:proofErr w:type="spellStart"/>
      <w:r w:rsidR="00803CD8">
        <w:t>Ammut</w:t>
      </w:r>
      <w:proofErr w:type="spellEnd"/>
      <w:r w:rsidR="00803CD8">
        <w:t xml:space="preserve"> and the more </w:t>
      </w:r>
      <w:r w:rsidR="00803CD8">
        <w:lastRenderedPageBreak/>
        <w:t xml:space="preserve">benign </w:t>
      </w:r>
      <w:proofErr w:type="spellStart"/>
      <w:r w:rsidR="00803CD8">
        <w:t>Tawaret</w:t>
      </w:r>
      <w:proofErr w:type="spellEnd"/>
      <w:r w:rsidR="00803CD8">
        <w:t xml:space="preserve">; both are part hippopotamus, crocodile and </w:t>
      </w:r>
      <w:r w:rsidR="00FB5811">
        <w:t>feline, but fused to very different effect.”</w:t>
      </w:r>
      <w:r w:rsidR="00FB5811">
        <w:rPr>
          <w:rStyle w:val="FootnoteReference"/>
        </w:rPr>
        <w:footnoteReference w:id="15"/>
      </w:r>
    </w:p>
    <w:p w:rsidR="001A4ED8" w:rsidRDefault="00337F07" w:rsidP="008B387F">
      <w:pPr>
        <w:spacing w:line="480" w:lineRule="auto"/>
        <w:ind w:left="720"/>
      </w:pPr>
      <w:r>
        <w:t>However as if this plethora of anthropomorphic variations was not complicated enough by itself when Egyptian deities could be half man half bird or vice versa, let alone a creature composed of</w:t>
      </w:r>
      <w:r w:rsidR="00E4064C">
        <w:t xml:space="preserve"> at the least a trio of animals. T</w:t>
      </w:r>
      <w:r>
        <w:t xml:space="preserve">he fact that “a fixed iconography for a given god was uncommon” </w:t>
      </w:r>
      <w:r w:rsidR="00E4064C">
        <w:t>can only make ancient Egyptian culture appear even more complex to an outsider</w:t>
      </w:r>
      <w:r w:rsidR="009950D3">
        <w:t>s</w:t>
      </w:r>
      <w:r w:rsidR="00E4064C">
        <w:t xml:space="preserve"> point of view than it was originally, with little reprieve in the knowledge that “it is rare for a deity to be found in human, animal and hybrid forms, for example the sun god Re was depicted as a falcon or a human with the head of a falcon but n</w:t>
      </w:r>
      <w:r w:rsidR="009950D3">
        <w:t>ot usually in purely human form</w:t>
      </w:r>
      <w:r w:rsidR="00E4064C">
        <w:t>”</w:t>
      </w:r>
      <w:r w:rsidR="009950D3">
        <w:t>; along with there being exceptions even to this notion</w:t>
      </w:r>
      <w:r w:rsidR="00713B4C">
        <w:t xml:space="preserve"> such as Hathor who “could be represented in fully human form, as a cow, or as a woman with a face of mixed human and bovine features.”</w:t>
      </w:r>
      <w:r w:rsidR="00E4064C">
        <w:rPr>
          <w:rStyle w:val="FootnoteReference"/>
        </w:rPr>
        <w:footnoteReference w:id="16"/>
      </w:r>
      <w:r w:rsidR="00482320">
        <w:t xml:space="preserve"> Visual complexities aside </w:t>
      </w:r>
      <w:r w:rsidR="00AA3729">
        <w:t>as previously stated the characteristics held influence over which animals were depicted for either male or female deities</w:t>
      </w:r>
      <w:r w:rsidR="002F2A55">
        <w:t>, but as fantastical as they appeared, these peculiar depictions “were merely formalities, giving visible, recognisable appearances to deities that were often described as ‘hidden’, ‘mysteries’ or even ‘unknown’”.</w:t>
      </w:r>
      <w:r w:rsidR="002F2A55">
        <w:rPr>
          <w:rStyle w:val="FootnoteReference"/>
        </w:rPr>
        <w:footnoteReference w:id="17"/>
      </w:r>
    </w:p>
    <w:p w:rsidR="002F2A55" w:rsidRDefault="002F2A55" w:rsidP="008B387F">
      <w:pPr>
        <w:spacing w:line="480" w:lineRule="auto"/>
        <w:ind w:left="1440"/>
      </w:pPr>
      <w:r>
        <w:t>“The physical form allowed cultic or personal interaction with deities, but their real identity was to be found in their own individual roles and characters, which were usually far broader than could be determined by physical images or representations.”</w:t>
      </w:r>
      <w:r>
        <w:rPr>
          <w:rStyle w:val="FootnoteReference"/>
        </w:rPr>
        <w:footnoteReference w:id="18"/>
      </w:r>
    </w:p>
    <w:p w:rsidR="007F5FFC" w:rsidRDefault="007F5FFC" w:rsidP="0038481D">
      <w:pPr>
        <w:spacing w:line="480" w:lineRule="auto"/>
      </w:pPr>
    </w:p>
    <w:p w:rsidR="007F5FFC" w:rsidRPr="00E36070" w:rsidRDefault="00E36070" w:rsidP="008B387F">
      <w:pPr>
        <w:spacing w:line="480" w:lineRule="auto"/>
        <w:ind w:left="720"/>
      </w:pPr>
      <w:r>
        <w:lastRenderedPageBreak/>
        <w:t>Indeed it can be said that whilst there was no doubt numerous gods and goddesses that were in the eye of the ancient Egyptians linked to various roles and characteristics, often overlaps occur, one such way being “a result of fusion of lesser deities, the greater the deity the wider the range of his or her associations and identities.”</w:t>
      </w:r>
      <w:r>
        <w:rPr>
          <w:rStyle w:val="FootnoteReference"/>
        </w:rPr>
        <w:footnoteReference w:id="19"/>
      </w:r>
      <w:r>
        <w:t xml:space="preserve"> To name a few cases such as Thoth, Isis and Horus all being referred to as </w:t>
      </w:r>
      <w:proofErr w:type="spellStart"/>
      <w:r>
        <w:rPr>
          <w:i/>
        </w:rPr>
        <w:t>senu</w:t>
      </w:r>
      <w:proofErr w:type="spellEnd"/>
      <w:r>
        <w:rPr>
          <w:i/>
        </w:rPr>
        <w:t xml:space="preserve"> </w:t>
      </w:r>
      <w:r>
        <w:t xml:space="preserve">or ‘physician’ due to them all having healing </w:t>
      </w:r>
      <w:r w:rsidR="00DD42F1">
        <w:t>abilities</w:t>
      </w:r>
      <w:r>
        <w:t xml:space="preserve"> or that Hathor “was worshipped as a goddess of love, music and celebration”</w:t>
      </w:r>
      <w:r w:rsidR="00DD42F1">
        <w:t>; yet in the same analysis Wilkinson tells us of how “in some cases deities exhibited different forms according to aspects of their nature” – a notion that was hardly rare in regards to the Egyptian gods – “so that in her usual placid role the goddess Bastet appeared in the form of the cat, and in her more ferocious role in the guise of a lioness.”</w:t>
      </w:r>
      <w:r w:rsidR="00DD42F1">
        <w:rPr>
          <w:rStyle w:val="FootnoteReference"/>
        </w:rPr>
        <w:footnoteReference w:id="20"/>
      </w:r>
      <w:r w:rsidR="00EA33C5">
        <w:t xml:space="preserve"> In essence the </w:t>
      </w:r>
      <w:r w:rsidR="00D55D54">
        <w:t>goings on of Egypt’s many, many deities can be said to fluctuate to say the least. In fact “the few consistent themes reflect the culture’s emphasis on the sun and on death and renewal (probably associated with the passage of the sun and with the seasonal flooding of the Nile).”</w:t>
      </w:r>
      <w:r w:rsidR="00D55D54">
        <w:rPr>
          <w:rStyle w:val="FootnoteReference"/>
        </w:rPr>
        <w:footnoteReference w:id="21"/>
      </w:r>
    </w:p>
    <w:p w:rsidR="007F5FFC" w:rsidRDefault="00EB7890" w:rsidP="008B387F">
      <w:pPr>
        <w:spacing w:line="480" w:lineRule="auto"/>
        <w:ind w:left="720"/>
      </w:pPr>
      <w:r>
        <w:t>Whilst anthropomorphism and it many forms are no doubt key elements in ancient Egyptian culture, it can safely be said that one crucial aspect would definitely be the notion of the afterlife and one of ancient Egypt’s most notorious gods, Osiris. As the god of resurrection, Osiris plays an essential role in ancient</w:t>
      </w:r>
      <w:r w:rsidR="00643180">
        <w:t xml:space="preserve"> Egyptian mythology, “to die and be properly prepared for the other life is to become one with Osiris in the underworld over which he rules.”</w:t>
      </w:r>
      <w:r w:rsidR="00643180">
        <w:rPr>
          <w:rStyle w:val="FootnoteReference"/>
        </w:rPr>
        <w:footnoteReference w:id="22"/>
      </w:r>
      <w:r>
        <w:t xml:space="preserve"> </w:t>
      </w:r>
      <w:r w:rsidR="00643180">
        <w:t xml:space="preserve">Indeed one could imply that the majority of </w:t>
      </w:r>
      <w:r w:rsidR="00A3542E">
        <w:t>one’s</w:t>
      </w:r>
      <w:r w:rsidR="00643180">
        <w:t xml:space="preserve"> life – wealth and status depending – in preparation for the next.</w:t>
      </w:r>
    </w:p>
    <w:p w:rsidR="00643180" w:rsidRDefault="00643180" w:rsidP="008702FE">
      <w:pPr>
        <w:spacing w:line="480" w:lineRule="auto"/>
        <w:ind w:left="1440"/>
      </w:pPr>
      <w:r>
        <w:t xml:space="preserve">“The ancients thought of death as the essential prelude to life. The two form a polarity; one is meaningless without the other, and they alternate in all spheres </w:t>
      </w:r>
      <w:r>
        <w:lastRenderedPageBreak/>
        <w:t>of nature – among men, animals, vegetation and stars. Death is a passing from one kind of time to another – from life yesterday to life tomorrow.”</w:t>
      </w:r>
      <w:r>
        <w:rPr>
          <w:rStyle w:val="FootnoteReference"/>
        </w:rPr>
        <w:footnoteReference w:id="23"/>
      </w:r>
    </w:p>
    <w:p w:rsidR="00C70564" w:rsidRDefault="00A3542E" w:rsidP="008702FE">
      <w:pPr>
        <w:spacing w:line="480" w:lineRule="auto"/>
        <w:ind w:left="720"/>
      </w:pPr>
      <w:r>
        <w:t>This notion of passing from one life to the next can be seen as the ancient Egyptians version of ‘eternal life’; which, whilst is a similar notion to the quest for eternal life in Chin</w:t>
      </w:r>
      <w:r w:rsidR="00814B36">
        <w:t>ese myth; which appears to be more primarily focused on extending longevity and a continued existence in one’s physical body and spirit</w:t>
      </w:r>
      <w:r w:rsidR="00D62138">
        <w:t xml:space="preserve"> (</w:t>
      </w:r>
      <w:r w:rsidR="00814B36">
        <w:t>this is to be further discussed at a later extent)</w:t>
      </w:r>
      <w:r w:rsidR="00D62138">
        <w:t>, differs in that the physical body still dies, and one makes their journey to the underworld; and that “what is in the Underworld belongs to death, but it is in a state of becoming, where the ‘form’ or shape of things is given in which they will later ‘appear’… Life can be seen, becoming is hidden.”</w:t>
      </w:r>
      <w:r w:rsidR="00D62138">
        <w:rPr>
          <w:rStyle w:val="FootnoteReference"/>
        </w:rPr>
        <w:footnoteReference w:id="24"/>
      </w:r>
      <w:r w:rsidR="00B8289A">
        <w:t xml:space="preserve"> In short the transition of life and becoming is a cyclical notion wh</w:t>
      </w:r>
      <w:r w:rsidR="00EC722C">
        <w:t>ere only half is visible to the Egyptians; a notion they apply to the sun,</w:t>
      </w:r>
      <w:r w:rsidR="00B75F35">
        <w:t xml:space="preserve"> (in reference to Re, one of the most prominent gods throughout Egypt’s history)</w:t>
      </w:r>
      <w:r w:rsidR="00EC722C">
        <w:t xml:space="preserve"> “which must somehow be refitted or remoulded beneath the earth or beyond the visible sky”</w:t>
      </w:r>
      <w:r w:rsidR="00B75F35">
        <w:t xml:space="preserve"> as told in several versions that tell of </w:t>
      </w:r>
      <w:proofErr w:type="spellStart"/>
      <w:r w:rsidR="00B75F35">
        <w:t>Re’s</w:t>
      </w:r>
      <w:proofErr w:type="spellEnd"/>
      <w:r w:rsidR="00B75F35">
        <w:t xml:space="preserve"> journey across the sky, from the depictions of </w:t>
      </w:r>
      <w:proofErr w:type="spellStart"/>
      <w:r w:rsidR="00B75F35">
        <w:t>Khepri</w:t>
      </w:r>
      <w:proofErr w:type="spellEnd"/>
      <w:r w:rsidR="00B75F35">
        <w:t xml:space="preserve"> as the sun rose, to simply Re come midday till he descended into the </w:t>
      </w:r>
      <w:proofErr w:type="spellStart"/>
      <w:r w:rsidR="00B75F35">
        <w:rPr>
          <w:i/>
        </w:rPr>
        <w:t>Duat</w:t>
      </w:r>
      <w:proofErr w:type="spellEnd"/>
      <w:r w:rsidR="00B75F35">
        <w:rPr>
          <w:i/>
        </w:rPr>
        <w:t xml:space="preserve"> </w:t>
      </w:r>
      <w:r w:rsidR="00B75F35">
        <w:t xml:space="preserve">as </w:t>
      </w:r>
      <w:proofErr w:type="spellStart"/>
      <w:r w:rsidR="00B75F35">
        <w:t>Atum</w:t>
      </w:r>
      <w:proofErr w:type="spellEnd"/>
      <w:r w:rsidR="00B75F35">
        <w:t>-Re to be ‘remoulded’.</w:t>
      </w:r>
      <w:r w:rsidR="00BC1A03">
        <w:rPr>
          <w:rStyle w:val="FootnoteReference"/>
        </w:rPr>
        <w:footnoteReference w:id="25"/>
      </w:r>
    </w:p>
    <w:p w:rsidR="00712792" w:rsidRDefault="00712792" w:rsidP="008702FE">
      <w:pPr>
        <w:spacing w:line="480" w:lineRule="auto"/>
        <w:ind w:left="720"/>
      </w:pPr>
      <w:r>
        <w:t>This is where I would intend to begi</w:t>
      </w:r>
      <w:r w:rsidR="00E96D1D">
        <w:t xml:space="preserve">n outlining what relevant findings have been unearthed in regards to Chinese mythology so that I may begin outlining the comparisons I wish to make - such as the aforementioned similarities on the notion of ‘eternal life’ - amongst others. I wish to begin by noting that as China is a nation with a long standing history of multiple religions, the deities and accounts used in this dissertation are pertaining to those from either Taoist/ Daoist or ‘folk religions’ rather than touch upon the numerous Buddhist myths and deities that have also become </w:t>
      </w:r>
      <w:r w:rsidR="00E96D1D">
        <w:lastRenderedPageBreak/>
        <w:t>integral in China’s religious history.</w:t>
      </w:r>
      <w:r w:rsidR="00A372C9">
        <w:t xml:space="preserve"> In regards to Taoism, its origin is unknown; with only the legend of Lao Tzu, the Old Master was its founder to the disbelief of scholars.</w:t>
      </w:r>
      <w:r w:rsidR="00A372C9">
        <w:rPr>
          <w:rStyle w:val="FootnoteReference"/>
        </w:rPr>
        <w:footnoteReference w:id="26"/>
      </w:r>
      <w:r w:rsidR="007A4812">
        <w:t xml:space="preserve"> The initial meaning of Tao (‘the Way’) was change was the way of life and that “if people are uprooted, they come to see the advantages and accept it</w:t>
      </w:r>
      <w:r w:rsidR="00CA56B7">
        <w:t xml:space="preserve">. Death the ultimate </w:t>
      </w:r>
      <w:proofErr w:type="gramStart"/>
      <w:r w:rsidR="00CA56B7">
        <w:t>uprooting,</w:t>
      </w:r>
      <w:proofErr w:type="gramEnd"/>
      <w:r w:rsidR="00CA56B7">
        <w:t xml:space="preserve"> is not to be feared; it follows life as surely as life follows death.”</w:t>
      </w:r>
      <w:r w:rsidR="00CA56B7">
        <w:rPr>
          <w:rStyle w:val="FootnoteReference"/>
        </w:rPr>
        <w:footnoteReference w:id="27"/>
      </w:r>
    </w:p>
    <w:p w:rsidR="00CA56B7" w:rsidRDefault="00CA56B7" w:rsidP="008702FE">
      <w:pPr>
        <w:spacing w:line="480" w:lineRule="auto"/>
        <w:ind w:left="720"/>
      </w:pPr>
      <w:r>
        <w:t xml:space="preserve">This is where the parallels between Egypt and China can </w:t>
      </w:r>
      <w:r w:rsidR="002C0AE4">
        <w:t xml:space="preserve">begin to come into focus. Both do not deem death as a be all and end all notion as is often the mind-set in modern times for those without religion, but rather as a concept that goes hand in hand with death. They both wish to achieve ‘eternal life’; they just had varying ideologies in how to achieve that. For the Egyptian’s, </w:t>
      </w:r>
      <w:r w:rsidR="004A1249">
        <w:t xml:space="preserve">(at least for those wealthy or of high enough status to afford it) </w:t>
      </w:r>
      <w:r w:rsidR="002C0AE4">
        <w:t>increasingly ingenious methods of preserving the body</w:t>
      </w:r>
      <w:r w:rsidR="004A1249">
        <w:t xml:space="preserve"> being buried with numerous </w:t>
      </w:r>
      <w:r w:rsidR="002C0AE4">
        <w:t xml:space="preserve"> </w:t>
      </w:r>
      <w:r w:rsidR="004A1249">
        <w:t>amulets and items that would either protect the body from harm like Spell 166 from the Book of the Dead; or ensure the owner had all that was needed in the afterlife.</w:t>
      </w:r>
      <w:r w:rsidR="004A1249">
        <w:rPr>
          <w:rStyle w:val="FootnoteReference"/>
        </w:rPr>
        <w:footnoteReference w:id="28"/>
      </w:r>
      <w:r w:rsidR="008E50FD">
        <w:t xml:space="preserve"> To the ancient Chinese however; they “had long believed that there was a lighter soul or spirit that continued after death, so Taoists tried to encourage or develop this lighter aspect of the lives by both breathing exercises and lighter diets”.</w:t>
      </w:r>
      <w:r w:rsidR="008E50FD">
        <w:rPr>
          <w:rStyle w:val="FootnoteReference"/>
        </w:rPr>
        <w:footnoteReference w:id="29"/>
      </w:r>
      <w:r w:rsidR="00996821">
        <w:t xml:space="preserve"> Eventually this search for physical longevity “both as the continuation of one’s earthly life for several hundred years and as immortality following death”, led to use of alchemy to try and create an elixir or “pill of immortality”.</w:t>
      </w:r>
      <w:r w:rsidR="00996821">
        <w:rPr>
          <w:rStyle w:val="FootnoteReference"/>
        </w:rPr>
        <w:footnoteReference w:id="30"/>
      </w:r>
    </w:p>
    <w:p w:rsidR="00996821" w:rsidRPr="00B75F35" w:rsidRDefault="00996821" w:rsidP="008702FE">
      <w:pPr>
        <w:spacing w:line="480" w:lineRule="auto"/>
        <w:ind w:left="1440"/>
      </w:pPr>
      <w:r>
        <w:t xml:space="preserve">“Although their actual success was limited, there is a real galaxy of ‘immortals’ </w:t>
      </w:r>
      <w:proofErr w:type="gramStart"/>
      <w:r>
        <w:t>who</w:t>
      </w:r>
      <w:proofErr w:type="gramEnd"/>
      <w:r>
        <w:t xml:space="preserve"> are honoured and even worshipped in folk Taoism. Whether these immortals lived a long life or not is not important. They are believed to have </w:t>
      </w:r>
      <w:r>
        <w:lastRenderedPageBreak/>
        <w:t>possessed remarkable powers which lifted them above ordinary mortals, so they are worshipped as ‘immortals’ and function as deities.”</w:t>
      </w:r>
      <w:r>
        <w:rPr>
          <w:rStyle w:val="FootnoteReference"/>
        </w:rPr>
        <w:footnoteReference w:id="31"/>
      </w:r>
    </w:p>
    <w:p w:rsidR="00C70564" w:rsidRDefault="00996821" w:rsidP="008702FE">
      <w:pPr>
        <w:spacing w:line="480" w:lineRule="auto"/>
        <w:ind w:left="1440"/>
      </w:pPr>
      <w:r>
        <w:t>“Tao itself was personified and deified with the amazing designation ‘Celestial Venerable of Mysterious Origin’. Much later he became known as the ‘Pure August One’ or Yu Huang, the Jade Emperor, the name by which he is known today.</w:t>
      </w:r>
      <w:r w:rsidR="00DA4500">
        <w:t xml:space="preserve"> Two other deities called ‘August Ruler of the Tao’ and ‘August Old Ruler’ </w:t>
      </w:r>
      <w:proofErr w:type="gramStart"/>
      <w:r w:rsidR="00DA4500">
        <w:t>were</w:t>
      </w:r>
      <w:proofErr w:type="gramEnd"/>
      <w:r w:rsidR="00DA4500">
        <w:t xml:space="preserve"> added to make a Taoist trinity.”</w:t>
      </w:r>
      <w:r w:rsidR="00DA4500">
        <w:rPr>
          <w:rStyle w:val="FootnoteReference"/>
        </w:rPr>
        <w:footnoteReference w:id="32"/>
      </w:r>
    </w:p>
    <w:p w:rsidR="008B28D6" w:rsidRDefault="008B28D6" w:rsidP="008702FE">
      <w:pPr>
        <w:spacing w:line="480" w:lineRule="auto"/>
        <w:ind w:left="720"/>
      </w:pPr>
      <w:r>
        <w:t xml:space="preserve">This notion of triads is another thing both cultures both have in common. Not only is there the Taoist trinity but there is also the trio of war gods; </w:t>
      </w:r>
      <w:proofErr w:type="spellStart"/>
      <w:r w:rsidRPr="008B28D6">
        <w:t>Kuan</w:t>
      </w:r>
      <w:proofErr w:type="spellEnd"/>
      <w:r w:rsidRPr="008B28D6">
        <w:t xml:space="preserve"> </w:t>
      </w:r>
      <w:proofErr w:type="spellStart"/>
      <w:r w:rsidRPr="008B28D6">
        <w:t>Ti</w:t>
      </w:r>
      <w:proofErr w:type="spellEnd"/>
      <w:r w:rsidRPr="008B28D6">
        <w:t xml:space="preserve">, </w:t>
      </w:r>
      <w:proofErr w:type="spellStart"/>
      <w:r w:rsidRPr="008B28D6">
        <w:t>Lui</w:t>
      </w:r>
      <w:proofErr w:type="spellEnd"/>
      <w:r w:rsidRPr="008B28D6">
        <w:t xml:space="preserve"> Pei and Chang </w:t>
      </w:r>
      <w:proofErr w:type="spellStart"/>
      <w:r w:rsidRPr="008B28D6">
        <w:t>Fei</w:t>
      </w:r>
      <w:proofErr w:type="spellEnd"/>
      <w:r>
        <w:t xml:space="preserve"> as, whereas the Egyptians have both the Memphite triad of Ptah, Sekhmet and </w:t>
      </w:r>
      <w:proofErr w:type="spellStart"/>
      <w:r>
        <w:t>Nefetum</w:t>
      </w:r>
      <w:proofErr w:type="spellEnd"/>
      <w:r>
        <w:t xml:space="preserve">; and the Theban triad consisting of </w:t>
      </w:r>
      <w:proofErr w:type="spellStart"/>
      <w:r>
        <w:t>Amun</w:t>
      </w:r>
      <w:proofErr w:type="spellEnd"/>
      <w:r>
        <w:t xml:space="preserve">, </w:t>
      </w:r>
      <w:proofErr w:type="spellStart"/>
      <w:r>
        <w:t>Mut</w:t>
      </w:r>
      <w:proofErr w:type="spellEnd"/>
      <w:r>
        <w:t xml:space="preserve"> and </w:t>
      </w:r>
      <w:proofErr w:type="spellStart"/>
      <w:r>
        <w:t>Khonsu</w:t>
      </w:r>
      <w:proofErr w:type="spellEnd"/>
      <w:r>
        <w:t>.</w:t>
      </w:r>
      <w:r>
        <w:rPr>
          <w:rStyle w:val="FootnoteReference"/>
        </w:rPr>
        <w:footnoteReference w:id="33"/>
      </w:r>
      <w:r w:rsidR="001B6197">
        <w:t xml:space="preserve"> Another example of similar groups of deities would be the Ba Xian:</w:t>
      </w:r>
    </w:p>
    <w:p w:rsidR="001B6197" w:rsidRDefault="001B6197" w:rsidP="001B6197">
      <w:pPr>
        <w:spacing w:line="480" w:lineRule="auto"/>
        <w:ind w:left="1440"/>
      </w:pPr>
      <w:proofErr w:type="gramStart"/>
      <w:r>
        <w:t>“</w:t>
      </w:r>
      <w:r w:rsidRPr="001B6197">
        <w:t>A group of eight divine beings, once, mortal, w</w:t>
      </w:r>
      <w:r>
        <w:t xml:space="preserve">ho achieved immortality through </w:t>
      </w:r>
      <w:r w:rsidRPr="001B6197">
        <w:t>their exemplary lifestyles.”</w:t>
      </w:r>
      <w:proofErr w:type="gramEnd"/>
      <w:r>
        <w:rPr>
          <w:rStyle w:val="FootnoteReference"/>
        </w:rPr>
        <w:footnoteReference w:id="34"/>
      </w:r>
    </w:p>
    <w:p w:rsidR="00962451" w:rsidRDefault="001B6197" w:rsidP="00962451">
      <w:pPr>
        <w:spacing w:line="480" w:lineRule="auto"/>
        <w:ind w:left="1440"/>
      </w:pPr>
      <w:r>
        <w:t>“</w:t>
      </w:r>
      <w:r w:rsidRPr="001B6197">
        <w:t>“Most are thought to be actual historical individuals, born in Tang Dynasty or Song Dynasty, and elevated to immortal status through personal piety, trickery or luck.”</w:t>
      </w:r>
      <w:r>
        <w:rPr>
          <w:rStyle w:val="FootnoteReference"/>
        </w:rPr>
        <w:footnoteReference w:id="35"/>
      </w:r>
    </w:p>
    <w:p w:rsidR="00962451" w:rsidRDefault="00346C83" w:rsidP="008702FE">
      <w:pPr>
        <w:spacing w:line="480" w:lineRule="auto"/>
        <w:ind w:left="720"/>
      </w:pPr>
      <w:r>
        <w:t xml:space="preserve">In comparison to the eight primordial deities of chaos known as the Ogdoad </w:t>
      </w:r>
      <w:r w:rsidRPr="00346C83">
        <w:t xml:space="preserve">“To the theologians of Hermopolis, who emphasize these forces of pre-creation in their myths, the eight gods created the first mound of earth (or island) together, and from then </w:t>
      </w:r>
      <w:r w:rsidRPr="00346C83">
        <w:lastRenderedPageBreak/>
        <w:t>formed an egg from which the sun god hatched.”</w:t>
      </w:r>
      <w:r>
        <w:rPr>
          <w:rStyle w:val="FootnoteReference"/>
        </w:rPr>
        <w:footnoteReference w:id="36"/>
      </w:r>
      <w:r w:rsidR="00B31EC2">
        <w:t xml:space="preserve"> Unlike the Ba Xian however the Ogdoad are an example of the aforementioned assignment of animal heads depending on sex, for where the four females bore the heads of snakes, the men bore the heads of frogs – or baboons if they were presented as the “Eastern Gods” created by Shu to greet the newly rising sun.</w:t>
      </w:r>
      <w:r w:rsidR="00B31EC2">
        <w:rPr>
          <w:rStyle w:val="FootnoteReference"/>
        </w:rPr>
        <w:footnoteReference w:id="37"/>
      </w:r>
    </w:p>
    <w:p w:rsidR="00A76419" w:rsidRDefault="00A76419" w:rsidP="008702FE">
      <w:pPr>
        <w:spacing w:line="480" w:lineRule="auto"/>
        <w:ind w:left="720"/>
      </w:pPr>
      <w:r>
        <w:t xml:space="preserve">One final comparison to be made would be the striking similarities in the creation myths of these two cultures. Chaos </w:t>
      </w:r>
      <w:r w:rsidR="00B4300B">
        <w:t xml:space="preserve">and flooding </w:t>
      </w:r>
      <w:r>
        <w:t>precedes all</w:t>
      </w:r>
      <w:r w:rsidR="00B4300B">
        <w:t>, yet from these two different tales of turmoil, a single egg appears; the one that hatched from the mound of earth created by the Ogdoad</w:t>
      </w:r>
      <w:r w:rsidR="00C1474D">
        <w:t xml:space="preserve"> producing the sun god and the one formed by the chaos itself that would grow for eighteen thousand years before hatching to reveal </w:t>
      </w:r>
      <w:proofErr w:type="spellStart"/>
      <w:r w:rsidR="00C1474D">
        <w:t>Pangu</w:t>
      </w:r>
      <w:proofErr w:type="spellEnd"/>
      <w:r w:rsidR="00C1474D">
        <w:t>, the first god.</w:t>
      </w:r>
      <w:r w:rsidR="00C1474D">
        <w:rPr>
          <w:rStyle w:val="FootnoteReference"/>
        </w:rPr>
        <w:footnoteReference w:id="38"/>
      </w:r>
    </w:p>
    <w:p w:rsidR="003E090F" w:rsidRDefault="003E090F" w:rsidP="003E090F">
      <w:pPr>
        <w:spacing w:line="480" w:lineRule="auto"/>
        <w:ind w:left="1440"/>
      </w:pPr>
      <w:proofErr w:type="gramStart"/>
      <w:r w:rsidRPr="003E090F">
        <w:t>“Only the endless, motionless waters.</w:t>
      </w:r>
      <w:proofErr w:type="gramEnd"/>
      <w:r w:rsidRPr="003E090F">
        <w:t xml:space="preserve"> But deep within the still waters of Nun there floated a perfect egg…Life broke free of its confining shell and, with a surge of energy, a mound rose out of the waters. Seated on that mound was the god </w:t>
      </w:r>
      <w:proofErr w:type="spellStart"/>
      <w:r w:rsidRPr="003E090F">
        <w:t>Atum</w:t>
      </w:r>
      <w:proofErr w:type="spellEnd"/>
      <w:r w:rsidRPr="003E090F">
        <w:t>.”</w:t>
      </w:r>
      <w:r>
        <w:rPr>
          <w:rStyle w:val="FootnoteReference"/>
        </w:rPr>
        <w:footnoteReference w:id="39"/>
      </w:r>
    </w:p>
    <w:p w:rsidR="003E090F" w:rsidRDefault="003E090F" w:rsidP="003E090F">
      <w:pPr>
        <w:spacing w:line="480" w:lineRule="auto"/>
        <w:ind w:left="1440"/>
      </w:pPr>
      <w:r>
        <w:t>“</w:t>
      </w:r>
      <w:proofErr w:type="spellStart"/>
      <w:r w:rsidRPr="003E090F">
        <w:t>Pangu</w:t>
      </w:r>
      <w:proofErr w:type="spellEnd"/>
      <w:r w:rsidRPr="003E090F">
        <w:t xml:space="preserve"> often appears as the creator of the world, the first god who was born from the cosmic</w:t>
      </w:r>
      <w:r>
        <w:t xml:space="preserve"> egg…</w:t>
      </w:r>
      <w:r w:rsidRPr="003E090F">
        <w:t xml:space="preserve">At the beginning of </w:t>
      </w:r>
      <w:proofErr w:type="gramStart"/>
      <w:r w:rsidRPr="003E090F">
        <w:t>time,</w:t>
      </w:r>
      <w:proofErr w:type="gramEnd"/>
      <w:r w:rsidRPr="003E090F">
        <w:t xml:space="preserve"> heaven and earth were on chaotic formlessness, like a chicken’s egg”</w:t>
      </w:r>
      <w:r>
        <w:rPr>
          <w:rStyle w:val="FootnoteReference"/>
        </w:rPr>
        <w:footnoteReference w:id="40"/>
      </w:r>
    </w:p>
    <w:p w:rsidR="003E090F" w:rsidRDefault="003E090F" w:rsidP="003E090F">
      <w:pPr>
        <w:spacing w:line="480" w:lineRule="auto"/>
        <w:ind w:left="1440"/>
      </w:pPr>
    </w:p>
    <w:p w:rsidR="00C70564" w:rsidRDefault="004D1305" w:rsidP="008702FE">
      <w:pPr>
        <w:spacing w:line="480" w:lineRule="auto"/>
        <w:ind w:left="720"/>
      </w:pPr>
      <w:r>
        <w:t xml:space="preserve">To </w:t>
      </w:r>
      <w:r w:rsidR="00E826CA">
        <w:t>conclude</w:t>
      </w:r>
      <w:r>
        <w:t xml:space="preserve">, through these examples, we can see that despite the fact that very little is known of China and Egypt’s interactions with each other as </w:t>
      </w:r>
      <w:r w:rsidRPr="004D1305">
        <w:t xml:space="preserve">“the earliest accounts of </w:t>
      </w:r>
      <w:r w:rsidRPr="004D1305">
        <w:lastRenderedPageBreak/>
        <w:t>Africa in Chinese literature</w:t>
      </w:r>
      <w:r>
        <w:t xml:space="preserve"> appear during the Tang Dynasty.</w:t>
      </w:r>
      <w:r w:rsidRPr="004D1305">
        <w:t>”</w:t>
      </w:r>
      <w:r>
        <w:rPr>
          <w:rStyle w:val="FootnoteReference"/>
        </w:rPr>
        <w:footnoteReference w:id="41"/>
      </w:r>
      <w:r>
        <w:t xml:space="preserve"> This lack of communication with a nation and people who are estranged geographically to say the least has done nothing to obscure the clear similarities within their cultures</w:t>
      </w:r>
      <w:r w:rsidR="00E826CA">
        <w:t xml:space="preserve"> from coming to light, from their very origins to their mutual search for a life eternal the simple common denominator of being human has linked them together, even if their preferred methods do differ from each other in their own ways, there is still visible proof that there is similarity within diversity.</w:t>
      </w:r>
    </w:p>
    <w:p w:rsidR="00C70564" w:rsidRDefault="00C70564" w:rsidP="008702FE">
      <w:pPr>
        <w:spacing w:line="480" w:lineRule="auto"/>
        <w:ind w:left="720"/>
      </w:pPr>
    </w:p>
    <w:p w:rsidR="00C70564" w:rsidRDefault="00C70564" w:rsidP="008702FE">
      <w:pPr>
        <w:spacing w:line="480" w:lineRule="auto"/>
        <w:ind w:left="720"/>
      </w:pPr>
    </w:p>
    <w:p w:rsidR="007F5FFC" w:rsidRDefault="007F5FFC" w:rsidP="008702FE">
      <w:pPr>
        <w:spacing w:line="480" w:lineRule="auto"/>
        <w:ind w:left="720"/>
        <w:rPr>
          <w:u w:val="single"/>
        </w:rPr>
      </w:pPr>
      <w:r w:rsidRPr="007F5FFC">
        <w:rPr>
          <w:u w:val="single"/>
        </w:rPr>
        <w:t>Bibliography</w:t>
      </w:r>
    </w:p>
    <w:p w:rsidR="00D43F6D" w:rsidRPr="00D43F6D" w:rsidRDefault="00D43F6D" w:rsidP="008702FE">
      <w:pPr>
        <w:spacing w:line="480" w:lineRule="auto"/>
        <w:ind w:left="720"/>
      </w:pPr>
      <w:proofErr w:type="spellStart"/>
      <w:proofErr w:type="gramStart"/>
      <w:r w:rsidRPr="00D43F6D">
        <w:t>An.D</w:t>
      </w:r>
      <w:proofErr w:type="spellEnd"/>
      <w:r w:rsidRPr="00D43F6D">
        <w:t xml:space="preserve">, </w:t>
      </w:r>
      <w:proofErr w:type="spellStart"/>
      <w:r w:rsidRPr="00D43F6D">
        <w:t>Turner.J.A</w:t>
      </w:r>
      <w:proofErr w:type="spellEnd"/>
      <w:r w:rsidRPr="00D43F6D">
        <w:t>, Yang.L.2008.</w:t>
      </w:r>
      <w:proofErr w:type="gramEnd"/>
      <w:r w:rsidRPr="00D43F6D">
        <w:t xml:space="preserve"> </w:t>
      </w:r>
      <w:proofErr w:type="gramStart"/>
      <w:r w:rsidRPr="00D43F6D">
        <w:t>Handbook of Chinese Mythology.</w:t>
      </w:r>
      <w:proofErr w:type="gramEnd"/>
      <w:r w:rsidRPr="00D43F6D">
        <w:t xml:space="preserve"> Oxford University Press</w:t>
      </w:r>
    </w:p>
    <w:p w:rsidR="00A372C9" w:rsidRPr="00A372C9" w:rsidRDefault="00A372C9" w:rsidP="00962451">
      <w:pPr>
        <w:spacing w:line="480" w:lineRule="auto"/>
        <w:ind w:left="720"/>
      </w:pPr>
      <w:proofErr w:type="gramStart"/>
      <w:r>
        <w:t>Bush.</w:t>
      </w:r>
      <w:proofErr w:type="gramEnd"/>
      <w:r>
        <w:t xml:space="preserve"> R. C. 1977. </w:t>
      </w:r>
      <w:r>
        <w:rPr>
          <w:i/>
        </w:rPr>
        <w:t xml:space="preserve">Religion </w:t>
      </w:r>
      <w:proofErr w:type="gramStart"/>
      <w:r>
        <w:rPr>
          <w:i/>
        </w:rPr>
        <w:t>In</w:t>
      </w:r>
      <w:proofErr w:type="gramEnd"/>
      <w:r>
        <w:rPr>
          <w:i/>
        </w:rPr>
        <w:t xml:space="preserve"> China. </w:t>
      </w:r>
      <w:r>
        <w:t>Argus Communications</w:t>
      </w:r>
    </w:p>
    <w:p w:rsidR="004D1305" w:rsidRDefault="004D1305" w:rsidP="00962451">
      <w:pPr>
        <w:spacing w:line="480" w:lineRule="auto"/>
        <w:ind w:left="720"/>
      </w:pPr>
      <w:proofErr w:type="spellStart"/>
      <w:proofErr w:type="gramStart"/>
      <w:r w:rsidRPr="004D1305">
        <w:t>Eisenman.J</w:t>
      </w:r>
      <w:proofErr w:type="spellEnd"/>
      <w:r w:rsidRPr="004D1305">
        <w:t>, Shinn.D.H.2012.</w:t>
      </w:r>
      <w:proofErr w:type="gramEnd"/>
      <w:r w:rsidRPr="004D1305">
        <w:t xml:space="preserve"> </w:t>
      </w:r>
      <w:r w:rsidRPr="004D1305">
        <w:rPr>
          <w:i/>
        </w:rPr>
        <w:t>China and Africa: A Century of Engagement</w:t>
      </w:r>
      <w:r w:rsidRPr="004D1305">
        <w:t>. University of Pennsylvania Press</w:t>
      </w:r>
    </w:p>
    <w:p w:rsidR="00F362E8" w:rsidRDefault="00F362E8" w:rsidP="00962451">
      <w:pPr>
        <w:spacing w:line="480" w:lineRule="auto"/>
        <w:ind w:left="720"/>
      </w:pPr>
      <w:r>
        <w:t xml:space="preserve">Fleming. F. Fletcher. J. Lothian. A. 1997. </w:t>
      </w:r>
      <w:r>
        <w:rPr>
          <w:i/>
        </w:rPr>
        <w:t xml:space="preserve">The Way </w:t>
      </w:r>
      <w:proofErr w:type="gramStart"/>
      <w:r>
        <w:rPr>
          <w:i/>
        </w:rPr>
        <w:t>To</w:t>
      </w:r>
      <w:proofErr w:type="gramEnd"/>
      <w:r>
        <w:rPr>
          <w:i/>
        </w:rPr>
        <w:t xml:space="preserve"> Eternity: Egyptian Myths. </w:t>
      </w:r>
      <w:proofErr w:type="gramStart"/>
      <w:r w:rsidR="00292BAE">
        <w:t>Duncan Baird Publishers.</w:t>
      </w:r>
      <w:proofErr w:type="gramEnd"/>
      <w:r w:rsidR="00292BAE">
        <w:t xml:space="preserve"> London</w:t>
      </w:r>
    </w:p>
    <w:p w:rsidR="00846003" w:rsidRDefault="00846003" w:rsidP="00962451">
      <w:pPr>
        <w:spacing w:line="480" w:lineRule="auto"/>
        <w:ind w:left="720"/>
      </w:pPr>
      <w:r w:rsidRPr="00846003">
        <w:t xml:space="preserve">Jordan.M.1992. </w:t>
      </w:r>
      <w:proofErr w:type="gramStart"/>
      <w:r w:rsidRPr="00846003">
        <w:rPr>
          <w:i/>
        </w:rPr>
        <w:t>The</w:t>
      </w:r>
      <w:proofErr w:type="gramEnd"/>
      <w:r w:rsidRPr="00846003">
        <w:rPr>
          <w:i/>
        </w:rPr>
        <w:t xml:space="preserve"> Encyclopedia of Gods</w:t>
      </w:r>
      <w:r w:rsidRPr="00846003">
        <w:t>. Kyle Cathie Limited.UK</w:t>
      </w:r>
    </w:p>
    <w:p w:rsidR="00EA33C5" w:rsidRPr="00EA33C5" w:rsidRDefault="00EA33C5" w:rsidP="00962451">
      <w:pPr>
        <w:spacing w:line="480" w:lineRule="auto"/>
        <w:ind w:left="720"/>
      </w:pPr>
      <w:proofErr w:type="spellStart"/>
      <w:proofErr w:type="gramStart"/>
      <w:r>
        <w:t>Leeming</w:t>
      </w:r>
      <w:proofErr w:type="spellEnd"/>
      <w:r>
        <w:t>.</w:t>
      </w:r>
      <w:proofErr w:type="gramEnd"/>
      <w:r>
        <w:t xml:space="preserve"> D. A. 1990. </w:t>
      </w:r>
      <w:proofErr w:type="gramStart"/>
      <w:r>
        <w:rPr>
          <w:i/>
        </w:rPr>
        <w:t>The World of Myth.</w:t>
      </w:r>
      <w:proofErr w:type="gramEnd"/>
      <w:r>
        <w:rPr>
          <w:i/>
        </w:rPr>
        <w:t xml:space="preserve"> </w:t>
      </w:r>
      <w:r>
        <w:t>Oxford University Press</w:t>
      </w:r>
    </w:p>
    <w:p w:rsidR="007F5FFC" w:rsidRDefault="007F5FFC" w:rsidP="00962451">
      <w:pPr>
        <w:spacing w:line="480" w:lineRule="auto"/>
        <w:ind w:left="720"/>
      </w:pPr>
      <w:r w:rsidRPr="007F5FFC">
        <w:t xml:space="preserve">Shaw.G.J.2014. </w:t>
      </w:r>
      <w:proofErr w:type="gramStart"/>
      <w:r w:rsidRPr="007F5FFC">
        <w:rPr>
          <w:i/>
        </w:rPr>
        <w:t>The</w:t>
      </w:r>
      <w:proofErr w:type="gramEnd"/>
      <w:r w:rsidRPr="007F5FFC">
        <w:rPr>
          <w:i/>
        </w:rPr>
        <w:t xml:space="preserve"> Egyptian Myths: A Guide to the Ancient Gods and Legends</w:t>
      </w:r>
      <w:r w:rsidRPr="007F5FFC">
        <w:t>. Thames &amp; Hudson Limited. London</w:t>
      </w:r>
    </w:p>
    <w:p w:rsidR="004A1249" w:rsidRDefault="004A1249" w:rsidP="00962451">
      <w:pPr>
        <w:ind w:left="720"/>
      </w:pPr>
      <w:proofErr w:type="spellStart"/>
      <w:r>
        <w:lastRenderedPageBreak/>
        <w:t>Taylor.J.H</w:t>
      </w:r>
      <w:proofErr w:type="spellEnd"/>
      <w:r>
        <w:t>. Ed. 2010.</w:t>
      </w:r>
      <w:r>
        <w:rPr>
          <w:i/>
        </w:rPr>
        <w:t xml:space="preserve"> Journey </w:t>
      </w:r>
      <w:proofErr w:type="gramStart"/>
      <w:r>
        <w:rPr>
          <w:i/>
        </w:rPr>
        <w:t>Through</w:t>
      </w:r>
      <w:proofErr w:type="gramEnd"/>
      <w:r>
        <w:rPr>
          <w:i/>
        </w:rPr>
        <w:t xml:space="preserve"> The Afterlife: Ancient Egyptian Book of The Dead. </w:t>
      </w:r>
      <w:r>
        <w:t>Harvard University Press</w:t>
      </w:r>
    </w:p>
    <w:p w:rsidR="00D43F6D" w:rsidRDefault="00D43F6D" w:rsidP="00962451">
      <w:pPr>
        <w:ind w:left="720"/>
      </w:pPr>
      <w:r w:rsidRPr="00D43F6D">
        <w:t xml:space="preserve">Tyldesley.J.2011. </w:t>
      </w:r>
      <w:r w:rsidRPr="00D43F6D">
        <w:rPr>
          <w:i/>
          <w:iCs/>
        </w:rPr>
        <w:t xml:space="preserve">The Penguin Book of Myths &amp; Legends of Ancient Egypt. </w:t>
      </w:r>
      <w:r w:rsidRPr="00D43F6D">
        <w:t>Penguin Books Ltd</w:t>
      </w:r>
    </w:p>
    <w:p w:rsidR="00D2607E" w:rsidRPr="00D2607E" w:rsidRDefault="00D2607E" w:rsidP="00962451">
      <w:pPr>
        <w:ind w:left="720"/>
      </w:pPr>
      <w:r>
        <w:t xml:space="preserve"> Pinch. G. 2002. </w:t>
      </w:r>
      <w:r w:rsidRPr="00D2607E">
        <w:t xml:space="preserve"> </w:t>
      </w:r>
      <w:proofErr w:type="gramStart"/>
      <w:r w:rsidRPr="00D2607E">
        <w:rPr>
          <w:i/>
        </w:rPr>
        <w:t>Handbook of Egyptian Mythology</w:t>
      </w:r>
      <w:r>
        <w:rPr>
          <w:i/>
        </w:rPr>
        <w:t>.</w:t>
      </w:r>
      <w:proofErr w:type="gramEnd"/>
      <w:r>
        <w:rPr>
          <w:i/>
        </w:rPr>
        <w:t xml:space="preserve"> </w:t>
      </w:r>
      <w:r>
        <w:t>ABC-CLIO</w:t>
      </w:r>
    </w:p>
    <w:p w:rsidR="00803CD8" w:rsidRDefault="00803CD8" w:rsidP="00962451">
      <w:pPr>
        <w:spacing w:line="480" w:lineRule="auto"/>
        <w:ind w:left="720"/>
      </w:pPr>
      <w:r>
        <w:t xml:space="preserve">Wilkinson. R. H. 2003. </w:t>
      </w:r>
      <w:proofErr w:type="gramStart"/>
      <w:r>
        <w:rPr>
          <w:i/>
        </w:rPr>
        <w:t>The Complete Goddesses of Ancient Egypt.</w:t>
      </w:r>
      <w:proofErr w:type="gramEnd"/>
      <w:r>
        <w:rPr>
          <w:i/>
        </w:rPr>
        <w:t xml:space="preserve"> </w:t>
      </w:r>
      <w:r>
        <w:t>Thames &amp; Hudson</w:t>
      </w:r>
    </w:p>
    <w:p w:rsidR="000844B1" w:rsidRPr="000844B1" w:rsidRDefault="000844B1" w:rsidP="00962451">
      <w:pPr>
        <w:spacing w:line="480" w:lineRule="auto"/>
        <w:ind w:left="720"/>
      </w:pPr>
      <w:r w:rsidRPr="000844B1">
        <w:t>New World Encyclopedia:</w:t>
      </w:r>
    </w:p>
    <w:p w:rsidR="000844B1" w:rsidRDefault="000844B1" w:rsidP="00962451">
      <w:pPr>
        <w:spacing w:line="480" w:lineRule="auto"/>
        <w:ind w:left="720"/>
      </w:pPr>
      <w:r w:rsidRPr="000844B1">
        <w:t>[http://www.newworldencyclopedia.org/entry/Ba_Xian#References</w:t>
      </w:r>
      <w:r>
        <w:t xml:space="preserve">] </w:t>
      </w:r>
    </w:p>
    <w:p w:rsidR="003F2163" w:rsidRDefault="003F2163" w:rsidP="00962451">
      <w:pPr>
        <w:spacing w:line="480" w:lineRule="auto"/>
        <w:ind w:left="720"/>
        <w:rPr>
          <w:u w:val="single"/>
        </w:rPr>
      </w:pPr>
      <w:r>
        <w:rPr>
          <w:u w:val="single"/>
        </w:rPr>
        <w:t>Images</w:t>
      </w:r>
    </w:p>
    <w:p w:rsidR="003F2163" w:rsidRDefault="003F2163" w:rsidP="00962451">
      <w:pPr>
        <w:spacing w:line="480" w:lineRule="auto"/>
        <w:ind w:left="720"/>
      </w:pPr>
      <w:r>
        <w:t xml:space="preserve">Pan </w:t>
      </w:r>
      <w:proofErr w:type="spellStart"/>
      <w:proofErr w:type="gramStart"/>
      <w:r>
        <w:t>Gu</w:t>
      </w:r>
      <w:proofErr w:type="spellEnd"/>
      <w:proofErr w:type="gramEnd"/>
      <w:r>
        <w:t xml:space="preserve"> portrait:</w:t>
      </w:r>
    </w:p>
    <w:p w:rsidR="003F2163" w:rsidRDefault="003F2163" w:rsidP="00962451">
      <w:pPr>
        <w:spacing w:line="480" w:lineRule="auto"/>
        <w:ind w:left="720"/>
      </w:pPr>
      <w:r>
        <w:t>[</w:t>
      </w:r>
      <w:r w:rsidRPr="003F2163">
        <w:t>https://learninglab.si.edu/resources/view/75725</w:t>
      </w:r>
      <w:r>
        <w:t>]</w:t>
      </w:r>
    </w:p>
    <w:p w:rsidR="003F2163" w:rsidRDefault="003F2163" w:rsidP="00962451">
      <w:pPr>
        <w:spacing w:line="480" w:lineRule="auto"/>
        <w:ind w:left="720"/>
      </w:pPr>
      <w:r>
        <w:t>Statue of Re-</w:t>
      </w:r>
      <w:proofErr w:type="spellStart"/>
      <w:r>
        <w:t>Horak</w:t>
      </w:r>
      <w:r w:rsidR="003E7B26">
        <w:t>hty</w:t>
      </w:r>
      <w:proofErr w:type="spellEnd"/>
      <w:r w:rsidR="003E7B26">
        <w:t>:</w:t>
      </w:r>
    </w:p>
    <w:p w:rsidR="003E7B26" w:rsidRPr="003F2163" w:rsidRDefault="003E7B26" w:rsidP="00962451">
      <w:pPr>
        <w:spacing w:line="480" w:lineRule="auto"/>
        <w:ind w:left="720"/>
      </w:pPr>
      <w:r>
        <w:t>[</w:t>
      </w:r>
      <w:r w:rsidRPr="003E7B26">
        <w:t>http://www.artic.edu/aic/collections/artwork/120300</w:t>
      </w:r>
      <w:r>
        <w:t>]</w:t>
      </w:r>
    </w:p>
    <w:sectPr w:rsidR="003E7B26" w:rsidRPr="003F2163" w:rsidSect="00FE1FC6">
      <w:pgSz w:w="11906" w:h="16838" w:code="9"/>
      <w:pgMar w:top="1440" w:right="1440" w:bottom="1440" w:left="181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D0B" w:rsidRDefault="00C50D0B" w:rsidP="00E64A63">
      <w:pPr>
        <w:spacing w:after="0" w:line="240" w:lineRule="auto"/>
      </w:pPr>
      <w:r>
        <w:separator/>
      </w:r>
    </w:p>
  </w:endnote>
  <w:endnote w:type="continuationSeparator" w:id="0">
    <w:p w:rsidR="00C50D0B" w:rsidRDefault="00C50D0B" w:rsidP="00E64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D0B" w:rsidRDefault="00C50D0B" w:rsidP="00E64A63">
      <w:pPr>
        <w:spacing w:after="0" w:line="240" w:lineRule="auto"/>
      </w:pPr>
      <w:r>
        <w:separator/>
      </w:r>
    </w:p>
  </w:footnote>
  <w:footnote w:type="continuationSeparator" w:id="0">
    <w:p w:rsidR="00C50D0B" w:rsidRDefault="00C50D0B" w:rsidP="00E64A63">
      <w:pPr>
        <w:spacing w:after="0" w:line="240" w:lineRule="auto"/>
      </w:pPr>
      <w:r>
        <w:continuationSeparator/>
      </w:r>
    </w:p>
  </w:footnote>
  <w:footnote w:id="1">
    <w:p w:rsidR="00EA33C5" w:rsidRDefault="00EA33C5">
      <w:pPr>
        <w:pStyle w:val="FootnoteText"/>
      </w:pPr>
      <w:r>
        <w:rPr>
          <w:rStyle w:val="FootnoteReference"/>
        </w:rPr>
        <w:footnoteRef/>
      </w:r>
      <w:r>
        <w:t xml:space="preserve"> Leeming.1990.93</w:t>
      </w:r>
    </w:p>
  </w:footnote>
  <w:footnote w:id="2">
    <w:p w:rsidR="006E24C4" w:rsidRDefault="006E24C4">
      <w:pPr>
        <w:pStyle w:val="FootnoteText"/>
      </w:pPr>
      <w:r>
        <w:rPr>
          <w:rStyle w:val="FootnoteReference"/>
        </w:rPr>
        <w:footnoteRef/>
      </w:r>
      <w:r>
        <w:t xml:space="preserve"> Leeming.1990.93</w:t>
      </w:r>
    </w:p>
  </w:footnote>
  <w:footnote w:id="3">
    <w:p w:rsidR="00D55D54" w:rsidRDefault="00D55D54">
      <w:pPr>
        <w:pStyle w:val="FootnoteText"/>
      </w:pPr>
      <w:r>
        <w:rPr>
          <w:rStyle w:val="FootnoteReference"/>
        </w:rPr>
        <w:footnoteRef/>
      </w:r>
      <w:r>
        <w:t xml:space="preserve"> Leeming.1990.95</w:t>
      </w:r>
    </w:p>
  </w:footnote>
  <w:footnote w:id="4">
    <w:p w:rsidR="002D6F18" w:rsidRDefault="002D6F18">
      <w:pPr>
        <w:pStyle w:val="FootnoteText"/>
      </w:pPr>
      <w:r>
        <w:rPr>
          <w:rStyle w:val="FootnoteReference"/>
        </w:rPr>
        <w:footnoteRef/>
      </w:r>
      <w:r>
        <w:t xml:space="preserve"> Wilkinson.2003.26</w:t>
      </w:r>
    </w:p>
  </w:footnote>
  <w:footnote w:id="5">
    <w:p w:rsidR="00E64A63" w:rsidRDefault="00E64A63">
      <w:pPr>
        <w:pStyle w:val="FootnoteText"/>
      </w:pPr>
      <w:r>
        <w:rPr>
          <w:rStyle w:val="FootnoteReference"/>
        </w:rPr>
        <w:footnoteRef/>
      </w:r>
      <w:r>
        <w:t xml:space="preserve"> Wilkinson.2003.26-27</w:t>
      </w:r>
    </w:p>
  </w:footnote>
  <w:footnote w:id="6">
    <w:p w:rsidR="00A46698" w:rsidRDefault="00A46698">
      <w:pPr>
        <w:pStyle w:val="FootnoteText"/>
      </w:pPr>
      <w:r>
        <w:rPr>
          <w:rStyle w:val="FootnoteReference"/>
        </w:rPr>
        <w:footnoteRef/>
      </w:r>
      <w:r>
        <w:t xml:space="preserve"> Wilkinson.2003.27</w:t>
      </w:r>
      <w:r w:rsidR="001854F2">
        <w:t>. Shaw.2014.56</w:t>
      </w:r>
    </w:p>
  </w:footnote>
  <w:footnote w:id="7">
    <w:p w:rsidR="00311BE9" w:rsidRDefault="00311BE9">
      <w:pPr>
        <w:pStyle w:val="FootnoteText"/>
      </w:pPr>
      <w:r>
        <w:rPr>
          <w:rStyle w:val="FootnoteReference"/>
        </w:rPr>
        <w:footnoteRef/>
      </w:r>
      <w:r>
        <w:t xml:space="preserve"> Wilkinson.2003.27</w:t>
      </w:r>
    </w:p>
  </w:footnote>
  <w:footnote w:id="8">
    <w:p w:rsidR="00E84982" w:rsidRDefault="00E84982">
      <w:pPr>
        <w:pStyle w:val="FootnoteText"/>
      </w:pPr>
      <w:r>
        <w:rPr>
          <w:rStyle w:val="FootnoteReference"/>
        </w:rPr>
        <w:footnoteRef/>
      </w:r>
      <w:r>
        <w:t xml:space="preserve"> Wilkinson.2003.27</w:t>
      </w:r>
    </w:p>
  </w:footnote>
  <w:footnote w:id="9">
    <w:p w:rsidR="00E84982" w:rsidRDefault="00E84982">
      <w:pPr>
        <w:pStyle w:val="FootnoteText"/>
      </w:pPr>
      <w:r>
        <w:rPr>
          <w:rStyle w:val="FootnoteReference"/>
        </w:rPr>
        <w:footnoteRef/>
      </w:r>
      <w:r>
        <w:t xml:space="preserve"> Wilkinson.2003.27</w:t>
      </w:r>
    </w:p>
  </w:footnote>
  <w:footnote w:id="10">
    <w:p w:rsidR="001854F2" w:rsidRDefault="001854F2">
      <w:pPr>
        <w:pStyle w:val="FootnoteText"/>
      </w:pPr>
      <w:r>
        <w:rPr>
          <w:rStyle w:val="FootnoteReference"/>
        </w:rPr>
        <w:footnoteRef/>
      </w:r>
      <w:r>
        <w:t xml:space="preserve"> Shaw.2014.26</w:t>
      </w:r>
    </w:p>
  </w:footnote>
  <w:footnote w:id="11">
    <w:p w:rsidR="00C70564" w:rsidRDefault="00C70564">
      <w:pPr>
        <w:pStyle w:val="FootnoteText"/>
      </w:pPr>
      <w:r>
        <w:rPr>
          <w:rStyle w:val="FootnoteReference"/>
        </w:rPr>
        <w:footnoteRef/>
      </w:r>
      <w:r>
        <w:t xml:space="preserve"> Wilkinson.2003.27</w:t>
      </w:r>
    </w:p>
  </w:footnote>
  <w:footnote w:id="12">
    <w:p w:rsidR="00BA461D" w:rsidRDefault="00BA461D">
      <w:pPr>
        <w:pStyle w:val="FootnoteText"/>
      </w:pPr>
      <w:r>
        <w:rPr>
          <w:rStyle w:val="FootnoteReference"/>
        </w:rPr>
        <w:footnoteRef/>
      </w:r>
      <w:r>
        <w:t xml:space="preserve"> Wilkinson.2003.27</w:t>
      </w:r>
    </w:p>
  </w:footnote>
  <w:footnote w:id="13">
    <w:p w:rsidR="00F362E8" w:rsidRDefault="00F362E8">
      <w:pPr>
        <w:pStyle w:val="FootnoteText"/>
      </w:pPr>
      <w:r>
        <w:rPr>
          <w:rStyle w:val="FootnoteReference"/>
        </w:rPr>
        <w:footnoteRef/>
      </w:r>
      <w:r>
        <w:t xml:space="preserve"> </w:t>
      </w:r>
      <w:proofErr w:type="gramStart"/>
      <w:r>
        <w:t>Shaw.2003.26, 157.</w:t>
      </w:r>
      <w:proofErr w:type="gramEnd"/>
      <w:r>
        <w:t xml:space="preserve"> Fleming. </w:t>
      </w:r>
      <w:proofErr w:type="gramStart"/>
      <w:r>
        <w:t>Fletcher.</w:t>
      </w:r>
      <w:proofErr w:type="gramEnd"/>
      <w:r>
        <w:t xml:space="preserve"> Lothian.1997.72</w:t>
      </w:r>
    </w:p>
  </w:footnote>
  <w:footnote w:id="14">
    <w:p w:rsidR="001A4ED8" w:rsidRDefault="001A4ED8">
      <w:pPr>
        <w:pStyle w:val="FootnoteText"/>
      </w:pPr>
      <w:r>
        <w:rPr>
          <w:rStyle w:val="FootnoteReference"/>
        </w:rPr>
        <w:footnoteRef/>
      </w:r>
      <w:r>
        <w:t xml:space="preserve"> Wilkinson.2003.28</w:t>
      </w:r>
    </w:p>
  </w:footnote>
  <w:footnote w:id="15">
    <w:p w:rsidR="00FB5811" w:rsidRDefault="00FB5811">
      <w:pPr>
        <w:pStyle w:val="FootnoteText"/>
      </w:pPr>
      <w:r>
        <w:rPr>
          <w:rStyle w:val="FootnoteReference"/>
        </w:rPr>
        <w:footnoteRef/>
      </w:r>
      <w:r>
        <w:t xml:space="preserve"> Wilkinson.2003.28</w:t>
      </w:r>
    </w:p>
  </w:footnote>
  <w:footnote w:id="16">
    <w:p w:rsidR="00E4064C" w:rsidRDefault="00E4064C">
      <w:pPr>
        <w:pStyle w:val="FootnoteText"/>
      </w:pPr>
      <w:r>
        <w:rPr>
          <w:rStyle w:val="FootnoteReference"/>
        </w:rPr>
        <w:footnoteRef/>
      </w:r>
      <w:r>
        <w:t xml:space="preserve"> Wilkinson.2003.28</w:t>
      </w:r>
    </w:p>
  </w:footnote>
  <w:footnote w:id="17">
    <w:p w:rsidR="002F2A55" w:rsidRDefault="002F2A55">
      <w:pPr>
        <w:pStyle w:val="FootnoteText"/>
      </w:pPr>
      <w:r>
        <w:rPr>
          <w:rStyle w:val="FootnoteReference"/>
        </w:rPr>
        <w:footnoteRef/>
      </w:r>
      <w:r>
        <w:t xml:space="preserve"> Wilkinson.2003.28</w:t>
      </w:r>
    </w:p>
  </w:footnote>
  <w:footnote w:id="18">
    <w:p w:rsidR="002F2A55" w:rsidRDefault="002F2A55">
      <w:pPr>
        <w:pStyle w:val="FootnoteText"/>
      </w:pPr>
      <w:r>
        <w:rPr>
          <w:rStyle w:val="FootnoteReference"/>
        </w:rPr>
        <w:footnoteRef/>
      </w:r>
      <w:r>
        <w:t xml:space="preserve"> Wilkinson.2003.28</w:t>
      </w:r>
    </w:p>
  </w:footnote>
  <w:footnote w:id="19">
    <w:p w:rsidR="00E36070" w:rsidRDefault="00E36070">
      <w:pPr>
        <w:pStyle w:val="FootnoteText"/>
      </w:pPr>
      <w:r>
        <w:rPr>
          <w:rStyle w:val="FootnoteReference"/>
        </w:rPr>
        <w:footnoteRef/>
      </w:r>
      <w:r>
        <w:t xml:space="preserve"> Wilkinson.2003.30</w:t>
      </w:r>
    </w:p>
  </w:footnote>
  <w:footnote w:id="20">
    <w:p w:rsidR="00DD42F1" w:rsidRDefault="00DD42F1">
      <w:pPr>
        <w:pStyle w:val="FootnoteText"/>
      </w:pPr>
      <w:r>
        <w:rPr>
          <w:rStyle w:val="FootnoteReference"/>
        </w:rPr>
        <w:footnoteRef/>
      </w:r>
      <w:r>
        <w:t xml:space="preserve"> Wilkinson.2003.30</w:t>
      </w:r>
    </w:p>
  </w:footnote>
  <w:footnote w:id="21">
    <w:p w:rsidR="00D55D54" w:rsidRDefault="00D55D54">
      <w:pPr>
        <w:pStyle w:val="FootnoteText"/>
      </w:pPr>
      <w:r>
        <w:rPr>
          <w:rStyle w:val="FootnoteReference"/>
        </w:rPr>
        <w:footnoteRef/>
      </w:r>
      <w:r>
        <w:t xml:space="preserve"> Leeming.1990.96</w:t>
      </w:r>
    </w:p>
  </w:footnote>
  <w:footnote w:id="22">
    <w:p w:rsidR="00643180" w:rsidRDefault="00643180">
      <w:pPr>
        <w:pStyle w:val="FootnoteText"/>
      </w:pPr>
      <w:r>
        <w:rPr>
          <w:rStyle w:val="FootnoteReference"/>
        </w:rPr>
        <w:footnoteRef/>
      </w:r>
      <w:r>
        <w:t xml:space="preserve"> Leeming.1990.65</w:t>
      </w:r>
    </w:p>
  </w:footnote>
  <w:footnote w:id="23">
    <w:p w:rsidR="00643180" w:rsidRDefault="00643180">
      <w:pPr>
        <w:pStyle w:val="FootnoteText"/>
      </w:pPr>
      <w:r>
        <w:rPr>
          <w:rStyle w:val="FootnoteReference"/>
        </w:rPr>
        <w:footnoteRef/>
      </w:r>
      <w:r>
        <w:t xml:space="preserve"> Leeming.1990.65</w:t>
      </w:r>
    </w:p>
  </w:footnote>
  <w:footnote w:id="24">
    <w:p w:rsidR="00D62138" w:rsidRDefault="00D62138">
      <w:pPr>
        <w:pStyle w:val="FootnoteText"/>
      </w:pPr>
      <w:r>
        <w:rPr>
          <w:rStyle w:val="FootnoteReference"/>
        </w:rPr>
        <w:footnoteRef/>
      </w:r>
      <w:r>
        <w:t xml:space="preserve"> </w:t>
      </w:r>
      <w:r w:rsidR="00B8289A">
        <w:t>Leeming.1990.65</w:t>
      </w:r>
    </w:p>
  </w:footnote>
  <w:footnote w:id="25">
    <w:p w:rsidR="00BC1A03" w:rsidRDefault="00BC1A03">
      <w:pPr>
        <w:pStyle w:val="FootnoteText"/>
      </w:pPr>
      <w:r>
        <w:rPr>
          <w:rStyle w:val="FootnoteReference"/>
        </w:rPr>
        <w:footnoteRef/>
      </w:r>
      <w:r>
        <w:t xml:space="preserve"> </w:t>
      </w:r>
      <w:proofErr w:type="gramStart"/>
      <w:r>
        <w:t>Leeming.1990.65. Fleming.</w:t>
      </w:r>
      <w:proofErr w:type="gramEnd"/>
      <w:r>
        <w:t xml:space="preserve"> </w:t>
      </w:r>
      <w:proofErr w:type="gramStart"/>
      <w:r>
        <w:t>Fletcher.</w:t>
      </w:r>
      <w:proofErr w:type="gramEnd"/>
      <w:r>
        <w:t xml:space="preserve"> Lothian.1997.42</w:t>
      </w:r>
    </w:p>
  </w:footnote>
  <w:footnote w:id="26">
    <w:p w:rsidR="00A372C9" w:rsidRDefault="00A372C9">
      <w:pPr>
        <w:pStyle w:val="FootnoteText"/>
      </w:pPr>
      <w:r>
        <w:rPr>
          <w:rStyle w:val="FootnoteReference"/>
        </w:rPr>
        <w:footnoteRef/>
      </w:r>
      <w:r>
        <w:t xml:space="preserve"> Bush.1977.27</w:t>
      </w:r>
    </w:p>
  </w:footnote>
  <w:footnote w:id="27">
    <w:p w:rsidR="00CA56B7" w:rsidRDefault="00CA56B7">
      <w:pPr>
        <w:pStyle w:val="FootnoteText"/>
      </w:pPr>
      <w:r>
        <w:rPr>
          <w:rStyle w:val="FootnoteReference"/>
        </w:rPr>
        <w:footnoteRef/>
      </w:r>
      <w:r>
        <w:t xml:space="preserve"> Bush.1977.29</w:t>
      </w:r>
    </w:p>
  </w:footnote>
  <w:footnote w:id="28">
    <w:p w:rsidR="004A1249" w:rsidRDefault="004A1249">
      <w:pPr>
        <w:pStyle w:val="FootnoteText"/>
      </w:pPr>
      <w:r>
        <w:rPr>
          <w:rStyle w:val="FootnoteReference"/>
        </w:rPr>
        <w:footnoteRef/>
      </w:r>
      <w:r>
        <w:t xml:space="preserve"> Taylor.2010.39</w:t>
      </w:r>
    </w:p>
  </w:footnote>
  <w:footnote w:id="29">
    <w:p w:rsidR="008E50FD" w:rsidRDefault="008E50FD">
      <w:pPr>
        <w:pStyle w:val="FootnoteText"/>
      </w:pPr>
      <w:r>
        <w:rPr>
          <w:rStyle w:val="FootnoteReference"/>
        </w:rPr>
        <w:footnoteRef/>
      </w:r>
      <w:r>
        <w:t xml:space="preserve"> Bush.1977.31</w:t>
      </w:r>
    </w:p>
  </w:footnote>
  <w:footnote w:id="30">
    <w:p w:rsidR="00996821" w:rsidRDefault="00996821">
      <w:pPr>
        <w:pStyle w:val="FootnoteText"/>
      </w:pPr>
      <w:r>
        <w:rPr>
          <w:rStyle w:val="FootnoteReference"/>
        </w:rPr>
        <w:footnoteRef/>
      </w:r>
      <w:r>
        <w:t xml:space="preserve"> Bush.1977.31</w:t>
      </w:r>
    </w:p>
  </w:footnote>
  <w:footnote w:id="31">
    <w:p w:rsidR="00996821" w:rsidRDefault="00996821">
      <w:pPr>
        <w:pStyle w:val="FootnoteText"/>
      </w:pPr>
      <w:r>
        <w:rPr>
          <w:rStyle w:val="FootnoteReference"/>
        </w:rPr>
        <w:footnoteRef/>
      </w:r>
      <w:r>
        <w:t xml:space="preserve"> Bush.1977.32</w:t>
      </w:r>
    </w:p>
  </w:footnote>
  <w:footnote w:id="32">
    <w:p w:rsidR="00DA4500" w:rsidRDefault="00DA4500">
      <w:pPr>
        <w:pStyle w:val="FootnoteText"/>
      </w:pPr>
      <w:r>
        <w:rPr>
          <w:rStyle w:val="FootnoteReference"/>
        </w:rPr>
        <w:footnoteRef/>
      </w:r>
      <w:r>
        <w:t xml:space="preserve"> Bush.1977.32</w:t>
      </w:r>
    </w:p>
  </w:footnote>
  <w:footnote w:id="33">
    <w:p w:rsidR="008B28D6" w:rsidRDefault="008B28D6">
      <w:pPr>
        <w:pStyle w:val="FootnoteText"/>
      </w:pPr>
      <w:r>
        <w:rPr>
          <w:rStyle w:val="FootnoteReference"/>
        </w:rPr>
        <w:footnoteRef/>
      </w:r>
      <w:r>
        <w:t xml:space="preserve"> </w:t>
      </w:r>
      <w:proofErr w:type="gramStart"/>
      <w:r w:rsidRPr="008B28D6">
        <w:t>Jordan.1992.158. 170.</w:t>
      </w:r>
      <w:proofErr w:type="gramEnd"/>
      <w:r w:rsidRPr="008B28D6">
        <w:t xml:space="preserve"> 62</w:t>
      </w:r>
      <w:r>
        <w:t>. Shaw.2014.23</w:t>
      </w:r>
    </w:p>
  </w:footnote>
  <w:footnote w:id="34">
    <w:p w:rsidR="001B6197" w:rsidRDefault="001B6197">
      <w:pPr>
        <w:pStyle w:val="FootnoteText"/>
      </w:pPr>
      <w:r>
        <w:rPr>
          <w:rStyle w:val="FootnoteReference"/>
        </w:rPr>
        <w:footnoteRef/>
      </w:r>
      <w:r>
        <w:t xml:space="preserve"> </w:t>
      </w:r>
      <w:r w:rsidRPr="001B6197">
        <w:t>Jordan.1992.41</w:t>
      </w:r>
    </w:p>
  </w:footnote>
  <w:footnote w:id="35">
    <w:p w:rsidR="001B6197" w:rsidRDefault="001B6197">
      <w:pPr>
        <w:pStyle w:val="FootnoteText"/>
      </w:pPr>
      <w:r>
        <w:rPr>
          <w:rStyle w:val="FootnoteReference"/>
        </w:rPr>
        <w:footnoteRef/>
      </w:r>
      <w:r>
        <w:t xml:space="preserve"> New World Encyclopaedia.2008</w:t>
      </w:r>
    </w:p>
  </w:footnote>
  <w:footnote w:id="36">
    <w:p w:rsidR="00346C83" w:rsidRDefault="00346C83">
      <w:pPr>
        <w:pStyle w:val="FootnoteText"/>
      </w:pPr>
      <w:r>
        <w:rPr>
          <w:rStyle w:val="FootnoteReference"/>
        </w:rPr>
        <w:footnoteRef/>
      </w:r>
      <w:r>
        <w:t xml:space="preserve"> Shaw.2014.20</w:t>
      </w:r>
    </w:p>
  </w:footnote>
  <w:footnote w:id="37">
    <w:p w:rsidR="00B31EC2" w:rsidRDefault="00B31EC2">
      <w:pPr>
        <w:pStyle w:val="FootnoteText"/>
      </w:pPr>
      <w:r>
        <w:rPr>
          <w:rStyle w:val="FootnoteReference"/>
        </w:rPr>
        <w:footnoteRef/>
      </w:r>
      <w:r>
        <w:t xml:space="preserve"> </w:t>
      </w:r>
      <w:r w:rsidR="00D2607E" w:rsidRPr="00D2607E">
        <w:t>www.reshafim.org</w:t>
      </w:r>
      <w:r w:rsidR="00D2607E">
        <w:t>. Pinch.2008.176</w:t>
      </w:r>
    </w:p>
  </w:footnote>
  <w:footnote w:id="38">
    <w:p w:rsidR="00C1474D" w:rsidRDefault="00C1474D">
      <w:pPr>
        <w:pStyle w:val="FootnoteText"/>
      </w:pPr>
      <w:r>
        <w:rPr>
          <w:rStyle w:val="FootnoteReference"/>
        </w:rPr>
        <w:footnoteRef/>
      </w:r>
      <w:r>
        <w:t xml:space="preserve"> </w:t>
      </w:r>
      <w:r w:rsidRPr="00C1474D">
        <w:t>Tyldesly.2011.37</w:t>
      </w:r>
      <w:r>
        <w:t xml:space="preserve">. </w:t>
      </w:r>
      <w:r w:rsidRPr="00C1474D">
        <w:t>An</w:t>
      </w:r>
      <w:r>
        <w:t>, Turner,</w:t>
      </w:r>
      <w:r w:rsidRPr="00C1474D">
        <w:t xml:space="preserve"> Yang.2008.6</w:t>
      </w:r>
      <w:r>
        <w:t>4-</w:t>
      </w:r>
      <w:r w:rsidRPr="00C1474D">
        <w:t>5</w:t>
      </w:r>
    </w:p>
  </w:footnote>
  <w:footnote w:id="39">
    <w:p w:rsidR="003E090F" w:rsidRDefault="003E090F">
      <w:pPr>
        <w:pStyle w:val="FootnoteText"/>
      </w:pPr>
      <w:r>
        <w:rPr>
          <w:rStyle w:val="FootnoteReference"/>
        </w:rPr>
        <w:footnoteRef/>
      </w:r>
      <w:r>
        <w:t xml:space="preserve"> </w:t>
      </w:r>
      <w:proofErr w:type="gramStart"/>
      <w:r w:rsidRPr="00C1474D">
        <w:t>Tyldesly.2011.37</w:t>
      </w:r>
      <w:r w:rsidR="004D1305">
        <w:t>.</w:t>
      </w:r>
      <w:proofErr w:type="gramEnd"/>
    </w:p>
  </w:footnote>
  <w:footnote w:id="40">
    <w:p w:rsidR="003E090F" w:rsidRDefault="003E090F">
      <w:pPr>
        <w:pStyle w:val="FootnoteText"/>
      </w:pPr>
      <w:r>
        <w:rPr>
          <w:rStyle w:val="FootnoteReference"/>
        </w:rPr>
        <w:footnoteRef/>
      </w:r>
      <w:r>
        <w:t xml:space="preserve"> </w:t>
      </w:r>
      <w:r w:rsidR="004D1305" w:rsidRPr="00C1474D">
        <w:t>An</w:t>
      </w:r>
      <w:r w:rsidR="004D1305">
        <w:t>, Turner,</w:t>
      </w:r>
      <w:r w:rsidR="004D1305" w:rsidRPr="00C1474D">
        <w:t xml:space="preserve"> Yang.2008.6</w:t>
      </w:r>
      <w:r w:rsidR="004D1305">
        <w:t>4-</w:t>
      </w:r>
      <w:r w:rsidR="004D1305" w:rsidRPr="00C1474D">
        <w:t>5</w:t>
      </w:r>
    </w:p>
  </w:footnote>
  <w:footnote w:id="41">
    <w:p w:rsidR="004D1305" w:rsidRDefault="004D1305">
      <w:pPr>
        <w:pStyle w:val="FootnoteText"/>
      </w:pPr>
      <w:r>
        <w:rPr>
          <w:rStyle w:val="FootnoteReference"/>
        </w:rPr>
        <w:footnoteRef/>
      </w:r>
      <w:r>
        <w:t xml:space="preserve"> </w:t>
      </w:r>
      <w:r w:rsidRPr="004D1305">
        <w:t>Shinn, Eisenman.2012.20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6C9"/>
    <w:rsid w:val="00062882"/>
    <w:rsid w:val="000844B1"/>
    <w:rsid w:val="00135A8D"/>
    <w:rsid w:val="001854F2"/>
    <w:rsid w:val="001A4ED8"/>
    <w:rsid w:val="001B6197"/>
    <w:rsid w:val="001C26C9"/>
    <w:rsid w:val="00292BAE"/>
    <w:rsid w:val="002A2CB9"/>
    <w:rsid w:val="002A3A88"/>
    <w:rsid w:val="002C0AE4"/>
    <w:rsid w:val="002D6F18"/>
    <w:rsid w:val="002F2A55"/>
    <w:rsid w:val="00311BE9"/>
    <w:rsid w:val="00325650"/>
    <w:rsid w:val="00337F07"/>
    <w:rsid w:val="00346C83"/>
    <w:rsid w:val="00347CC9"/>
    <w:rsid w:val="0038481D"/>
    <w:rsid w:val="003B3903"/>
    <w:rsid w:val="003E090F"/>
    <w:rsid w:val="003E7B26"/>
    <w:rsid w:val="003F2163"/>
    <w:rsid w:val="00482320"/>
    <w:rsid w:val="00485EBB"/>
    <w:rsid w:val="004A1249"/>
    <w:rsid w:val="004A1ADA"/>
    <w:rsid w:val="004A30B3"/>
    <w:rsid w:val="004D1305"/>
    <w:rsid w:val="00540931"/>
    <w:rsid w:val="005513AA"/>
    <w:rsid w:val="005C4C11"/>
    <w:rsid w:val="005E6D79"/>
    <w:rsid w:val="00604D72"/>
    <w:rsid w:val="00643180"/>
    <w:rsid w:val="006A61EC"/>
    <w:rsid w:val="006E24C4"/>
    <w:rsid w:val="00712792"/>
    <w:rsid w:val="00713B4C"/>
    <w:rsid w:val="00741DFD"/>
    <w:rsid w:val="007A1017"/>
    <w:rsid w:val="007A4812"/>
    <w:rsid w:val="007B5402"/>
    <w:rsid w:val="007F5FFC"/>
    <w:rsid w:val="00803CD8"/>
    <w:rsid w:val="00814B36"/>
    <w:rsid w:val="00846003"/>
    <w:rsid w:val="00855569"/>
    <w:rsid w:val="008702FE"/>
    <w:rsid w:val="008B28D6"/>
    <w:rsid w:val="008B387F"/>
    <w:rsid w:val="008E50FD"/>
    <w:rsid w:val="0093172A"/>
    <w:rsid w:val="00962451"/>
    <w:rsid w:val="009950D3"/>
    <w:rsid w:val="00996821"/>
    <w:rsid w:val="009C6918"/>
    <w:rsid w:val="009C7B27"/>
    <w:rsid w:val="00A3542E"/>
    <w:rsid w:val="00A372C9"/>
    <w:rsid w:val="00A46698"/>
    <w:rsid w:val="00A735C1"/>
    <w:rsid w:val="00A76419"/>
    <w:rsid w:val="00AA3729"/>
    <w:rsid w:val="00AC013C"/>
    <w:rsid w:val="00AF3014"/>
    <w:rsid w:val="00B31EC2"/>
    <w:rsid w:val="00B4300B"/>
    <w:rsid w:val="00B75F35"/>
    <w:rsid w:val="00B8289A"/>
    <w:rsid w:val="00BA461D"/>
    <w:rsid w:val="00BC1A03"/>
    <w:rsid w:val="00C1474D"/>
    <w:rsid w:val="00C50D0B"/>
    <w:rsid w:val="00C5747C"/>
    <w:rsid w:val="00C70564"/>
    <w:rsid w:val="00CA56B7"/>
    <w:rsid w:val="00CD1F96"/>
    <w:rsid w:val="00CF6182"/>
    <w:rsid w:val="00D2607E"/>
    <w:rsid w:val="00D414B6"/>
    <w:rsid w:val="00D43F6D"/>
    <w:rsid w:val="00D4514A"/>
    <w:rsid w:val="00D55D54"/>
    <w:rsid w:val="00D62138"/>
    <w:rsid w:val="00DA4500"/>
    <w:rsid w:val="00DD0D5F"/>
    <w:rsid w:val="00DD42F1"/>
    <w:rsid w:val="00E23692"/>
    <w:rsid w:val="00E36070"/>
    <w:rsid w:val="00E4064C"/>
    <w:rsid w:val="00E45E54"/>
    <w:rsid w:val="00E476DA"/>
    <w:rsid w:val="00E64A63"/>
    <w:rsid w:val="00E826CA"/>
    <w:rsid w:val="00E84982"/>
    <w:rsid w:val="00E96D1D"/>
    <w:rsid w:val="00EA33C5"/>
    <w:rsid w:val="00EB7890"/>
    <w:rsid w:val="00EC722C"/>
    <w:rsid w:val="00ED1C4D"/>
    <w:rsid w:val="00ED66DC"/>
    <w:rsid w:val="00EE1FF2"/>
    <w:rsid w:val="00F362E8"/>
    <w:rsid w:val="00F849FB"/>
    <w:rsid w:val="00FB5811"/>
    <w:rsid w:val="00FE1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64A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4A63"/>
    <w:rPr>
      <w:sz w:val="20"/>
      <w:szCs w:val="20"/>
    </w:rPr>
  </w:style>
  <w:style w:type="character" w:styleId="FootnoteReference">
    <w:name w:val="footnote reference"/>
    <w:basedOn w:val="DefaultParagraphFont"/>
    <w:uiPriority w:val="99"/>
    <w:semiHidden/>
    <w:unhideWhenUsed/>
    <w:rsid w:val="00E64A63"/>
    <w:rPr>
      <w:vertAlign w:val="superscript"/>
    </w:rPr>
  </w:style>
  <w:style w:type="paragraph" w:styleId="Header">
    <w:name w:val="header"/>
    <w:basedOn w:val="Normal"/>
    <w:link w:val="HeaderChar"/>
    <w:uiPriority w:val="99"/>
    <w:unhideWhenUsed/>
    <w:rsid w:val="00A735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5C1"/>
  </w:style>
  <w:style w:type="paragraph" w:styleId="Footer">
    <w:name w:val="footer"/>
    <w:basedOn w:val="Normal"/>
    <w:link w:val="FooterChar"/>
    <w:uiPriority w:val="99"/>
    <w:unhideWhenUsed/>
    <w:rsid w:val="00A735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5C1"/>
  </w:style>
  <w:style w:type="paragraph" w:styleId="BalloonText">
    <w:name w:val="Balloon Text"/>
    <w:basedOn w:val="Normal"/>
    <w:link w:val="BalloonTextChar"/>
    <w:uiPriority w:val="99"/>
    <w:semiHidden/>
    <w:unhideWhenUsed/>
    <w:rsid w:val="00A73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5C1"/>
    <w:rPr>
      <w:rFonts w:ascii="Tahoma" w:hAnsi="Tahoma" w:cs="Tahoma"/>
      <w:sz w:val="16"/>
      <w:szCs w:val="16"/>
    </w:rPr>
  </w:style>
  <w:style w:type="character" w:styleId="Hyperlink">
    <w:name w:val="Hyperlink"/>
    <w:basedOn w:val="DefaultParagraphFont"/>
    <w:uiPriority w:val="99"/>
    <w:unhideWhenUsed/>
    <w:rsid w:val="00D2607E"/>
    <w:rPr>
      <w:color w:val="0000FF" w:themeColor="hyperlink"/>
      <w:u w:val="single"/>
    </w:rPr>
  </w:style>
  <w:style w:type="paragraph" w:styleId="NormalWeb">
    <w:name w:val="Normal (Web)"/>
    <w:basedOn w:val="Normal"/>
    <w:uiPriority w:val="99"/>
    <w:semiHidden/>
    <w:unhideWhenUsed/>
    <w:rsid w:val="003E090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64A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4A63"/>
    <w:rPr>
      <w:sz w:val="20"/>
      <w:szCs w:val="20"/>
    </w:rPr>
  </w:style>
  <w:style w:type="character" w:styleId="FootnoteReference">
    <w:name w:val="footnote reference"/>
    <w:basedOn w:val="DefaultParagraphFont"/>
    <w:uiPriority w:val="99"/>
    <w:semiHidden/>
    <w:unhideWhenUsed/>
    <w:rsid w:val="00E64A63"/>
    <w:rPr>
      <w:vertAlign w:val="superscript"/>
    </w:rPr>
  </w:style>
  <w:style w:type="paragraph" w:styleId="Header">
    <w:name w:val="header"/>
    <w:basedOn w:val="Normal"/>
    <w:link w:val="HeaderChar"/>
    <w:uiPriority w:val="99"/>
    <w:unhideWhenUsed/>
    <w:rsid w:val="00A735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5C1"/>
  </w:style>
  <w:style w:type="paragraph" w:styleId="Footer">
    <w:name w:val="footer"/>
    <w:basedOn w:val="Normal"/>
    <w:link w:val="FooterChar"/>
    <w:uiPriority w:val="99"/>
    <w:unhideWhenUsed/>
    <w:rsid w:val="00A735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5C1"/>
  </w:style>
  <w:style w:type="paragraph" w:styleId="BalloonText">
    <w:name w:val="Balloon Text"/>
    <w:basedOn w:val="Normal"/>
    <w:link w:val="BalloonTextChar"/>
    <w:uiPriority w:val="99"/>
    <w:semiHidden/>
    <w:unhideWhenUsed/>
    <w:rsid w:val="00A73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5C1"/>
    <w:rPr>
      <w:rFonts w:ascii="Tahoma" w:hAnsi="Tahoma" w:cs="Tahoma"/>
      <w:sz w:val="16"/>
      <w:szCs w:val="16"/>
    </w:rPr>
  </w:style>
  <w:style w:type="character" w:styleId="Hyperlink">
    <w:name w:val="Hyperlink"/>
    <w:basedOn w:val="DefaultParagraphFont"/>
    <w:uiPriority w:val="99"/>
    <w:unhideWhenUsed/>
    <w:rsid w:val="00D2607E"/>
    <w:rPr>
      <w:color w:val="0000FF" w:themeColor="hyperlink"/>
      <w:u w:val="single"/>
    </w:rPr>
  </w:style>
  <w:style w:type="paragraph" w:styleId="NormalWeb">
    <w:name w:val="Normal (Web)"/>
    <w:basedOn w:val="Normal"/>
    <w:uiPriority w:val="99"/>
    <w:semiHidden/>
    <w:unhideWhenUsed/>
    <w:rsid w:val="003E090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24518">
      <w:bodyDiv w:val="1"/>
      <w:marLeft w:val="0"/>
      <w:marRight w:val="0"/>
      <w:marTop w:val="0"/>
      <w:marBottom w:val="0"/>
      <w:divBdr>
        <w:top w:val="none" w:sz="0" w:space="0" w:color="auto"/>
        <w:left w:val="none" w:sz="0" w:space="0" w:color="auto"/>
        <w:bottom w:val="none" w:sz="0" w:space="0" w:color="auto"/>
        <w:right w:val="none" w:sz="0" w:space="0" w:color="auto"/>
      </w:divBdr>
    </w:div>
    <w:div w:id="906643742">
      <w:bodyDiv w:val="1"/>
      <w:marLeft w:val="0"/>
      <w:marRight w:val="0"/>
      <w:marTop w:val="0"/>
      <w:marBottom w:val="0"/>
      <w:divBdr>
        <w:top w:val="none" w:sz="0" w:space="0" w:color="auto"/>
        <w:left w:val="none" w:sz="0" w:space="0" w:color="auto"/>
        <w:bottom w:val="none" w:sz="0" w:space="0" w:color="auto"/>
        <w:right w:val="none" w:sz="0" w:space="0" w:color="auto"/>
      </w:divBdr>
      <w:divsChild>
        <w:div w:id="523246672">
          <w:marLeft w:val="360"/>
          <w:marRight w:val="0"/>
          <w:marTop w:val="86"/>
          <w:marBottom w:val="0"/>
          <w:divBdr>
            <w:top w:val="none" w:sz="0" w:space="0" w:color="auto"/>
            <w:left w:val="none" w:sz="0" w:space="0" w:color="auto"/>
            <w:bottom w:val="none" w:sz="0" w:space="0" w:color="auto"/>
            <w:right w:val="none" w:sz="0" w:space="0" w:color="auto"/>
          </w:divBdr>
        </w:div>
      </w:divsChild>
    </w:div>
    <w:div w:id="993608457">
      <w:bodyDiv w:val="1"/>
      <w:marLeft w:val="0"/>
      <w:marRight w:val="0"/>
      <w:marTop w:val="0"/>
      <w:marBottom w:val="0"/>
      <w:divBdr>
        <w:top w:val="none" w:sz="0" w:space="0" w:color="auto"/>
        <w:left w:val="none" w:sz="0" w:space="0" w:color="auto"/>
        <w:bottom w:val="none" w:sz="0" w:space="0" w:color="auto"/>
        <w:right w:val="none" w:sz="0" w:space="0" w:color="auto"/>
      </w:divBdr>
      <w:divsChild>
        <w:div w:id="693305405">
          <w:marLeft w:val="360"/>
          <w:marRight w:val="0"/>
          <w:marTop w:val="86"/>
          <w:marBottom w:val="0"/>
          <w:divBdr>
            <w:top w:val="none" w:sz="0" w:space="0" w:color="auto"/>
            <w:left w:val="none" w:sz="0" w:space="0" w:color="auto"/>
            <w:bottom w:val="none" w:sz="0" w:space="0" w:color="auto"/>
            <w:right w:val="none" w:sz="0" w:space="0" w:color="auto"/>
          </w:divBdr>
        </w:div>
      </w:divsChild>
    </w:div>
    <w:div w:id="1241451392">
      <w:bodyDiv w:val="1"/>
      <w:marLeft w:val="0"/>
      <w:marRight w:val="0"/>
      <w:marTop w:val="0"/>
      <w:marBottom w:val="0"/>
      <w:divBdr>
        <w:top w:val="none" w:sz="0" w:space="0" w:color="auto"/>
        <w:left w:val="none" w:sz="0" w:space="0" w:color="auto"/>
        <w:bottom w:val="none" w:sz="0" w:space="0" w:color="auto"/>
        <w:right w:val="none" w:sz="0" w:space="0" w:color="auto"/>
      </w:divBdr>
      <w:divsChild>
        <w:div w:id="563955986">
          <w:marLeft w:val="360"/>
          <w:marRight w:val="0"/>
          <w:marTop w:val="86"/>
          <w:marBottom w:val="0"/>
          <w:divBdr>
            <w:top w:val="none" w:sz="0" w:space="0" w:color="auto"/>
            <w:left w:val="none" w:sz="0" w:space="0" w:color="auto"/>
            <w:bottom w:val="none" w:sz="0" w:space="0" w:color="auto"/>
            <w:right w:val="none" w:sz="0" w:space="0" w:color="auto"/>
          </w:divBdr>
        </w:div>
      </w:divsChild>
    </w:div>
    <w:div w:id="1491213586">
      <w:bodyDiv w:val="1"/>
      <w:marLeft w:val="0"/>
      <w:marRight w:val="0"/>
      <w:marTop w:val="0"/>
      <w:marBottom w:val="0"/>
      <w:divBdr>
        <w:top w:val="none" w:sz="0" w:space="0" w:color="auto"/>
        <w:left w:val="none" w:sz="0" w:space="0" w:color="auto"/>
        <w:bottom w:val="none" w:sz="0" w:space="0" w:color="auto"/>
        <w:right w:val="none" w:sz="0" w:space="0" w:color="auto"/>
      </w:divBdr>
      <w:divsChild>
        <w:div w:id="686322652">
          <w:marLeft w:val="360"/>
          <w:marRight w:val="0"/>
          <w:marTop w:val="77"/>
          <w:marBottom w:val="0"/>
          <w:divBdr>
            <w:top w:val="none" w:sz="0" w:space="0" w:color="auto"/>
            <w:left w:val="none" w:sz="0" w:space="0" w:color="auto"/>
            <w:bottom w:val="none" w:sz="0" w:space="0" w:color="auto"/>
            <w:right w:val="none" w:sz="0" w:space="0" w:color="auto"/>
          </w:divBdr>
        </w:div>
      </w:divsChild>
    </w:div>
    <w:div w:id="1758675523">
      <w:bodyDiv w:val="1"/>
      <w:marLeft w:val="0"/>
      <w:marRight w:val="0"/>
      <w:marTop w:val="0"/>
      <w:marBottom w:val="0"/>
      <w:divBdr>
        <w:top w:val="none" w:sz="0" w:space="0" w:color="auto"/>
        <w:left w:val="none" w:sz="0" w:space="0" w:color="auto"/>
        <w:bottom w:val="none" w:sz="0" w:space="0" w:color="auto"/>
        <w:right w:val="none" w:sz="0" w:space="0" w:color="auto"/>
      </w:divBdr>
      <w:divsChild>
        <w:div w:id="520973716">
          <w:marLeft w:val="360"/>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png"/><Relationship Id="rId5" Type="http://schemas.openxmlformats.org/officeDocument/2006/relationships/webSettings" Target="webSettings.xml"/><Relationship Id="rId10"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F15E8-6029-45A5-B91E-76244E349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7988</TotalTime>
  <Pages>13</Pages>
  <Words>2841</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amyba</dc:creator>
  <cp:lastModifiedBy>amyba</cp:lastModifiedBy>
  <cp:revision>59</cp:revision>
  <dcterms:created xsi:type="dcterms:W3CDTF">2018-02-12T10:44:00Z</dcterms:created>
  <dcterms:modified xsi:type="dcterms:W3CDTF">2018-05-18T13:39:00Z</dcterms:modified>
</cp:coreProperties>
</file>