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0BB55" w14:textId="77777777" w:rsidR="00753955" w:rsidRDefault="00753955">
      <w:pPr>
        <w:pStyle w:val="Normal1"/>
        <w:spacing w:before="240" w:after="240"/>
        <w:jc w:val="center"/>
        <w:rPr>
          <w:rFonts w:ascii="Times New Roman" w:eastAsia="Times New Roman" w:hAnsi="Times New Roman" w:cs="Times New Roman"/>
          <w:b/>
          <w:sz w:val="32"/>
          <w:szCs w:val="32"/>
        </w:rPr>
      </w:pPr>
    </w:p>
    <w:p w14:paraId="353F81F9" w14:textId="77777777" w:rsidR="00753955" w:rsidRDefault="00753955">
      <w:pPr>
        <w:pStyle w:val="Normal1"/>
        <w:spacing w:before="240" w:after="240"/>
        <w:jc w:val="center"/>
        <w:rPr>
          <w:rFonts w:ascii="Times New Roman" w:eastAsia="Times New Roman" w:hAnsi="Times New Roman" w:cs="Times New Roman"/>
          <w:b/>
          <w:sz w:val="32"/>
          <w:szCs w:val="32"/>
        </w:rPr>
      </w:pPr>
    </w:p>
    <w:p w14:paraId="6069FBFB" w14:textId="77777777" w:rsidR="00753955" w:rsidRDefault="00753955">
      <w:pPr>
        <w:pStyle w:val="Normal1"/>
        <w:spacing w:before="240" w:after="240"/>
        <w:jc w:val="center"/>
        <w:rPr>
          <w:rFonts w:ascii="Times New Roman" w:eastAsia="Times New Roman" w:hAnsi="Times New Roman" w:cs="Times New Roman"/>
          <w:b/>
          <w:sz w:val="32"/>
          <w:szCs w:val="32"/>
        </w:rPr>
      </w:pPr>
    </w:p>
    <w:p w14:paraId="0F838884" w14:textId="6893D32F" w:rsidR="000172CE" w:rsidRPr="00917502" w:rsidRDefault="000172CE" w:rsidP="000172CE">
      <w:pPr>
        <w:jc w:val="center"/>
        <w:rPr>
          <w:rFonts w:ascii="Times New Roman" w:eastAsia="Times New Roman" w:hAnsi="Times New Roman" w:cs="Times New Roman"/>
          <w:b/>
          <w:bCs/>
          <w:i/>
          <w:iCs/>
          <w:sz w:val="56"/>
          <w:szCs w:val="56"/>
          <w:lang w:val="fr-FR"/>
        </w:rPr>
      </w:pPr>
      <w:r>
        <w:rPr>
          <w:rFonts w:ascii="Times New Roman" w:hAnsi="Times New Roman" w:cs="Times New Roman"/>
          <w:b/>
          <w:bCs/>
          <w:i/>
          <w:iCs/>
          <w:sz w:val="56"/>
          <w:szCs w:val="56"/>
          <w:lang w:val="fr-FR"/>
        </w:rPr>
        <w:t xml:space="preserve">Management </w:t>
      </w:r>
      <w:proofErr w:type="spellStart"/>
      <w:r>
        <w:rPr>
          <w:rFonts w:ascii="Times New Roman" w:hAnsi="Times New Roman" w:cs="Times New Roman"/>
          <w:b/>
          <w:bCs/>
          <w:i/>
          <w:iCs/>
          <w:sz w:val="56"/>
          <w:szCs w:val="56"/>
          <w:lang w:val="fr-FR"/>
        </w:rPr>
        <w:t>Economics</w:t>
      </w:r>
      <w:proofErr w:type="spellEnd"/>
    </w:p>
    <w:p w14:paraId="4418F603" w14:textId="77777777" w:rsidR="000172CE" w:rsidRDefault="000172CE" w:rsidP="000172CE">
      <w:pPr>
        <w:rPr>
          <w:rFonts w:ascii="Times New Roman" w:eastAsia="Times New Roman" w:hAnsi="Times New Roman" w:cs="Times New Roman"/>
          <w:b/>
          <w:bCs/>
          <w:i/>
          <w:iCs/>
          <w:sz w:val="48"/>
          <w:szCs w:val="48"/>
          <w:lang w:val="fr-FR"/>
        </w:rPr>
      </w:pPr>
    </w:p>
    <w:p w14:paraId="0CA2A490" w14:textId="77777777" w:rsidR="000172CE" w:rsidRPr="00917502" w:rsidRDefault="000172CE" w:rsidP="000172CE">
      <w:pPr>
        <w:rPr>
          <w:rFonts w:ascii="Times New Roman" w:eastAsia="Times New Roman" w:hAnsi="Times New Roman" w:cs="Times New Roman"/>
          <w:b/>
          <w:bCs/>
          <w:i/>
          <w:iCs/>
          <w:sz w:val="56"/>
          <w:szCs w:val="56"/>
          <w:lang w:val="fr-FR"/>
        </w:rPr>
      </w:pPr>
      <w:r w:rsidRPr="00917502">
        <w:rPr>
          <w:rFonts w:ascii="Times New Roman" w:eastAsia="Times New Roman" w:hAnsi="Times New Roman" w:cs="Times New Roman"/>
          <w:b/>
          <w:bCs/>
          <w:i/>
          <w:iCs/>
          <w:sz w:val="48"/>
          <w:szCs w:val="48"/>
          <w:lang w:val="fr-FR"/>
        </w:rPr>
        <w:t>Module code</w:t>
      </w:r>
      <w:r w:rsidRPr="00917502">
        <w:rPr>
          <w:rFonts w:ascii="Times New Roman" w:eastAsia="Times New Roman" w:hAnsi="Times New Roman" w:cs="Times New Roman"/>
          <w:b/>
          <w:bCs/>
          <w:i/>
          <w:iCs/>
          <w:sz w:val="56"/>
          <w:szCs w:val="56"/>
          <w:lang w:val="fr-FR"/>
        </w:rPr>
        <w:t xml:space="preserve">: </w:t>
      </w:r>
      <w:r w:rsidRPr="00917502">
        <w:rPr>
          <w:rFonts w:ascii="Times New Roman" w:hAnsi="Times New Roman" w:cs="Times New Roman"/>
          <w:b/>
          <w:bCs/>
          <w:i/>
          <w:iCs/>
          <w:sz w:val="52"/>
          <w:szCs w:val="52"/>
          <w:lang w:val="fr-FR"/>
        </w:rPr>
        <w:t>LCBB5001</w:t>
      </w:r>
    </w:p>
    <w:p w14:paraId="568FE920" w14:textId="77777777" w:rsidR="000172CE" w:rsidRPr="00917502" w:rsidRDefault="000172CE" w:rsidP="000172CE">
      <w:pPr>
        <w:jc w:val="center"/>
        <w:rPr>
          <w:rFonts w:ascii="Times New Roman" w:eastAsia="Times New Roman" w:hAnsi="Times New Roman" w:cs="Times New Roman"/>
          <w:b/>
          <w:bCs/>
          <w:i/>
          <w:iCs/>
          <w:sz w:val="56"/>
          <w:szCs w:val="56"/>
          <w:lang w:val="fr-FR"/>
        </w:rPr>
      </w:pPr>
    </w:p>
    <w:p w14:paraId="69EF4F08" w14:textId="77777777" w:rsidR="000172CE" w:rsidRDefault="000172CE" w:rsidP="000172CE">
      <w:pPr>
        <w:rPr>
          <w:rFonts w:ascii="Times New Roman" w:eastAsia="Times New Roman" w:hAnsi="Times New Roman" w:cs="Times New Roman"/>
          <w:b/>
          <w:bCs/>
          <w:i/>
          <w:iCs/>
          <w:sz w:val="48"/>
          <w:szCs w:val="48"/>
          <w:lang w:val="fr-FR"/>
        </w:rPr>
      </w:pPr>
    </w:p>
    <w:p w14:paraId="1CB7E104" w14:textId="77777777" w:rsidR="000172CE" w:rsidRDefault="000172CE" w:rsidP="000172CE">
      <w:pPr>
        <w:rPr>
          <w:rFonts w:ascii="Times New Roman" w:eastAsia="Times New Roman" w:hAnsi="Times New Roman" w:cs="Times New Roman"/>
          <w:b/>
          <w:bCs/>
          <w:i/>
          <w:iCs/>
          <w:sz w:val="56"/>
          <w:szCs w:val="56"/>
          <w:lang w:val="fr-FR"/>
        </w:rPr>
      </w:pPr>
      <w:proofErr w:type="spellStart"/>
      <w:r w:rsidRPr="00917502">
        <w:rPr>
          <w:rFonts w:ascii="Times New Roman" w:eastAsia="Times New Roman" w:hAnsi="Times New Roman" w:cs="Times New Roman"/>
          <w:b/>
          <w:bCs/>
          <w:i/>
          <w:iCs/>
          <w:sz w:val="48"/>
          <w:szCs w:val="48"/>
          <w:lang w:val="fr-FR"/>
        </w:rPr>
        <w:t>Assessment</w:t>
      </w:r>
      <w:proofErr w:type="spellEnd"/>
      <w:r w:rsidRPr="00917502">
        <w:rPr>
          <w:rFonts w:ascii="Times New Roman" w:eastAsia="Times New Roman" w:hAnsi="Times New Roman" w:cs="Times New Roman"/>
          <w:b/>
          <w:bCs/>
          <w:i/>
          <w:iCs/>
          <w:sz w:val="56"/>
          <w:szCs w:val="56"/>
          <w:lang w:val="fr-FR"/>
        </w:rPr>
        <w:t xml:space="preserve"> 1 </w:t>
      </w:r>
      <w:r>
        <w:rPr>
          <w:rFonts w:ascii="Times New Roman" w:eastAsia="Times New Roman" w:hAnsi="Times New Roman" w:cs="Times New Roman"/>
          <w:b/>
          <w:bCs/>
          <w:i/>
          <w:iCs/>
          <w:sz w:val="56"/>
          <w:szCs w:val="56"/>
          <w:lang w:val="fr-FR"/>
        </w:rPr>
        <w:t xml:space="preserve">– </w:t>
      </w:r>
    </w:p>
    <w:p w14:paraId="55401AA3" w14:textId="77777777" w:rsidR="000172CE" w:rsidRDefault="000172CE" w:rsidP="000172CE">
      <w:pPr>
        <w:rPr>
          <w:rFonts w:ascii="Times New Roman" w:eastAsia="Times New Roman" w:hAnsi="Times New Roman" w:cs="Times New Roman"/>
          <w:b/>
          <w:bCs/>
          <w:i/>
          <w:iCs/>
          <w:sz w:val="56"/>
          <w:szCs w:val="56"/>
          <w:lang w:val="fr-FR"/>
        </w:rPr>
      </w:pPr>
    </w:p>
    <w:p w14:paraId="174AC44C" w14:textId="77777777" w:rsidR="000172CE" w:rsidRPr="000172CE" w:rsidRDefault="000172CE" w:rsidP="000172CE">
      <w:pPr>
        <w:rPr>
          <w:rFonts w:ascii="Times New Roman" w:eastAsia="Times New Roman" w:hAnsi="Times New Roman" w:cs="Times New Roman"/>
          <w:b/>
          <w:bCs/>
          <w:i/>
          <w:iCs/>
          <w:sz w:val="48"/>
          <w:szCs w:val="48"/>
          <w:lang w:val="fr-FR"/>
        </w:rPr>
      </w:pPr>
    </w:p>
    <w:p w14:paraId="2A594C5C" w14:textId="77777777" w:rsidR="000172CE" w:rsidRPr="000172CE" w:rsidRDefault="000172CE" w:rsidP="000172CE">
      <w:pPr>
        <w:rPr>
          <w:rFonts w:ascii="Times New Roman" w:eastAsia="Times New Roman" w:hAnsi="Times New Roman" w:cs="Times New Roman"/>
          <w:b/>
          <w:bCs/>
          <w:i/>
          <w:iCs/>
          <w:sz w:val="48"/>
          <w:szCs w:val="48"/>
          <w:lang w:val="fr-FR"/>
        </w:rPr>
      </w:pPr>
    </w:p>
    <w:p w14:paraId="3ED33A77" w14:textId="77777777" w:rsidR="000172CE" w:rsidRDefault="000172CE" w:rsidP="000172CE">
      <w:pPr>
        <w:rPr>
          <w:rFonts w:ascii="Times New Roman" w:eastAsia="Times New Roman" w:hAnsi="Times New Roman" w:cs="Times New Roman"/>
          <w:b/>
          <w:bCs/>
          <w:i/>
          <w:iCs/>
          <w:sz w:val="52"/>
          <w:szCs w:val="52"/>
        </w:rPr>
      </w:pPr>
      <w:r w:rsidRPr="00917502">
        <w:rPr>
          <w:rFonts w:ascii="Times New Roman" w:eastAsia="Times New Roman" w:hAnsi="Times New Roman" w:cs="Times New Roman"/>
          <w:b/>
          <w:bCs/>
          <w:i/>
          <w:iCs/>
          <w:sz w:val="48"/>
          <w:szCs w:val="48"/>
        </w:rPr>
        <w:t>Student</w:t>
      </w:r>
      <w:r w:rsidRPr="00917502">
        <w:rPr>
          <w:rFonts w:ascii="Times New Roman" w:eastAsia="Times New Roman" w:hAnsi="Times New Roman" w:cs="Times New Roman"/>
          <w:b/>
          <w:bCs/>
          <w:i/>
          <w:iCs/>
          <w:sz w:val="56"/>
          <w:szCs w:val="56"/>
        </w:rPr>
        <w:t xml:space="preserve"> </w:t>
      </w:r>
      <w:r w:rsidRPr="00917502">
        <w:rPr>
          <w:rFonts w:ascii="Times New Roman" w:eastAsia="Times New Roman" w:hAnsi="Times New Roman" w:cs="Times New Roman"/>
          <w:b/>
          <w:bCs/>
          <w:i/>
          <w:iCs/>
          <w:sz w:val="48"/>
          <w:szCs w:val="48"/>
        </w:rPr>
        <w:t>Name</w:t>
      </w:r>
      <w:r>
        <w:rPr>
          <w:rFonts w:ascii="Times New Roman" w:eastAsia="Times New Roman" w:hAnsi="Times New Roman" w:cs="Times New Roman"/>
          <w:b/>
          <w:bCs/>
          <w:i/>
          <w:iCs/>
          <w:sz w:val="56"/>
          <w:szCs w:val="56"/>
        </w:rPr>
        <w:t xml:space="preserve">: </w:t>
      </w:r>
      <w:r w:rsidRPr="00917502">
        <w:rPr>
          <w:rFonts w:ascii="Times New Roman" w:eastAsia="Times New Roman" w:hAnsi="Times New Roman" w:cs="Times New Roman"/>
          <w:b/>
          <w:bCs/>
          <w:i/>
          <w:iCs/>
          <w:sz w:val="52"/>
          <w:szCs w:val="52"/>
        </w:rPr>
        <w:t>Svetoslav</w:t>
      </w:r>
      <w:r>
        <w:rPr>
          <w:rFonts w:ascii="Times New Roman" w:eastAsia="Times New Roman" w:hAnsi="Times New Roman" w:cs="Times New Roman"/>
          <w:b/>
          <w:bCs/>
          <w:i/>
          <w:iCs/>
          <w:sz w:val="56"/>
          <w:szCs w:val="56"/>
        </w:rPr>
        <w:t xml:space="preserve"> </w:t>
      </w:r>
      <w:r w:rsidRPr="00917502">
        <w:rPr>
          <w:rFonts w:ascii="Times New Roman" w:eastAsia="Times New Roman" w:hAnsi="Times New Roman" w:cs="Times New Roman"/>
          <w:b/>
          <w:bCs/>
          <w:i/>
          <w:iCs/>
          <w:sz w:val="52"/>
          <w:szCs w:val="52"/>
        </w:rPr>
        <w:t>Hristov</w:t>
      </w:r>
      <w:r>
        <w:rPr>
          <w:rFonts w:ascii="Times New Roman" w:eastAsia="Times New Roman" w:hAnsi="Times New Roman" w:cs="Times New Roman"/>
          <w:b/>
          <w:bCs/>
          <w:i/>
          <w:iCs/>
          <w:sz w:val="56"/>
          <w:szCs w:val="56"/>
        </w:rPr>
        <w:t xml:space="preserve"> </w:t>
      </w:r>
      <w:r w:rsidRPr="00917502">
        <w:rPr>
          <w:rFonts w:ascii="Times New Roman" w:eastAsia="Times New Roman" w:hAnsi="Times New Roman" w:cs="Times New Roman"/>
          <w:b/>
          <w:bCs/>
          <w:i/>
          <w:iCs/>
          <w:sz w:val="52"/>
          <w:szCs w:val="52"/>
        </w:rPr>
        <w:t>Radev</w:t>
      </w:r>
    </w:p>
    <w:p w14:paraId="4876C74A" w14:textId="77777777" w:rsidR="000172CE" w:rsidRDefault="000172CE" w:rsidP="000172CE">
      <w:pPr>
        <w:rPr>
          <w:rFonts w:ascii="Times New Roman" w:eastAsia="Times New Roman" w:hAnsi="Times New Roman" w:cs="Times New Roman"/>
          <w:b/>
          <w:bCs/>
          <w:i/>
          <w:iCs/>
          <w:sz w:val="52"/>
          <w:szCs w:val="52"/>
        </w:rPr>
      </w:pPr>
    </w:p>
    <w:p w14:paraId="0FC8367B" w14:textId="77777777" w:rsidR="000172CE" w:rsidRDefault="000172CE" w:rsidP="000172CE">
      <w:pPr>
        <w:rPr>
          <w:rFonts w:ascii="Times New Roman" w:eastAsia="Times New Roman" w:hAnsi="Times New Roman" w:cs="Times New Roman"/>
          <w:b/>
          <w:bCs/>
          <w:i/>
          <w:iCs/>
          <w:sz w:val="52"/>
          <w:szCs w:val="52"/>
        </w:rPr>
      </w:pPr>
      <w:r w:rsidRPr="00917502">
        <w:rPr>
          <w:rFonts w:ascii="Times New Roman" w:eastAsia="Times New Roman" w:hAnsi="Times New Roman" w:cs="Times New Roman"/>
          <w:b/>
          <w:bCs/>
          <w:i/>
          <w:iCs/>
          <w:sz w:val="52"/>
          <w:szCs w:val="52"/>
        </w:rPr>
        <w:t>Student</w:t>
      </w:r>
      <w:r>
        <w:rPr>
          <w:rFonts w:ascii="Times New Roman" w:eastAsia="Times New Roman" w:hAnsi="Times New Roman" w:cs="Times New Roman"/>
          <w:b/>
          <w:bCs/>
          <w:i/>
          <w:iCs/>
          <w:sz w:val="52"/>
          <w:szCs w:val="52"/>
        </w:rPr>
        <w:t xml:space="preserve"> ID: 2030542</w:t>
      </w:r>
    </w:p>
    <w:p w14:paraId="5CF4B3CF" w14:textId="77777777" w:rsidR="00753955" w:rsidRDefault="00753955">
      <w:pPr>
        <w:pStyle w:val="Normal1"/>
        <w:spacing w:before="240" w:after="240"/>
        <w:jc w:val="center"/>
        <w:rPr>
          <w:rFonts w:ascii="Times New Roman" w:eastAsia="Times New Roman" w:hAnsi="Times New Roman" w:cs="Times New Roman"/>
          <w:b/>
          <w:sz w:val="32"/>
          <w:szCs w:val="32"/>
        </w:rPr>
      </w:pPr>
    </w:p>
    <w:p w14:paraId="06A43B41" w14:textId="003B6109" w:rsidR="00F235AA" w:rsidRPr="00753955" w:rsidRDefault="00F235AA" w:rsidP="000172CE">
      <w:pPr>
        <w:pStyle w:val="Normal1"/>
        <w:spacing w:before="240" w:after="240"/>
        <w:rPr>
          <w:rFonts w:ascii="Times New Roman" w:eastAsia="Times New Roman" w:hAnsi="Times New Roman" w:cs="Times New Roman"/>
          <w:b/>
          <w:sz w:val="32"/>
          <w:szCs w:val="32"/>
        </w:rPr>
      </w:pPr>
    </w:p>
    <w:p w14:paraId="6581EFD2" w14:textId="77777777" w:rsidR="00753955" w:rsidRDefault="0075395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rPr>
        <w:id w:val="21617979"/>
        <w:docPartObj>
          <w:docPartGallery w:val="Table of Contents"/>
          <w:docPartUnique/>
        </w:docPartObj>
      </w:sdtPr>
      <w:sdtEndPr>
        <w:rPr>
          <w:rFonts w:ascii="Times New Roman" w:hAnsi="Times New Roman" w:cs="Times New Roman"/>
          <w:sz w:val="24"/>
          <w:szCs w:val="24"/>
        </w:rPr>
      </w:sdtEndPr>
      <w:sdtContent>
        <w:p w14:paraId="44DA48DE" w14:textId="77777777" w:rsidR="00753955" w:rsidRPr="00753955" w:rsidRDefault="00753955" w:rsidP="00753955">
          <w:pPr>
            <w:pStyle w:val="TOCHeading"/>
            <w:spacing w:line="360" w:lineRule="auto"/>
            <w:jc w:val="center"/>
            <w:rPr>
              <w:rFonts w:ascii="Times New Roman" w:hAnsi="Times New Roman" w:cs="Times New Roman"/>
              <w:color w:val="000000" w:themeColor="text1"/>
              <w:sz w:val="24"/>
              <w:szCs w:val="24"/>
            </w:rPr>
          </w:pPr>
          <w:r w:rsidRPr="00753955">
            <w:rPr>
              <w:rFonts w:ascii="Times New Roman" w:hAnsi="Times New Roman" w:cs="Times New Roman"/>
              <w:color w:val="000000" w:themeColor="text1"/>
              <w:sz w:val="24"/>
              <w:szCs w:val="24"/>
            </w:rPr>
            <w:t>Table of Contents</w:t>
          </w:r>
        </w:p>
        <w:p w14:paraId="052A56FA" w14:textId="77777777" w:rsidR="00753955" w:rsidRPr="00753955" w:rsidRDefault="00753955" w:rsidP="00753955">
          <w:pPr>
            <w:pStyle w:val="TOC1"/>
            <w:tabs>
              <w:tab w:val="right" w:leader="dot" w:pos="9350"/>
            </w:tabs>
            <w:spacing w:line="360" w:lineRule="auto"/>
            <w:rPr>
              <w:rFonts w:ascii="Times New Roman" w:hAnsi="Times New Roman" w:cs="Times New Roman"/>
              <w:noProof/>
              <w:sz w:val="24"/>
              <w:szCs w:val="24"/>
            </w:rPr>
          </w:pPr>
          <w:r w:rsidRPr="00753955">
            <w:rPr>
              <w:rFonts w:ascii="Times New Roman" w:hAnsi="Times New Roman" w:cs="Times New Roman"/>
              <w:sz w:val="24"/>
              <w:szCs w:val="24"/>
            </w:rPr>
            <w:fldChar w:fldCharType="begin"/>
          </w:r>
          <w:r w:rsidRPr="00753955">
            <w:rPr>
              <w:rFonts w:ascii="Times New Roman" w:hAnsi="Times New Roman" w:cs="Times New Roman"/>
              <w:sz w:val="24"/>
              <w:szCs w:val="24"/>
            </w:rPr>
            <w:instrText xml:space="preserve"> TOC \o "1-3" \h \z \u </w:instrText>
          </w:r>
          <w:r w:rsidRPr="00753955">
            <w:rPr>
              <w:rFonts w:ascii="Times New Roman" w:hAnsi="Times New Roman" w:cs="Times New Roman"/>
              <w:sz w:val="24"/>
              <w:szCs w:val="24"/>
            </w:rPr>
            <w:fldChar w:fldCharType="separate"/>
          </w:r>
          <w:hyperlink w:anchor="_Toc122429704" w:history="1">
            <w:r w:rsidRPr="00753955">
              <w:rPr>
                <w:rStyle w:val="Hyperlink"/>
                <w:rFonts w:ascii="Times New Roman" w:hAnsi="Times New Roman" w:cs="Times New Roman"/>
                <w:noProof/>
                <w:sz w:val="24"/>
                <w:szCs w:val="24"/>
              </w:rPr>
              <w:t>Introduction</w:t>
            </w:r>
            <w:r w:rsidRPr="00753955">
              <w:rPr>
                <w:rFonts w:ascii="Times New Roman" w:hAnsi="Times New Roman" w:cs="Times New Roman"/>
                <w:noProof/>
                <w:webHidden/>
                <w:sz w:val="24"/>
                <w:szCs w:val="24"/>
              </w:rPr>
              <w:tab/>
            </w:r>
            <w:r w:rsidRPr="00753955">
              <w:rPr>
                <w:rFonts w:ascii="Times New Roman" w:hAnsi="Times New Roman" w:cs="Times New Roman"/>
                <w:noProof/>
                <w:webHidden/>
                <w:sz w:val="24"/>
                <w:szCs w:val="24"/>
              </w:rPr>
              <w:fldChar w:fldCharType="begin"/>
            </w:r>
            <w:r w:rsidRPr="00753955">
              <w:rPr>
                <w:rFonts w:ascii="Times New Roman" w:hAnsi="Times New Roman" w:cs="Times New Roman"/>
                <w:noProof/>
                <w:webHidden/>
                <w:sz w:val="24"/>
                <w:szCs w:val="24"/>
              </w:rPr>
              <w:instrText xml:space="preserve"> PAGEREF _Toc122429704 \h </w:instrText>
            </w:r>
            <w:r w:rsidRPr="00753955">
              <w:rPr>
                <w:rFonts w:ascii="Times New Roman" w:hAnsi="Times New Roman" w:cs="Times New Roman"/>
                <w:noProof/>
                <w:webHidden/>
                <w:sz w:val="24"/>
                <w:szCs w:val="24"/>
              </w:rPr>
            </w:r>
            <w:r w:rsidRPr="00753955">
              <w:rPr>
                <w:rFonts w:ascii="Times New Roman" w:hAnsi="Times New Roman" w:cs="Times New Roman"/>
                <w:noProof/>
                <w:webHidden/>
                <w:sz w:val="24"/>
                <w:szCs w:val="24"/>
              </w:rPr>
              <w:fldChar w:fldCharType="separate"/>
            </w:r>
            <w:r w:rsidRPr="00753955">
              <w:rPr>
                <w:rFonts w:ascii="Times New Roman" w:hAnsi="Times New Roman" w:cs="Times New Roman"/>
                <w:noProof/>
                <w:webHidden/>
                <w:sz w:val="24"/>
                <w:szCs w:val="24"/>
              </w:rPr>
              <w:t>3</w:t>
            </w:r>
            <w:r w:rsidRPr="00753955">
              <w:rPr>
                <w:rFonts w:ascii="Times New Roman" w:hAnsi="Times New Roman" w:cs="Times New Roman"/>
                <w:noProof/>
                <w:webHidden/>
                <w:sz w:val="24"/>
                <w:szCs w:val="24"/>
              </w:rPr>
              <w:fldChar w:fldCharType="end"/>
            </w:r>
          </w:hyperlink>
        </w:p>
        <w:p w14:paraId="44575EA1" w14:textId="77777777" w:rsidR="00753955" w:rsidRPr="00753955" w:rsidRDefault="00A1435A" w:rsidP="00753955">
          <w:pPr>
            <w:pStyle w:val="TOC1"/>
            <w:tabs>
              <w:tab w:val="right" w:leader="dot" w:pos="9350"/>
            </w:tabs>
            <w:spacing w:line="360" w:lineRule="auto"/>
            <w:rPr>
              <w:rFonts w:ascii="Times New Roman" w:hAnsi="Times New Roman" w:cs="Times New Roman"/>
              <w:noProof/>
              <w:sz w:val="24"/>
              <w:szCs w:val="24"/>
            </w:rPr>
          </w:pPr>
          <w:hyperlink w:anchor="_Toc122429705" w:history="1">
            <w:r w:rsidR="00753955" w:rsidRPr="00753955">
              <w:rPr>
                <w:rStyle w:val="Hyperlink"/>
                <w:rFonts w:ascii="Times New Roman" w:hAnsi="Times New Roman" w:cs="Times New Roman"/>
                <w:noProof/>
                <w:sz w:val="24"/>
                <w:szCs w:val="24"/>
              </w:rPr>
              <w:t>Main body</w:t>
            </w:r>
            <w:r w:rsidR="00753955" w:rsidRPr="00753955">
              <w:rPr>
                <w:rFonts w:ascii="Times New Roman" w:hAnsi="Times New Roman" w:cs="Times New Roman"/>
                <w:noProof/>
                <w:webHidden/>
                <w:sz w:val="24"/>
                <w:szCs w:val="24"/>
              </w:rPr>
              <w:tab/>
            </w:r>
            <w:r w:rsidR="00753955" w:rsidRPr="00753955">
              <w:rPr>
                <w:rFonts w:ascii="Times New Roman" w:hAnsi="Times New Roman" w:cs="Times New Roman"/>
                <w:noProof/>
                <w:webHidden/>
                <w:sz w:val="24"/>
                <w:szCs w:val="24"/>
              </w:rPr>
              <w:fldChar w:fldCharType="begin"/>
            </w:r>
            <w:r w:rsidR="00753955" w:rsidRPr="00753955">
              <w:rPr>
                <w:rFonts w:ascii="Times New Roman" w:hAnsi="Times New Roman" w:cs="Times New Roman"/>
                <w:noProof/>
                <w:webHidden/>
                <w:sz w:val="24"/>
                <w:szCs w:val="24"/>
              </w:rPr>
              <w:instrText xml:space="preserve"> PAGEREF _Toc122429705 \h </w:instrText>
            </w:r>
            <w:r w:rsidR="00753955" w:rsidRPr="00753955">
              <w:rPr>
                <w:rFonts w:ascii="Times New Roman" w:hAnsi="Times New Roman" w:cs="Times New Roman"/>
                <w:noProof/>
                <w:webHidden/>
                <w:sz w:val="24"/>
                <w:szCs w:val="24"/>
              </w:rPr>
            </w:r>
            <w:r w:rsidR="00753955" w:rsidRPr="00753955">
              <w:rPr>
                <w:rFonts w:ascii="Times New Roman" w:hAnsi="Times New Roman" w:cs="Times New Roman"/>
                <w:noProof/>
                <w:webHidden/>
                <w:sz w:val="24"/>
                <w:szCs w:val="24"/>
              </w:rPr>
              <w:fldChar w:fldCharType="separate"/>
            </w:r>
            <w:r w:rsidR="00753955" w:rsidRPr="00753955">
              <w:rPr>
                <w:rFonts w:ascii="Times New Roman" w:hAnsi="Times New Roman" w:cs="Times New Roman"/>
                <w:noProof/>
                <w:webHidden/>
                <w:sz w:val="24"/>
                <w:szCs w:val="24"/>
              </w:rPr>
              <w:t>3</w:t>
            </w:r>
            <w:r w:rsidR="00753955" w:rsidRPr="00753955">
              <w:rPr>
                <w:rFonts w:ascii="Times New Roman" w:hAnsi="Times New Roman" w:cs="Times New Roman"/>
                <w:noProof/>
                <w:webHidden/>
                <w:sz w:val="24"/>
                <w:szCs w:val="24"/>
              </w:rPr>
              <w:fldChar w:fldCharType="end"/>
            </w:r>
          </w:hyperlink>
        </w:p>
        <w:p w14:paraId="66D62DF6" w14:textId="77777777" w:rsidR="00753955" w:rsidRPr="00753955" w:rsidRDefault="00A1435A" w:rsidP="00753955">
          <w:pPr>
            <w:pStyle w:val="TOC1"/>
            <w:tabs>
              <w:tab w:val="right" w:leader="dot" w:pos="9350"/>
            </w:tabs>
            <w:spacing w:line="360" w:lineRule="auto"/>
            <w:rPr>
              <w:rFonts w:ascii="Times New Roman" w:hAnsi="Times New Roman" w:cs="Times New Roman"/>
              <w:noProof/>
              <w:sz w:val="24"/>
              <w:szCs w:val="24"/>
            </w:rPr>
          </w:pPr>
          <w:hyperlink w:anchor="_Toc122429706" w:history="1">
            <w:r w:rsidR="00753955" w:rsidRPr="00753955">
              <w:rPr>
                <w:rStyle w:val="Hyperlink"/>
                <w:rFonts w:ascii="Times New Roman" w:hAnsi="Times New Roman" w:cs="Times New Roman"/>
                <w:noProof/>
                <w:sz w:val="24"/>
                <w:szCs w:val="24"/>
              </w:rPr>
              <w:t>Conclusion</w:t>
            </w:r>
            <w:r w:rsidR="00753955" w:rsidRPr="00753955">
              <w:rPr>
                <w:rFonts w:ascii="Times New Roman" w:hAnsi="Times New Roman" w:cs="Times New Roman"/>
                <w:noProof/>
                <w:webHidden/>
                <w:sz w:val="24"/>
                <w:szCs w:val="24"/>
              </w:rPr>
              <w:tab/>
            </w:r>
            <w:r w:rsidR="00753955" w:rsidRPr="00753955">
              <w:rPr>
                <w:rFonts w:ascii="Times New Roman" w:hAnsi="Times New Roman" w:cs="Times New Roman"/>
                <w:noProof/>
                <w:webHidden/>
                <w:sz w:val="24"/>
                <w:szCs w:val="24"/>
              </w:rPr>
              <w:fldChar w:fldCharType="begin"/>
            </w:r>
            <w:r w:rsidR="00753955" w:rsidRPr="00753955">
              <w:rPr>
                <w:rFonts w:ascii="Times New Roman" w:hAnsi="Times New Roman" w:cs="Times New Roman"/>
                <w:noProof/>
                <w:webHidden/>
                <w:sz w:val="24"/>
                <w:szCs w:val="24"/>
              </w:rPr>
              <w:instrText xml:space="preserve"> PAGEREF _Toc122429706 \h </w:instrText>
            </w:r>
            <w:r w:rsidR="00753955" w:rsidRPr="00753955">
              <w:rPr>
                <w:rFonts w:ascii="Times New Roman" w:hAnsi="Times New Roman" w:cs="Times New Roman"/>
                <w:noProof/>
                <w:webHidden/>
                <w:sz w:val="24"/>
                <w:szCs w:val="24"/>
              </w:rPr>
            </w:r>
            <w:r w:rsidR="00753955" w:rsidRPr="00753955">
              <w:rPr>
                <w:rFonts w:ascii="Times New Roman" w:hAnsi="Times New Roman" w:cs="Times New Roman"/>
                <w:noProof/>
                <w:webHidden/>
                <w:sz w:val="24"/>
                <w:szCs w:val="24"/>
              </w:rPr>
              <w:fldChar w:fldCharType="separate"/>
            </w:r>
            <w:r w:rsidR="00753955" w:rsidRPr="00753955">
              <w:rPr>
                <w:rFonts w:ascii="Times New Roman" w:hAnsi="Times New Roman" w:cs="Times New Roman"/>
                <w:noProof/>
                <w:webHidden/>
                <w:sz w:val="24"/>
                <w:szCs w:val="24"/>
              </w:rPr>
              <w:t>9</w:t>
            </w:r>
            <w:r w:rsidR="00753955" w:rsidRPr="00753955">
              <w:rPr>
                <w:rFonts w:ascii="Times New Roman" w:hAnsi="Times New Roman" w:cs="Times New Roman"/>
                <w:noProof/>
                <w:webHidden/>
                <w:sz w:val="24"/>
                <w:szCs w:val="24"/>
              </w:rPr>
              <w:fldChar w:fldCharType="end"/>
            </w:r>
          </w:hyperlink>
        </w:p>
        <w:p w14:paraId="41AE30A6" w14:textId="77777777" w:rsidR="00753955" w:rsidRPr="00753955" w:rsidRDefault="00A1435A" w:rsidP="00753955">
          <w:pPr>
            <w:pStyle w:val="TOC1"/>
            <w:tabs>
              <w:tab w:val="right" w:leader="dot" w:pos="9350"/>
            </w:tabs>
            <w:spacing w:line="360" w:lineRule="auto"/>
            <w:rPr>
              <w:rFonts w:ascii="Times New Roman" w:hAnsi="Times New Roman" w:cs="Times New Roman"/>
              <w:noProof/>
              <w:sz w:val="24"/>
              <w:szCs w:val="24"/>
            </w:rPr>
          </w:pPr>
          <w:hyperlink w:anchor="_Toc122429707" w:history="1">
            <w:r w:rsidR="00753955" w:rsidRPr="00753955">
              <w:rPr>
                <w:rStyle w:val="Hyperlink"/>
                <w:rFonts w:ascii="Times New Roman" w:hAnsi="Times New Roman" w:cs="Times New Roman"/>
                <w:noProof/>
                <w:sz w:val="24"/>
                <w:szCs w:val="24"/>
              </w:rPr>
              <w:t>Reference list</w:t>
            </w:r>
            <w:r w:rsidR="00753955" w:rsidRPr="00753955">
              <w:rPr>
                <w:rFonts w:ascii="Times New Roman" w:hAnsi="Times New Roman" w:cs="Times New Roman"/>
                <w:noProof/>
                <w:webHidden/>
                <w:sz w:val="24"/>
                <w:szCs w:val="24"/>
              </w:rPr>
              <w:tab/>
            </w:r>
            <w:r w:rsidR="00753955" w:rsidRPr="00753955">
              <w:rPr>
                <w:rFonts w:ascii="Times New Roman" w:hAnsi="Times New Roman" w:cs="Times New Roman"/>
                <w:noProof/>
                <w:webHidden/>
                <w:sz w:val="24"/>
                <w:szCs w:val="24"/>
              </w:rPr>
              <w:fldChar w:fldCharType="begin"/>
            </w:r>
            <w:r w:rsidR="00753955" w:rsidRPr="00753955">
              <w:rPr>
                <w:rFonts w:ascii="Times New Roman" w:hAnsi="Times New Roman" w:cs="Times New Roman"/>
                <w:noProof/>
                <w:webHidden/>
                <w:sz w:val="24"/>
                <w:szCs w:val="24"/>
              </w:rPr>
              <w:instrText xml:space="preserve"> PAGEREF _Toc122429707 \h </w:instrText>
            </w:r>
            <w:r w:rsidR="00753955" w:rsidRPr="00753955">
              <w:rPr>
                <w:rFonts w:ascii="Times New Roman" w:hAnsi="Times New Roman" w:cs="Times New Roman"/>
                <w:noProof/>
                <w:webHidden/>
                <w:sz w:val="24"/>
                <w:szCs w:val="24"/>
              </w:rPr>
            </w:r>
            <w:r w:rsidR="00753955" w:rsidRPr="00753955">
              <w:rPr>
                <w:rFonts w:ascii="Times New Roman" w:hAnsi="Times New Roman" w:cs="Times New Roman"/>
                <w:noProof/>
                <w:webHidden/>
                <w:sz w:val="24"/>
                <w:szCs w:val="24"/>
              </w:rPr>
              <w:fldChar w:fldCharType="separate"/>
            </w:r>
            <w:r w:rsidR="00753955" w:rsidRPr="00753955">
              <w:rPr>
                <w:rFonts w:ascii="Times New Roman" w:hAnsi="Times New Roman" w:cs="Times New Roman"/>
                <w:noProof/>
                <w:webHidden/>
                <w:sz w:val="24"/>
                <w:szCs w:val="24"/>
              </w:rPr>
              <w:t>10</w:t>
            </w:r>
            <w:r w:rsidR="00753955" w:rsidRPr="00753955">
              <w:rPr>
                <w:rFonts w:ascii="Times New Roman" w:hAnsi="Times New Roman" w:cs="Times New Roman"/>
                <w:noProof/>
                <w:webHidden/>
                <w:sz w:val="24"/>
                <w:szCs w:val="24"/>
              </w:rPr>
              <w:fldChar w:fldCharType="end"/>
            </w:r>
          </w:hyperlink>
        </w:p>
        <w:p w14:paraId="528D3AED" w14:textId="77777777" w:rsidR="00753955" w:rsidRPr="00753955" w:rsidRDefault="00753955" w:rsidP="00753955">
          <w:pPr>
            <w:spacing w:line="360" w:lineRule="auto"/>
            <w:rPr>
              <w:rFonts w:ascii="Times New Roman" w:hAnsi="Times New Roman" w:cs="Times New Roman"/>
              <w:sz w:val="24"/>
              <w:szCs w:val="24"/>
            </w:rPr>
          </w:pPr>
          <w:r w:rsidRPr="00753955">
            <w:rPr>
              <w:rFonts w:ascii="Times New Roman" w:hAnsi="Times New Roman" w:cs="Times New Roman"/>
              <w:sz w:val="24"/>
              <w:szCs w:val="24"/>
            </w:rPr>
            <w:fldChar w:fldCharType="end"/>
          </w:r>
        </w:p>
      </w:sdtContent>
    </w:sdt>
    <w:p w14:paraId="0F1A8226" w14:textId="77777777" w:rsidR="00753955" w:rsidRDefault="0075395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6FF9C70" w14:textId="77777777" w:rsidR="00F235AA" w:rsidRDefault="00740AF3" w:rsidP="00753955">
      <w:pPr>
        <w:pStyle w:val="Heading1"/>
      </w:pPr>
      <w:bookmarkStart w:id="0" w:name="_Toc122429704"/>
      <w:r>
        <w:lastRenderedPageBreak/>
        <w:t>Introduction</w:t>
      </w:r>
      <w:bookmarkEnd w:id="0"/>
    </w:p>
    <w:p w14:paraId="172123BF"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Alterations in the processes of supply chain in terms of supply and demand caused by various factors such as </w:t>
      </w:r>
      <w:proofErr w:type="spellStart"/>
      <w:r>
        <w:rPr>
          <w:rFonts w:ascii="Times New Roman" w:eastAsia="Times New Roman" w:hAnsi="Times New Roman" w:cs="Times New Roman"/>
          <w:sz w:val="24"/>
          <w:szCs w:val="24"/>
        </w:rPr>
        <w:t>globalisation</w:t>
      </w:r>
      <w:proofErr w:type="spellEnd"/>
      <w:r>
        <w:rPr>
          <w:rFonts w:ascii="Times New Roman" w:eastAsia="Times New Roman" w:hAnsi="Times New Roman" w:cs="Times New Roman"/>
          <w:sz w:val="24"/>
          <w:szCs w:val="24"/>
        </w:rPr>
        <w:t xml:space="preserve">, inflation rate and natural disaster often </w:t>
      </w:r>
      <w:proofErr w:type="spellStart"/>
      <w:r>
        <w:rPr>
          <w:rFonts w:ascii="Times New Roman" w:eastAsia="Times New Roman" w:hAnsi="Times New Roman" w:cs="Times New Roman"/>
          <w:sz w:val="24"/>
          <w:szCs w:val="24"/>
        </w:rPr>
        <w:t>destabilise</w:t>
      </w:r>
      <w:proofErr w:type="spellEnd"/>
      <w:r>
        <w:rPr>
          <w:rFonts w:ascii="Times New Roman" w:eastAsia="Times New Roman" w:hAnsi="Times New Roman" w:cs="Times New Roman"/>
          <w:sz w:val="24"/>
          <w:szCs w:val="24"/>
        </w:rPr>
        <w:t xml:space="preserve"> the equilibrium of the market. It often creates difficulties for the logistics managers to maintain a stable process of supply and demand (Li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In this context, management economics has gained significant attention as it suggests the application of economic theory to deal with the problem of business economics. The purpose of this essay is to describe the business of IKEA in the United Kingdom by identifying its demand and market equilibrium. Furthermore, this study indicates the elastic or inelastic demand of IKEA’s products in the context of the study.    </w:t>
      </w:r>
    </w:p>
    <w:p w14:paraId="6D650C8F" w14:textId="77777777" w:rsidR="00F235AA" w:rsidRDefault="00740AF3" w:rsidP="00753955">
      <w:pPr>
        <w:pStyle w:val="Heading1"/>
      </w:pPr>
      <w:bookmarkStart w:id="1" w:name="_Toc122429705"/>
      <w:r>
        <w:t>Main body</w:t>
      </w:r>
      <w:bookmarkEnd w:id="1"/>
    </w:p>
    <w:p w14:paraId="039A9378" w14:textId="2BFA0C58" w:rsidR="00442ECF" w:rsidRPr="00442ECF" w:rsidRDefault="00740AF3" w:rsidP="00753955">
      <w:pPr>
        <w:pStyle w:val="Normal1"/>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Description of the business – IKEA</w:t>
      </w:r>
    </w:p>
    <w:p w14:paraId="013B589C"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IKEA is selected as the business firm operating in the furniture market of the United Kingdom and selling a wide range of conventional as well as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furniture products. The organisation is a renowned home-furnishing retailer popular for its easy assemble furniture and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and recognized as the largest seller of furniture across the globe in the early phase of 21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century (</w:t>
      </w:r>
      <w:proofErr w:type="spellStart"/>
      <w:r>
        <w:rPr>
          <w:rFonts w:ascii="Times New Roman" w:eastAsia="Times New Roman" w:hAnsi="Times New Roman" w:cs="Times New Roman"/>
          <w:sz w:val="24"/>
          <w:szCs w:val="24"/>
        </w:rPr>
        <w:t>Ozturkcan</w:t>
      </w:r>
      <w:proofErr w:type="spellEnd"/>
      <w:r>
        <w:rPr>
          <w:rFonts w:ascii="Times New Roman" w:eastAsia="Times New Roman" w:hAnsi="Times New Roman" w:cs="Times New Roman"/>
          <w:sz w:val="24"/>
          <w:szCs w:val="24"/>
        </w:rPr>
        <w:t xml:space="preserve">, 2021). IKEA is particularly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in selling low-price products in the compact “flat-pack” form, which is easy to assemble by consumers at home. The flat-packing aspect of furniture is an innovative approach introduced initially by IKEA in 1956, which served as a key factor in reducing the operational costs for the company.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of IKEA is identified as a hierarchical, demonstrating substantial size of business, which integrates eleven franchisees functioning in more than 500 locations across 63 nations (Ngai and </w:t>
      </w:r>
      <w:proofErr w:type="spellStart"/>
      <w:r>
        <w:rPr>
          <w:rFonts w:ascii="Times New Roman" w:eastAsia="Times New Roman" w:hAnsi="Times New Roman" w:cs="Times New Roman"/>
          <w:sz w:val="24"/>
          <w:szCs w:val="24"/>
        </w:rPr>
        <w:t>Falkheimer</w:t>
      </w:r>
      <w:proofErr w:type="spellEnd"/>
      <w:r>
        <w:rPr>
          <w:rFonts w:ascii="Times New Roman" w:eastAsia="Times New Roman" w:hAnsi="Times New Roman" w:cs="Times New Roman"/>
          <w:sz w:val="24"/>
          <w:szCs w:val="24"/>
        </w:rPr>
        <w:t xml:space="preserve">, 2017).  </w:t>
      </w:r>
    </w:p>
    <w:p w14:paraId="5CC31BF5" w14:textId="77777777" w:rsidR="00F235AA" w:rsidRDefault="00740AF3" w:rsidP="00753955">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0458EA3" wp14:editId="577DC620">
            <wp:extent cx="4703076" cy="3821373"/>
            <wp:effectExtent l="19050" t="0" r="2274"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07352" cy="3824847"/>
                    </a:xfrm>
                    <a:prstGeom prst="rect">
                      <a:avLst/>
                    </a:prstGeom>
                    <a:ln/>
                  </pic:spPr>
                </pic:pic>
              </a:graphicData>
            </a:graphic>
          </wp:inline>
        </w:drawing>
      </w:r>
    </w:p>
    <w:p w14:paraId="44146431" w14:textId="77777777" w:rsidR="00F235AA" w:rsidRDefault="00740AF3" w:rsidP="00753955">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Consolidated income statement of IKEA in 2021 and 2022</w:t>
      </w:r>
    </w:p>
    <w:p w14:paraId="5D54771A" w14:textId="77777777" w:rsidR="00F235AA" w:rsidRDefault="00740AF3" w:rsidP="00753955">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Inter IKEA Group., 2022)</w:t>
      </w:r>
    </w:p>
    <w:p w14:paraId="0C6A0F58"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IKEA is controlled and regulated through a large number of holding companies, non-profit foundations and operating companies instead of shareholders in case of the other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The corporate structure of  IKEA was developed partly in response to the high Swedish taxation. Extensive knowledge about the purchasing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preferences of consumers constitutes one of the competitive advantages for IKEA. The organisation understands the buying factors, which influence the consumers to purchase and implements the preeminent practices to induce customer decision (</w:t>
      </w:r>
      <w:proofErr w:type="spellStart"/>
      <w:r>
        <w:rPr>
          <w:rFonts w:ascii="Times New Roman" w:eastAsia="Times New Roman" w:hAnsi="Times New Roman" w:cs="Times New Roman"/>
          <w:sz w:val="24"/>
          <w:szCs w:val="24"/>
        </w:rPr>
        <w:t>Ozturkcan</w:t>
      </w:r>
      <w:proofErr w:type="spellEnd"/>
      <w:r>
        <w:rPr>
          <w:rFonts w:ascii="Times New Roman" w:eastAsia="Times New Roman" w:hAnsi="Times New Roman" w:cs="Times New Roman"/>
          <w:sz w:val="24"/>
          <w:szCs w:val="24"/>
        </w:rPr>
        <w:t xml:space="preserve">, 2021). In addition, low pricing of products served as the cornerstone for IKEA as the company always seeks to adopt cost-efficient and efficient procedures in its business (Lewis, 2022). In the post pandemic period, IKEA has witnessed an increase in revenue generation of 27,578 million Euros in 2022 compared to revenue of 25,615 million Euros generated in the fiscal year 2021. However, increased operational cost and rate of goods sold decreased the total operating income of 1034 million Euros and net income of 710 million Euros of the company compared to previous year net income of 1856 million Euros and net income of </w:t>
      </w:r>
      <w:r>
        <w:rPr>
          <w:rFonts w:ascii="Times New Roman" w:eastAsia="Times New Roman" w:hAnsi="Times New Roman" w:cs="Times New Roman"/>
          <w:sz w:val="24"/>
          <w:szCs w:val="24"/>
        </w:rPr>
        <w:lastRenderedPageBreak/>
        <w:t>1433 million Euros. The gross profit margin of IKEA decreased from 13 percent in 2021 to 10.6 percent in 2022 due to the imbalance in the market and demand equilibrium generated as a result of changing demographics, consumer preferences and price of substitutes (Inter IKEA Group., 2022).</w:t>
      </w:r>
    </w:p>
    <w:p w14:paraId="5BDB4FD9" w14:textId="32B85433" w:rsidR="00F235AA" w:rsidRDefault="00740AF3" w:rsidP="00753955">
      <w:pPr>
        <w:pStyle w:val="Normal1"/>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Identification of the demand and market equilibrium</w:t>
      </w:r>
    </w:p>
    <w:p w14:paraId="11941B19" w14:textId="77777777" w:rsidR="00442ECF" w:rsidRDefault="00442ECF" w:rsidP="00442ECF">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Price of Substitute</w:t>
      </w:r>
    </w:p>
    <w:tbl>
      <w:tblPr>
        <w:tblW w:w="3840" w:type="dxa"/>
        <w:tblLook w:val="04A0" w:firstRow="1" w:lastRow="0" w:firstColumn="1" w:lastColumn="0" w:noHBand="0" w:noVBand="1"/>
      </w:tblPr>
      <w:tblGrid>
        <w:gridCol w:w="710"/>
        <w:gridCol w:w="1256"/>
        <w:gridCol w:w="1070"/>
        <w:gridCol w:w="1256"/>
      </w:tblGrid>
      <w:tr w:rsidR="00442ECF" w:rsidRPr="00A24A1F" w14:paraId="1197AB76" w14:textId="77777777" w:rsidTr="001C09C0">
        <w:trPr>
          <w:trHeight w:val="945"/>
        </w:trPr>
        <w:tc>
          <w:tcPr>
            <w:tcW w:w="773"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9E050FD"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Price</w:t>
            </w:r>
          </w:p>
        </w:tc>
        <w:tc>
          <w:tcPr>
            <w:tcW w:w="1070" w:type="dxa"/>
            <w:tcBorders>
              <w:top w:val="single" w:sz="8" w:space="0" w:color="auto"/>
              <w:left w:val="nil"/>
              <w:bottom w:val="single" w:sz="4" w:space="0" w:color="auto"/>
              <w:right w:val="single" w:sz="4" w:space="0" w:color="auto"/>
            </w:tcBorders>
            <w:shd w:val="clear" w:color="auto" w:fill="auto"/>
            <w:vAlign w:val="center"/>
            <w:hideMark/>
          </w:tcPr>
          <w:p w14:paraId="2D9001FB"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Q. Demanded</w:t>
            </w:r>
          </w:p>
        </w:tc>
        <w:tc>
          <w:tcPr>
            <w:tcW w:w="927" w:type="dxa"/>
            <w:tcBorders>
              <w:top w:val="single" w:sz="8" w:space="0" w:color="auto"/>
              <w:left w:val="nil"/>
              <w:bottom w:val="single" w:sz="4" w:space="0" w:color="auto"/>
              <w:right w:val="single" w:sz="4" w:space="0" w:color="auto"/>
            </w:tcBorders>
            <w:shd w:val="clear" w:color="auto" w:fill="auto"/>
            <w:vAlign w:val="center"/>
            <w:hideMark/>
          </w:tcPr>
          <w:p w14:paraId="08A8CEA2"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Q. Supplied</w:t>
            </w:r>
          </w:p>
        </w:tc>
        <w:tc>
          <w:tcPr>
            <w:tcW w:w="1070" w:type="dxa"/>
            <w:tcBorders>
              <w:top w:val="single" w:sz="8" w:space="0" w:color="auto"/>
              <w:left w:val="nil"/>
              <w:bottom w:val="single" w:sz="4" w:space="0" w:color="auto"/>
              <w:right w:val="single" w:sz="8" w:space="0" w:color="auto"/>
            </w:tcBorders>
            <w:shd w:val="clear" w:color="auto" w:fill="auto"/>
            <w:vAlign w:val="center"/>
            <w:hideMark/>
          </w:tcPr>
          <w:p w14:paraId="4F0BC52A"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Q. Demanded 2</w:t>
            </w:r>
          </w:p>
        </w:tc>
      </w:tr>
      <w:tr w:rsidR="00442ECF" w:rsidRPr="00A24A1F" w14:paraId="094141BC" w14:textId="77777777" w:rsidTr="001C09C0">
        <w:trPr>
          <w:trHeight w:val="315"/>
        </w:trPr>
        <w:tc>
          <w:tcPr>
            <w:tcW w:w="773" w:type="dxa"/>
            <w:tcBorders>
              <w:top w:val="nil"/>
              <w:left w:val="single" w:sz="8" w:space="0" w:color="auto"/>
              <w:bottom w:val="single" w:sz="4" w:space="0" w:color="auto"/>
              <w:right w:val="single" w:sz="4" w:space="0" w:color="auto"/>
            </w:tcBorders>
            <w:shd w:val="clear" w:color="auto" w:fill="auto"/>
            <w:vAlign w:val="center"/>
            <w:hideMark/>
          </w:tcPr>
          <w:p w14:paraId="0299811F"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12</w:t>
            </w:r>
          </w:p>
        </w:tc>
        <w:tc>
          <w:tcPr>
            <w:tcW w:w="1070" w:type="dxa"/>
            <w:tcBorders>
              <w:top w:val="nil"/>
              <w:left w:val="nil"/>
              <w:bottom w:val="single" w:sz="4" w:space="0" w:color="auto"/>
              <w:right w:val="single" w:sz="4" w:space="0" w:color="auto"/>
            </w:tcBorders>
            <w:shd w:val="clear" w:color="auto" w:fill="auto"/>
            <w:vAlign w:val="center"/>
            <w:hideMark/>
          </w:tcPr>
          <w:p w14:paraId="55FB3F07"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42</w:t>
            </w:r>
          </w:p>
        </w:tc>
        <w:tc>
          <w:tcPr>
            <w:tcW w:w="927" w:type="dxa"/>
            <w:tcBorders>
              <w:top w:val="nil"/>
              <w:left w:val="nil"/>
              <w:bottom w:val="single" w:sz="4" w:space="0" w:color="auto"/>
              <w:right w:val="single" w:sz="4" w:space="0" w:color="auto"/>
            </w:tcBorders>
            <w:shd w:val="clear" w:color="auto" w:fill="auto"/>
            <w:vAlign w:val="center"/>
            <w:hideMark/>
          </w:tcPr>
          <w:p w14:paraId="22ADD54D"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6</w:t>
            </w:r>
          </w:p>
        </w:tc>
        <w:tc>
          <w:tcPr>
            <w:tcW w:w="1070" w:type="dxa"/>
            <w:tcBorders>
              <w:top w:val="nil"/>
              <w:left w:val="nil"/>
              <w:bottom w:val="single" w:sz="4" w:space="0" w:color="auto"/>
              <w:right w:val="single" w:sz="8" w:space="0" w:color="auto"/>
            </w:tcBorders>
            <w:shd w:val="clear" w:color="auto" w:fill="auto"/>
            <w:vAlign w:val="center"/>
            <w:hideMark/>
          </w:tcPr>
          <w:p w14:paraId="01DCA8B8"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35</w:t>
            </w:r>
          </w:p>
        </w:tc>
      </w:tr>
      <w:tr w:rsidR="00442ECF" w:rsidRPr="00A24A1F" w14:paraId="20DAA809" w14:textId="77777777" w:rsidTr="001C09C0">
        <w:trPr>
          <w:trHeight w:val="315"/>
        </w:trPr>
        <w:tc>
          <w:tcPr>
            <w:tcW w:w="773" w:type="dxa"/>
            <w:tcBorders>
              <w:top w:val="nil"/>
              <w:left w:val="single" w:sz="8" w:space="0" w:color="auto"/>
              <w:bottom w:val="single" w:sz="4" w:space="0" w:color="auto"/>
              <w:right w:val="single" w:sz="4" w:space="0" w:color="auto"/>
            </w:tcBorders>
            <w:shd w:val="clear" w:color="auto" w:fill="auto"/>
            <w:vAlign w:val="center"/>
            <w:hideMark/>
          </w:tcPr>
          <w:p w14:paraId="27838731"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15</w:t>
            </w:r>
          </w:p>
        </w:tc>
        <w:tc>
          <w:tcPr>
            <w:tcW w:w="1070" w:type="dxa"/>
            <w:tcBorders>
              <w:top w:val="nil"/>
              <w:left w:val="nil"/>
              <w:bottom w:val="single" w:sz="4" w:space="0" w:color="auto"/>
              <w:right w:val="single" w:sz="4" w:space="0" w:color="auto"/>
            </w:tcBorders>
            <w:shd w:val="clear" w:color="auto" w:fill="auto"/>
            <w:vAlign w:val="center"/>
            <w:hideMark/>
          </w:tcPr>
          <w:p w14:paraId="7BE62E9E"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36</w:t>
            </w:r>
          </w:p>
        </w:tc>
        <w:tc>
          <w:tcPr>
            <w:tcW w:w="927" w:type="dxa"/>
            <w:tcBorders>
              <w:top w:val="nil"/>
              <w:left w:val="nil"/>
              <w:bottom w:val="single" w:sz="4" w:space="0" w:color="auto"/>
              <w:right w:val="single" w:sz="4" w:space="0" w:color="auto"/>
            </w:tcBorders>
            <w:shd w:val="clear" w:color="auto" w:fill="auto"/>
            <w:vAlign w:val="center"/>
            <w:hideMark/>
          </w:tcPr>
          <w:p w14:paraId="48974D76"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13</w:t>
            </w:r>
          </w:p>
        </w:tc>
        <w:tc>
          <w:tcPr>
            <w:tcW w:w="1070" w:type="dxa"/>
            <w:tcBorders>
              <w:top w:val="nil"/>
              <w:left w:val="nil"/>
              <w:bottom w:val="single" w:sz="4" w:space="0" w:color="auto"/>
              <w:right w:val="single" w:sz="8" w:space="0" w:color="auto"/>
            </w:tcBorders>
            <w:shd w:val="clear" w:color="auto" w:fill="auto"/>
            <w:vAlign w:val="center"/>
            <w:hideMark/>
          </w:tcPr>
          <w:p w14:paraId="6F8372DE"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29</w:t>
            </w:r>
          </w:p>
        </w:tc>
      </w:tr>
      <w:tr w:rsidR="00442ECF" w:rsidRPr="00A24A1F" w14:paraId="3296F845" w14:textId="77777777" w:rsidTr="001C09C0">
        <w:trPr>
          <w:trHeight w:val="315"/>
        </w:trPr>
        <w:tc>
          <w:tcPr>
            <w:tcW w:w="773" w:type="dxa"/>
            <w:tcBorders>
              <w:top w:val="nil"/>
              <w:left w:val="single" w:sz="8" w:space="0" w:color="auto"/>
              <w:bottom w:val="single" w:sz="4" w:space="0" w:color="auto"/>
              <w:right w:val="single" w:sz="4" w:space="0" w:color="auto"/>
            </w:tcBorders>
            <w:shd w:val="clear" w:color="auto" w:fill="auto"/>
            <w:vAlign w:val="center"/>
            <w:hideMark/>
          </w:tcPr>
          <w:p w14:paraId="7F6D1EA2"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18</w:t>
            </w:r>
          </w:p>
        </w:tc>
        <w:tc>
          <w:tcPr>
            <w:tcW w:w="1070" w:type="dxa"/>
            <w:tcBorders>
              <w:top w:val="nil"/>
              <w:left w:val="nil"/>
              <w:bottom w:val="single" w:sz="4" w:space="0" w:color="auto"/>
              <w:right w:val="single" w:sz="4" w:space="0" w:color="auto"/>
            </w:tcBorders>
            <w:shd w:val="clear" w:color="auto" w:fill="auto"/>
            <w:vAlign w:val="center"/>
            <w:hideMark/>
          </w:tcPr>
          <w:p w14:paraId="183D23FE"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30</w:t>
            </w:r>
          </w:p>
        </w:tc>
        <w:tc>
          <w:tcPr>
            <w:tcW w:w="927" w:type="dxa"/>
            <w:tcBorders>
              <w:top w:val="nil"/>
              <w:left w:val="nil"/>
              <w:bottom w:val="single" w:sz="4" w:space="0" w:color="auto"/>
              <w:right w:val="single" w:sz="4" w:space="0" w:color="auto"/>
            </w:tcBorders>
            <w:shd w:val="clear" w:color="auto" w:fill="auto"/>
            <w:vAlign w:val="center"/>
            <w:hideMark/>
          </w:tcPr>
          <w:p w14:paraId="7C9A738D"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20</w:t>
            </w:r>
          </w:p>
        </w:tc>
        <w:tc>
          <w:tcPr>
            <w:tcW w:w="1070" w:type="dxa"/>
            <w:tcBorders>
              <w:top w:val="nil"/>
              <w:left w:val="nil"/>
              <w:bottom w:val="single" w:sz="4" w:space="0" w:color="auto"/>
              <w:right w:val="single" w:sz="8" w:space="0" w:color="auto"/>
            </w:tcBorders>
            <w:shd w:val="clear" w:color="auto" w:fill="auto"/>
            <w:vAlign w:val="center"/>
            <w:hideMark/>
          </w:tcPr>
          <w:p w14:paraId="4C4FF5D6"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23</w:t>
            </w:r>
          </w:p>
        </w:tc>
      </w:tr>
      <w:tr w:rsidR="00442ECF" w:rsidRPr="00A24A1F" w14:paraId="49692C5A" w14:textId="77777777" w:rsidTr="001C09C0">
        <w:trPr>
          <w:trHeight w:val="315"/>
        </w:trPr>
        <w:tc>
          <w:tcPr>
            <w:tcW w:w="773" w:type="dxa"/>
            <w:tcBorders>
              <w:top w:val="nil"/>
              <w:left w:val="single" w:sz="8" w:space="0" w:color="auto"/>
              <w:bottom w:val="single" w:sz="4" w:space="0" w:color="auto"/>
              <w:right w:val="single" w:sz="4" w:space="0" w:color="auto"/>
            </w:tcBorders>
            <w:shd w:val="clear" w:color="auto" w:fill="auto"/>
            <w:vAlign w:val="center"/>
            <w:hideMark/>
          </w:tcPr>
          <w:p w14:paraId="64BF4DA0"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21</w:t>
            </w:r>
          </w:p>
        </w:tc>
        <w:tc>
          <w:tcPr>
            <w:tcW w:w="1070" w:type="dxa"/>
            <w:tcBorders>
              <w:top w:val="nil"/>
              <w:left w:val="nil"/>
              <w:bottom w:val="single" w:sz="4" w:space="0" w:color="auto"/>
              <w:right w:val="single" w:sz="4" w:space="0" w:color="auto"/>
            </w:tcBorders>
            <w:shd w:val="clear" w:color="auto" w:fill="auto"/>
            <w:vAlign w:val="center"/>
            <w:hideMark/>
          </w:tcPr>
          <w:p w14:paraId="1A11D5CF"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24</w:t>
            </w:r>
          </w:p>
        </w:tc>
        <w:tc>
          <w:tcPr>
            <w:tcW w:w="927" w:type="dxa"/>
            <w:tcBorders>
              <w:top w:val="nil"/>
              <w:left w:val="nil"/>
              <w:bottom w:val="single" w:sz="4" w:space="0" w:color="auto"/>
              <w:right w:val="single" w:sz="4" w:space="0" w:color="auto"/>
            </w:tcBorders>
            <w:shd w:val="clear" w:color="auto" w:fill="auto"/>
            <w:vAlign w:val="center"/>
            <w:hideMark/>
          </w:tcPr>
          <w:p w14:paraId="39442225"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27</w:t>
            </w:r>
          </w:p>
        </w:tc>
        <w:tc>
          <w:tcPr>
            <w:tcW w:w="1070" w:type="dxa"/>
            <w:tcBorders>
              <w:top w:val="nil"/>
              <w:left w:val="nil"/>
              <w:bottom w:val="single" w:sz="4" w:space="0" w:color="auto"/>
              <w:right w:val="single" w:sz="8" w:space="0" w:color="auto"/>
            </w:tcBorders>
            <w:shd w:val="clear" w:color="auto" w:fill="auto"/>
            <w:vAlign w:val="center"/>
            <w:hideMark/>
          </w:tcPr>
          <w:p w14:paraId="05DEA4E9"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17</w:t>
            </w:r>
          </w:p>
        </w:tc>
      </w:tr>
      <w:tr w:rsidR="00442ECF" w:rsidRPr="00A24A1F" w14:paraId="3DE0DFC7" w14:textId="77777777" w:rsidTr="001C09C0">
        <w:trPr>
          <w:trHeight w:val="330"/>
        </w:trPr>
        <w:tc>
          <w:tcPr>
            <w:tcW w:w="773" w:type="dxa"/>
            <w:tcBorders>
              <w:top w:val="nil"/>
              <w:left w:val="single" w:sz="8" w:space="0" w:color="auto"/>
              <w:bottom w:val="single" w:sz="8" w:space="0" w:color="auto"/>
              <w:right w:val="single" w:sz="4" w:space="0" w:color="auto"/>
            </w:tcBorders>
            <w:shd w:val="clear" w:color="auto" w:fill="auto"/>
            <w:vAlign w:val="center"/>
            <w:hideMark/>
          </w:tcPr>
          <w:p w14:paraId="62D74AE4"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24</w:t>
            </w:r>
          </w:p>
        </w:tc>
        <w:tc>
          <w:tcPr>
            <w:tcW w:w="1070" w:type="dxa"/>
            <w:tcBorders>
              <w:top w:val="nil"/>
              <w:left w:val="nil"/>
              <w:bottom w:val="single" w:sz="8" w:space="0" w:color="auto"/>
              <w:right w:val="single" w:sz="4" w:space="0" w:color="auto"/>
            </w:tcBorders>
            <w:shd w:val="clear" w:color="auto" w:fill="auto"/>
            <w:vAlign w:val="center"/>
            <w:hideMark/>
          </w:tcPr>
          <w:p w14:paraId="7860F0A1"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18</w:t>
            </w:r>
          </w:p>
        </w:tc>
        <w:tc>
          <w:tcPr>
            <w:tcW w:w="927" w:type="dxa"/>
            <w:tcBorders>
              <w:top w:val="nil"/>
              <w:left w:val="nil"/>
              <w:bottom w:val="single" w:sz="8" w:space="0" w:color="auto"/>
              <w:right w:val="single" w:sz="4" w:space="0" w:color="auto"/>
            </w:tcBorders>
            <w:shd w:val="clear" w:color="auto" w:fill="auto"/>
            <w:vAlign w:val="center"/>
            <w:hideMark/>
          </w:tcPr>
          <w:p w14:paraId="39FC4E98"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34</w:t>
            </w:r>
          </w:p>
        </w:tc>
        <w:tc>
          <w:tcPr>
            <w:tcW w:w="1070" w:type="dxa"/>
            <w:tcBorders>
              <w:top w:val="nil"/>
              <w:left w:val="nil"/>
              <w:bottom w:val="single" w:sz="8" w:space="0" w:color="auto"/>
              <w:right w:val="single" w:sz="8" w:space="0" w:color="auto"/>
            </w:tcBorders>
            <w:shd w:val="clear" w:color="auto" w:fill="auto"/>
            <w:vAlign w:val="center"/>
            <w:hideMark/>
          </w:tcPr>
          <w:p w14:paraId="1F5FEBAC" w14:textId="77777777" w:rsidR="00442ECF" w:rsidRPr="00A24A1F" w:rsidRDefault="00442ECF" w:rsidP="001C09C0">
            <w:pPr>
              <w:spacing w:line="240" w:lineRule="auto"/>
              <w:jc w:val="both"/>
              <w:rPr>
                <w:rFonts w:ascii="Times New Roman" w:eastAsia="Times New Roman" w:hAnsi="Times New Roman" w:cs="Times New Roman"/>
                <w:color w:val="000000"/>
                <w:sz w:val="24"/>
                <w:szCs w:val="24"/>
                <w:lang w:eastAsia="en-IN"/>
              </w:rPr>
            </w:pPr>
            <w:r w:rsidRPr="00A24A1F">
              <w:rPr>
                <w:rFonts w:ascii="Times New Roman" w:eastAsia="Times New Roman" w:hAnsi="Times New Roman" w:cs="Times New Roman"/>
                <w:color w:val="000000"/>
                <w:sz w:val="24"/>
                <w:szCs w:val="24"/>
                <w:lang w:eastAsia="en-IN"/>
              </w:rPr>
              <w:t>11</w:t>
            </w:r>
          </w:p>
        </w:tc>
      </w:tr>
    </w:tbl>
    <w:p w14:paraId="76F5BB44" w14:textId="77777777" w:rsidR="00442ECF" w:rsidRDefault="00442ECF" w:rsidP="00442ECF">
      <w:pPr>
        <w:spacing w:before="240" w:line="360" w:lineRule="auto"/>
        <w:jc w:val="both"/>
        <w:rPr>
          <w:rFonts w:ascii="Times New Roman" w:hAnsi="Times New Roman" w:cs="Times New Roman"/>
          <w:sz w:val="24"/>
          <w:szCs w:val="24"/>
        </w:rPr>
      </w:pPr>
    </w:p>
    <w:p w14:paraId="4C1E2812" w14:textId="77777777" w:rsidR="00442ECF" w:rsidRDefault="00442ECF" w:rsidP="00442ECF">
      <w:pPr>
        <w:spacing w:before="240" w:line="360" w:lineRule="auto"/>
        <w:jc w:val="both"/>
        <w:rPr>
          <w:rFonts w:ascii="Times New Roman" w:hAnsi="Times New Roman" w:cs="Times New Roman"/>
          <w:sz w:val="24"/>
          <w:szCs w:val="24"/>
        </w:rPr>
      </w:pPr>
      <w:r>
        <w:rPr>
          <w:noProof/>
        </w:rPr>
        <w:drawing>
          <wp:inline distT="0" distB="0" distL="0" distR="0" wp14:anchorId="211CF81D" wp14:editId="6F67413B">
            <wp:extent cx="5695950" cy="3467100"/>
            <wp:effectExtent l="0" t="0" r="0" b="0"/>
            <wp:docPr id="3" name="Chart 3">
              <a:extLst xmlns:a="http://schemas.openxmlformats.org/drawingml/2006/main">
                <a:ext uri="{FF2B5EF4-FFF2-40B4-BE49-F238E27FC236}">
                  <a16:creationId xmlns:a16="http://schemas.microsoft.com/office/drawing/2014/main" id="{20175E85-AF16-9325-3FDB-930318D8E5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31832A6" w14:textId="25C68E44" w:rsidR="00442ECF" w:rsidRPr="00442ECF" w:rsidRDefault="00442ECF" w:rsidP="00442ECF">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above diagram is showing the shifting of the demand curve. The shifting of the demand curve occurs when the price of the substitute products changes. If the price of the substitute product rises it will lead to increase the demand for that product. Similarly, if the price of substitute products falls, then it will lead to decrease the quantity demanded for that product. In this given case, the data has been obtained regarding the selected countries to show the new equilibrium that has been obtained after the shifting the demand curve to the right ward. The table that is shown above is used to derive the demand and supply curve. Here from the given data set, the initial equilibrium is mentioned at the point Q1 where the demand and supply curve intersect each other. After rising the price of the substitute product, the quantity demanded for product at given price of level has been increased. This increment of the price of the substitute products have led to shift of the demand curve to the right. As a result, the new equilibrium of market has been obtained at the Q2. At the point Q2, both of the quantity and price of the products have increased due to rise of the quantity demanded at given price level.</w:t>
      </w:r>
    </w:p>
    <w:p w14:paraId="07933078" w14:textId="0FEA51B2"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Wessels (2018), the substitution effect is defined as the alteration in demand for a product as a result of a transformation in the relative price of products when compared to price of other substitute goods. Although IKEA possesses a strong credibility of brand through its products such as easy to assemble home furniture and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subjected to stiff competition from different competitors in retail furniture offering similar products and services such as Wayfair, Tesco, American </w:t>
      </w:r>
      <w:proofErr w:type="spellStart"/>
      <w:r>
        <w:rPr>
          <w:rFonts w:ascii="Times New Roman" w:eastAsia="Times New Roman" w:hAnsi="Times New Roman" w:cs="Times New Roman"/>
          <w:sz w:val="24"/>
          <w:szCs w:val="24"/>
        </w:rPr>
        <w:t>Woodmark</w:t>
      </w:r>
      <w:proofErr w:type="spellEnd"/>
      <w:r>
        <w:rPr>
          <w:rFonts w:ascii="Times New Roman" w:eastAsia="Times New Roman" w:hAnsi="Times New Roman" w:cs="Times New Roman"/>
          <w:sz w:val="24"/>
          <w:szCs w:val="24"/>
        </w:rPr>
        <w:t xml:space="preserve"> and Home Depot. For instance, Wayfair generated revenue of $14.145 billion along with net profit of $9.127 billion in 2020. The price of a wide range of substitute products offered by Wayfair ranges from 120 Euros to 4000Euros, whereas the retail furniture provided by IKEA ranges from 150 Euros to 3000 Euros. Availability of the substitute product at comparatively low prices has created a negative impact on the demand of products and services provided by IKEA in the retail furniture industry (</w:t>
      </w:r>
      <w:proofErr w:type="spellStart"/>
      <w:r>
        <w:rPr>
          <w:rFonts w:ascii="Times New Roman" w:eastAsia="Times New Roman" w:hAnsi="Times New Roman" w:cs="Times New Roman"/>
          <w:sz w:val="24"/>
          <w:szCs w:val="24"/>
        </w:rPr>
        <w:t>Quirino</w:t>
      </w:r>
      <w:proofErr w:type="spellEnd"/>
      <w:r>
        <w:rPr>
          <w:rFonts w:ascii="Times New Roman" w:eastAsia="Times New Roman" w:hAnsi="Times New Roman" w:cs="Times New Roman"/>
          <w:sz w:val="24"/>
          <w:szCs w:val="24"/>
        </w:rPr>
        <w:t xml:space="preserve"> and Salter, 2022). In other words, the decreasing price of Wayfair has reduced the demand for IKEA's products.   </w:t>
      </w:r>
    </w:p>
    <w:p w14:paraId="2B4CCF17" w14:textId="3CB16C63" w:rsidR="00442ECF" w:rsidRDefault="00442ECF" w:rsidP="00753955">
      <w:pPr>
        <w:pStyle w:val="Normal1"/>
        <w:spacing w:before="240" w:after="240" w:line="360" w:lineRule="auto"/>
        <w:jc w:val="both"/>
        <w:rPr>
          <w:rFonts w:ascii="Times New Roman" w:eastAsia="Times New Roman" w:hAnsi="Times New Roman" w:cs="Times New Roman"/>
          <w:sz w:val="24"/>
          <w:szCs w:val="24"/>
        </w:rPr>
      </w:pPr>
    </w:p>
    <w:p w14:paraId="7D97F34B" w14:textId="77777777" w:rsidR="00442ECF" w:rsidRDefault="00442ECF" w:rsidP="00753955">
      <w:pPr>
        <w:pStyle w:val="Normal1"/>
        <w:spacing w:before="240" w:after="240" w:line="360" w:lineRule="auto"/>
        <w:jc w:val="both"/>
        <w:rPr>
          <w:rFonts w:ascii="Times New Roman" w:eastAsia="Times New Roman" w:hAnsi="Times New Roman" w:cs="Times New Roman"/>
          <w:sz w:val="24"/>
          <w:szCs w:val="24"/>
        </w:rPr>
      </w:pPr>
    </w:p>
    <w:tbl>
      <w:tblPr>
        <w:tblW w:w="3840" w:type="dxa"/>
        <w:tblLook w:val="04A0" w:firstRow="1" w:lastRow="0" w:firstColumn="1" w:lastColumn="0" w:noHBand="0" w:noVBand="1"/>
      </w:tblPr>
      <w:tblGrid>
        <w:gridCol w:w="710"/>
        <w:gridCol w:w="1256"/>
        <w:gridCol w:w="1070"/>
        <w:gridCol w:w="1256"/>
      </w:tblGrid>
      <w:tr w:rsidR="00442ECF" w:rsidRPr="006B5DD5" w14:paraId="5EEE6607" w14:textId="77777777" w:rsidTr="001C09C0">
        <w:trPr>
          <w:trHeight w:val="945"/>
        </w:trPr>
        <w:tc>
          <w:tcPr>
            <w:tcW w:w="773"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4F58672"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lastRenderedPageBreak/>
              <w:t>Price</w:t>
            </w:r>
          </w:p>
        </w:tc>
        <w:tc>
          <w:tcPr>
            <w:tcW w:w="1070" w:type="dxa"/>
            <w:tcBorders>
              <w:top w:val="single" w:sz="8" w:space="0" w:color="auto"/>
              <w:left w:val="nil"/>
              <w:bottom w:val="single" w:sz="4" w:space="0" w:color="auto"/>
              <w:right w:val="single" w:sz="4" w:space="0" w:color="auto"/>
            </w:tcBorders>
            <w:shd w:val="clear" w:color="auto" w:fill="auto"/>
            <w:vAlign w:val="center"/>
            <w:hideMark/>
          </w:tcPr>
          <w:p w14:paraId="0A33AB58"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Q. Demanded</w:t>
            </w:r>
          </w:p>
        </w:tc>
        <w:tc>
          <w:tcPr>
            <w:tcW w:w="927" w:type="dxa"/>
            <w:tcBorders>
              <w:top w:val="single" w:sz="8" w:space="0" w:color="auto"/>
              <w:left w:val="nil"/>
              <w:bottom w:val="single" w:sz="4" w:space="0" w:color="auto"/>
              <w:right w:val="single" w:sz="4" w:space="0" w:color="auto"/>
            </w:tcBorders>
            <w:shd w:val="clear" w:color="auto" w:fill="auto"/>
            <w:vAlign w:val="center"/>
            <w:hideMark/>
          </w:tcPr>
          <w:p w14:paraId="7B41000B"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Q. Supplied</w:t>
            </w:r>
          </w:p>
        </w:tc>
        <w:tc>
          <w:tcPr>
            <w:tcW w:w="1070" w:type="dxa"/>
            <w:tcBorders>
              <w:top w:val="single" w:sz="8" w:space="0" w:color="auto"/>
              <w:left w:val="nil"/>
              <w:bottom w:val="single" w:sz="4" w:space="0" w:color="auto"/>
              <w:right w:val="single" w:sz="8" w:space="0" w:color="auto"/>
            </w:tcBorders>
            <w:shd w:val="clear" w:color="auto" w:fill="auto"/>
            <w:vAlign w:val="center"/>
            <w:hideMark/>
          </w:tcPr>
          <w:p w14:paraId="07ABA53A"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Q. Demanded 2</w:t>
            </w:r>
          </w:p>
        </w:tc>
      </w:tr>
      <w:tr w:rsidR="00442ECF" w:rsidRPr="006B5DD5" w14:paraId="1E23E0ED" w14:textId="77777777" w:rsidTr="001C09C0">
        <w:trPr>
          <w:trHeight w:val="315"/>
        </w:trPr>
        <w:tc>
          <w:tcPr>
            <w:tcW w:w="773" w:type="dxa"/>
            <w:tcBorders>
              <w:top w:val="nil"/>
              <w:left w:val="single" w:sz="8" w:space="0" w:color="auto"/>
              <w:bottom w:val="single" w:sz="4" w:space="0" w:color="auto"/>
              <w:right w:val="single" w:sz="4" w:space="0" w:color="auto"/>
            </w:tcBorders>
            <w:shd w:val="clear" w:color="auto" w:fill="auto"/>
            <w:vAlign w:val="center"/>
            <w:hideMark/>
          </w:tcPr>
          <w:p w14:paraId="7ACD1114"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12</w:t>
            </w:r>
          </w:p>
        </w:tc>
        <w:tc>
          <w:tcPr>
            <w:tcW w:w="1070" w:type="dxa"/>
            <w:tcBorders>
              <w:top w:val="nil"/>
              <w:left w:val="nil"/>
              <w:bottom w:val="single" w:sz="4" w:space="0" w:color="auto"/>
              <w:right w:val="single" w:sz="4" w:space="0" w:color="auto"/>
            </w:tcBorders>
            <w:shd w:val="clear" w:color="auto" w:fill="auto"/>
            <w:vAlign w:val="center"/>
            <w:hideMark/>
          </w:tcPr>
          <w:p w14:paraId="281513BE"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32</w:t>
            </w:r>
          </w:p>
        </w:tc>
        <w:tc>
          <w:tcPr>
            <w:tcW w:w="927" w:type="dxa"/>
            <w:tcBorders>
              <w:top w:val="nil"/>
              <w:left w:val="nil"/>
              <w:bottom w:val="single" w:sz="4" w:space="0" w:color="auto"/>
              <w:right w:val="single" w:sz="4" w:space="0" w:color="auto"/>
            </w:tcBorders>
            <w:shd w:val="clear" w:color="auto" w:fill="auto"/>
            <w:vAlign w:val="center"/>
            <w:hideMark/>
          </w:tcPr>
          <w:p w14:paraId="4BA33405"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6</w:t>
            </w:r>
          </w:p>
        </w:tc>
        <w:tc>
          <w:tcPr>
            <w:tcW w:w="1070" w:type="dxa"/>
            <w:tcBorders>
              <w:top w:val="nil"/>
              <w:left w:val="nil"/>
              <w:bottom w:val="single" w:sz="4" w:space="0" w:color="auto"/>
              <w:right w:val="single" w:sz="8" w:space="0" w:color="auto"/>
            </w:tcBorders>
            <w:shd w:val="clear" w:color="auto" w:fill="auto"/>
            <w:vAlign w:val="center"/>
            <w:hideMark/>
          </w:tcPr>
          <w:p w14:paraId="4F0F6F0B"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35</w:t>
            </w:r>
          </w:p>
        </w:tc>
      </w:tr>
      <w:tr w:rsidR="00442ECF" w:rsidRPr="006B5DD5" w14:paraId="61E86F88" w14:textId="77777777" w:rsidTr="001C09C0">
        <w:trPr>
          <w:trHeight w:val="315"/>
        </w:trPr>
        <w:tc>
          <w:tcPr>
            <w:tcW w:w="773" w:type="dxa"/>
            <w:tcBorders>
              <w:top w:val="nil"/>
              <w:left w:val="single" w:sz="8" w:space="0" w:color="auto"/>
              <w:bottom w:val="single" w:sz="4" w:space="0" w:color="auto"/>
              <w:right w:val="single" w:sz="4" w:space="0" w:color="auto"/>
            </w:tcBorders>
            <w:shd w:val="clear" w:color="auto" w:fill="auto"/>
            <w:vAlign w:val="center"/>
            <w:hideMark/>
          </w:tcPr>
          <w:p w14:paraId="61789519"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15</w:t>
            </w:r>
          </w:p>
        </w:tc>
        <w:tc>
          <w:tcPr>
            <w:tcW w:w="1070" w:type="dxa"/>
            <w:tcBorders>
              <w:top w:val="nil"/>
              <w:left w:val="nil"/>
              <w:bottom w:val="single" w:sz="4" w:space="0" w:color="auto"/>
              <w:right w:val="single" w:sz="4" w:space="0" w:color="auto"/>
            </w:tcBorders>
            <w:shd w:val="clear" w:color="auto" w:fill="auto"/>
            <w:vAlign w:val="center"/>
            <w:hideMark/>
          </w:tcPr>
          <w:p w14:paraId="69FCD857"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28</w:t>
            </w:r>
          </w:p>
        </w:tc>
        <w:tc>
          <w:tcPr>
            <w:tcW w:w="927" w:type="dxa"/>
            <w:tcBorders>
              <w:top w:val="nil"/>
              <w:left w:val="nil"/>
              <w:bottom w:val="single" w:sz="4" w:space="0" w:color="auto"/>
              <w:right w:val="single" w:sz="4" w:space="0" w:color="auto"/>
            </w:tcBorders>
            <w:shd w:val="clear" w:color="auto" w:fill="auto"/>
            <w:vAlign w:val="center"/>
            <w:hideMark/>
          </w:tcPr>
          <w:p w14:paraId="24046FE7"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13</w:t>
            </w:r>
          </w:p>
        </w:tc>
        <w:tc>
          <w:tcPr>
            <w:tcW w:w="1070" w:type="dxa"/>
            <w:tcBorders>
              <w:top w:val="nil"/>
              <w:left w:val="nil"/>
              <w:bottom w:val="single" w:sz="4" w:space="0" w:color="auto"/>
              <w:right w:val="single" w:sz="8" w:space="0" w:color="auto"/>
            </w:tcBorders>
            <w:shd w:val="clear" w:color="auto" w:fill="auto"/>
            <w:vAlign w:val="center"/>
            <w:hideMark/>
          </w:tcPr>
          <w:p w14:paraId="5945B2C7"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31</w:t>
            </w:r>
          </w:p>
        </w:tc>
      </w:tr>
      <w:tr w:rsidR="00442ECF" w:rsidRPr="006B5DD5" w14:paraId="2D3B43C4" w14:textId="77777777" w:rsidTr="001C09C0">
        <w:trPr>
          <w:trHeight w:val="315"/>
        </w:trPr>
        <w:tc>
          <w:tcPr>
            <w:tcW w:w="773" w:type="dxa"/>
            <w:tcBorders>
              <w:top w:val="nil"/>
              <w:left w:val="single" w:sz="8" w:space="0" w:color="auto"/>
              <w:bottom w:val="single" w:sz="4" w:space="0" w:color="auto"/>
              <w:right w:val="single" w:sz="4" w:space="0" w:color="auto"/>
            </w:tcBorders>
            <w:shd w:val="clear" w:color="auto" w:fill="auto"/>
            <w:vAlign w:val="center"/>
            <w:hideMark/>
          </w:tcPr>
          <w:p w14:paraId="2D0B9C2F"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18</w:t>
            </w:r>
          </w:p>
        </w:tc>
        <w:tc>
          <w:tcPr>
            <w:tcW w:w="1070" w:type="dxa"/>
            <w:tcBorders>
              <w:top w:val="nil"/>
              <w:left w:val="nil"/>
              <w:bottom w:val="single" w:sz="4" w:space="0" w:color="auto"/>
              <w:right w:val="single" w:sz="4" w:space="0" w:color="auto"/>
            </w:tcBorders>
            <w:shd w:val="clear" w:color="auto" w:fill="auto"/>
            <w:vAlign w:val="center"/>
            <w:hideMark/>
          </w:tcPr>
          <w:p w14:paraId="31738081"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24</w:t>
            </w:r>
          </w:p>
        </w:tc>
        <w:tc>
          <w:tcPr>
            <w:tcW w:w="927" w:type="dxa"/>
            <w:tcBorders>
              <w:top w:val="nil"/>
              <w:left w:val="nil"/>
              <w:bottom w:val="single" w:sz="4" w:space="0" w:color="auto"/>
              <w:right w:val="single" w:sz="4" w:space="0" w:color="auto"/>
            </w:tcBorders>
            <w:shd w:val="clear" w:color="auto" w:fill="auto"/>
            <w:vAlign w:val="center"/>
            <w:hideMark/>
          </w:tcPr>
          <w:p w14:paraId="3715AF01"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20</w:t>
            </w:r>
          </w:p>
        </w:tc>
        <w:tc>
          <w:tcPr>
            <w:tcW w:w="1070" w:type="dxa"/>
            <w:tcBorders>
              <w:top w:val="nil"/>
              <w:left w:val="nil"/>
              <w:bottom w:val="single" w:sz="4" w:space="0" w:color="auto"/>
              <w:right w:val="single" w:sz="8" w:space="0" w:color="auto"/>
            </w:tcBorders>
            <w:shd w:val="clear" w:color="auto" w:fill="auto"/>
            <w:vAlign w:val="center"/>
            <w:hideMark/>
          </w:tcPr>
          <w:p w14:paraId="55E7808B"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27</w:t>
            </w:r>
          </w:p>
        </w:tc>
      </w:tr>
      <w:tr w:rsidR="00442ECF" w:rsidRPr="006B5DD5" w14:paraId="69E5819A" w14:textId="77777777" w:rsidTr="001C09C0">
        <w:trPr>
          <w:trHeight w:val="315"/>
        </w:trPr>
        <w:tc>
          <w:tcPr>
            <w:tcW w:w="773" w:type="dxa"/>
            <w:tcBorders>
              <w:top w:val="nil"/>
              <w:left w:val="single" w:sz="8" w:space="0" w:color="auto"/>
              <w:bottom w:val="single" w:sz="4" w:space="0" w:color="auto"/>
              <w:right w:val="single" w:sz="4" w:space="0" w:color="auto"/>
            </w:tcBorders>
            <w:shd w:val="clear" w:color="auto" w:fill="auto"/>
            <w:vAlign w:val="center"/>
            <w:hideMark/>
          </w:tcPr>
          <w:p w14:paraId="55A385ED"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21</w:t>
            </w:r>
          </w:p>
        </w:tc>
        <w:tc>
          <w:tcPr>
            <w:tcW w:w="1070" w:type="dxa"/>
            <w:tcBorders>
              <w:top w:val="nil"/>
              <w:left w:val="nil"/>
              <w:bottom w:val="single" w:sz="4" w:space="0" w:color="auto"/>
              <w:right w:val="single" w:sz="4" w:space="0" w:color="auto"/>
            </w:tcBorders>
            <w:shd w:val="clear" w:color="auto" w:fill="auto"/>
            <w:vAlign w:val="center"/>
            <w:hideMark/>
          </w:tcPr>
          <w:p w14:paraId="7D55B920"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20</w:t>
            </w:r>
          </w:p>
        </w:tc>
        <w:tc>
          <w:tcPr>
            <w:tcW w:w="927" w:type="dxa"/>
            <w:tcBorders>
              <w:top w:val="nil"/>
              <w:left w:val="nil"/>
              <w:bottom w:val="single" w:sz="4" w:space="0" w:color="auto"/>
              <w:right w:val="single" w:sz="4" w:space="0" w:color="auto"/>
            </w:tcBorders>
            <w:shd w:val="clear" w:color="auto" w:fill="auto"/>
            <w:vAlign w:val="center"/>
            <w:hideMark/>
          </w:tcPr>
          <w:p w14:paraId="5CABED45"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27</w:t>
            </w:r>
          </w:p>
        </w:tc>
        <w:tc>
          <w:tcPr>
            <w:tcW w:w="1070" w:type="dxa"/>
            <w:tcBorders>
              <w:top w:val="nil"/>
              <w:left w:val="nil"/>
              <w:bottom w:val="single" w:sz="4" w:space="0" w:color="auto"/>
              <w:right w:val="single" w:sz="8" w:space="0" w:color="auto"/>
            </w:tcBorders>
            <w:shd w:val="clear" w:color="auto" w:fill="auto"/>
            <w:vAlign w:val="center"/>
            <w:hideMark/>
          </w:tcPr>
          <w:p w14:paraId="4ABA5897"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23</w:t>
            </w:r>
          </w:p>
        </w:tc>
      </w:tr>
      <w:tr w:rsidR="00442ECF" w:rsidRPr="006B5DD5" w14:paraId="557BDE2D" w14:textId="77777777" w:rsidTr="001C09C0">
        <w:trPr>
          <w:trHeight w:val="330"/>
        </w:trPr>
        <w:tc>
          <w:tcPr>
            <w:tcW w:w="773" w:type="dxa"/>
            <w:tcBorders>
              <w:top w:val="nil"/>
              <w:left w:val="single" w:sz="8" w:space="0" w:color="auto"/>
              <w:bottom w:val="single" w:sz="8" w:space="0" w:color="auto"/>
              <w:right w:val="single" w:sz="4" w:space="0" w:color="auto"/>
            </w:tcBorders>
            <w:shd w:val="clear" w:color="auto" w:fill="auto"/>
            <w:vAlign w:val="center"/>
            <w:hideMark/>
          </w:tcPr>
          <w:p w14:paraId="24A9EE9A"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24</w:t>
            </w:r>
          </w:p>
        </w:tc>
        <w:tc>
          <w:tcPr>
            <w:tcW w:w="1070" w:type="dxa"/>
            <w:tcBorders>
              <w:top w:val="nil"/>
              <w:left w:val="nil"/>
              <w:bottom w:val="single" w:sz="8" w:space="0" w:color="auto"/>
              <w:right w:val="single" w:sz="4" w:space="0" w:color="auto"/>
            </w:tcBorders>
            <w:shd w:val="clear" w:color="auto" w:fill="auto"/>
            <w:vAlign w:val="center"/>
            <w:hideMark/>
          </w:tcPr>
          <w:p w14:paraId="263354E0"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16</w:t>
            </w:r>
          </w:p>
        </w:tc>
        <w:tc>
          <w:tcPr>
            <w:tcW w:w="927" w:type="dxa"/>
            <w:tcBorders>
              <w:top w:val="nil"/>
              <w:left w:val="nil"/>
              <w:bottom w:val="single" w:sz="8" w:space="0" w:color="auto"/>
              <w:right w:val="single" w:sz="4" w:space="0" w:color="auto"/>
            </w:tcBorders>
            <w:shd w:val="clear" w:color="auto" w:fill="auto"/>
            <w:vAlign w:val="center"/>
            <w:hideMark/>
          </w:tcPr>
          <w:p w14:paraId="1A4BE16E"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34</w:t>
            </w:r>
          </w:p>
        </w:tc>
        <w:tc>
          <w:tcPr>
            <w:tcW w:w="1070" w:type="dxa"/>
            <w:tcBorders>
              <w:top w:val="nil"/>
              <w:left w:val="nil"/>
              <w:bottom w:val="single" w:sz="8" w:space="0" w:color="auto"/>
              <w:right w:val="single" w:sz="8" w:space="0" w:color="auto"/>
            </w:tcBorders>
            <w:shd w:val="clear" w:color="auto" w:fill="auto"/>
            <w:vAlign w:val="center"/>
            <w:hideMark/>
          </w:tcPr>
          <w:p w14:paraId="6C13FA72" w14:textId="77777777" w:rsidR="00442ECF" w:rsidRPr="006B5DD5" w:rsidRDefault="00442ECF" w:rsidP="001C09C0">
            <w:pPr>
              <w:spacing w:line="240" w:lineRule="auto"/>
              <w:jc w:val="both"/>
              <w:rPr>
                <w:rFonts w:ascii="Times New Roman" w:eastAsia="Times New Roman" w:hAnsi="Times New Roman" w:cs="Times New Roman"/>
                <w:color w:val="000000"/>
                <w:sz w:val="24"/>
                <w:szCs w:val="24"/>
                <w:lang w:eastAsia="en-IN"/>
              </w:rPr>
            </w:pPr>
            <w:r w:rsidRPr="006B5DD5">
              <w:rPr>
                <w:rFonts w:ascii="Times New Roman" w:eastAsia="Times New Roman" w:hAnsi="Times New Roman" w:cs="Times New Roman"/>
                <w:color w:val="000000"/>
                <w:sz w:val="24"/>
                <w:szCs w:val="24"/>
                <w:lang w:eastAsia="en-IN"/>
              </w:rPr>
              <w:t>19</w:t>
            </w:r>
          </w:p>
        </w:tc>
      </w:tr>
    </w:tbl>
    <w:p w14:paraId="0C073A72" w14:textId="77777777" w:rsidR="00442ECF" w:rsidRDefault="00442ECF" w:rsidP="00442ECF">
      <w:pPr>
        <w:spacing w:before="240" w:line="360" w:lineRule="auto"/>
        <w:jc w:val="both"/>
        <w:rPr>
          <w:rFonts w:ascii="Times New Roman" w:hAnsi="Times New Roman" w:cs="Times New Roman"/>
          <w:sz w:val="24"/>
          <w:szCs w:val="24"/>
        </w:rPr>
      </w:pPr>
    </w:p>
    <w:p w14:paraId="0C59CF94" w14:textId="77777777" w:rsidR="00442ECF" w:rsidRDefault="00442ECF" w:rsidP="00442ECF">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complementary products are considered to those products that are consumed simultaneously with that product. Therefore, the increment of the price of the complementary products leads to fall the quantity demanded for the product. </w:t>
      </w:r>
    </w:p>
    <w:p w14:paraId="6C7D2207" w14:textId="1C062F8E" w:rsidR="00442ECF" w:rsidRPr="00515427" w:rsidRDefault="00442ECF" w:rsidP="00442ECF">
      <w:pPr>
        <w:spacing w:before="240"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58240" behindDoc="0" locked="0" layoutInCell="1" allowOverlap="1" wp14:anchorId="7643D7EE" wp14:editId="7E6C4E56">
                <wp:simplePos x="0" y="0"/>
                <wp:positionH relativeFrom="column">
                  <wp:posOffset>5143500</wp:posOffset>
                </wp:positionH>
                <wp:positionV relativeFrom="paragraph">
                  <wp:posOffset>1777365</wp:posOffset>
                </wp:positionV>
                <wp:extent cx="285750" cy="495300"/>
                <wp:effectExtent l="114300" t="28575" r="28575" b="85725"/>
                <wp:wrapNone/>
                <wp:docPr id="1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495300"/>
                        </a:xfrm>
                        <a:prstGeom prst="straightConnector1">
                          <a:avLst/>
                        </a:prstGeom>
                        <a:noFill/>
                        <a:ln w="57150"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BB1DE1" id="_x0000_t32" coordsize="21600,21600" o:spt="32" o:oned="t" path="m,l21600,21600e" filled="f">
                <v:path arrowok="t" fillok="f" o:connecttype="none"/>
                <o:lock v:ext="edit" shapetype="t"/>
              </v:shapetype>
              <v:shape id="AutoShape 2" o:spid="_x0000_s1026" type="#_x0000_t32" style="position:absolute;margin-left:405pt;margin-top:139.95pt;width:22.5pt;height:39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" strokeweight="4.5pt">
                <v:stroke endarrow="block"/>
              </v:shape>
            </w:pict>
          </mc:Fallback>
        </mc:AlternateContent>
      </w:r>
      <w:r>
        <w:rPr>
          <w:noProof/>
        </w:rPr>
        <w:drawing>
          <wp:inline distT="0" distB="0" distL="0" distR="0" wp14:anchorId="178F4867" wp14:editId="6ED95395">
            <wp:extent cx="5695950" cy="3419475"/>
            <wp:effectExtent l="0" t="0" r="0" b="9525"/>
            <wp:docPr id="2" name="Chart 2">
              <a:extLst xmlns:a="http://schemas.openxmlformats.org/drawingml/2006/main">
                <a:ext uri="{FF2B5EF4-FFF2-40B4-BE49-F238E27FC236}">
                  <a16:creationId xmlns:a16="http://schemas.microsoft.com/office/drawing/2014/main" id="{20175E85-AF16-9325-3FDB-930318D8E5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4B73001"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Complement price refers to the pricing of a product at the most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level, regardless of profit or cost considerations in order to raise the demand of other products which is </w:t>
      </w:r>
      <w:proofErr w:type="spellStart"/>
      <w:r>
        <w:rPr>
          <w:rFonts w:ascii="Times New Roman" w:eastAsia="Times New Roman" w:hAnsi="Times New Roman" w:cs="Times New Roman"/>
          <w:sz w:val="24"/>
          <w:szCs w:val="24"/>
        </w:rPr>
        <w:t>utilised</w:t>
      </w:r>
      <w:proofErr w:type="spellEnd"/>
      <w:r>
        <w:rPr>
          <w:rFonts w:ascii="Times New Roman" w:eastAsia="Times New Roman" w:hAnsi="Times New Roman" w:cs="Times New Roman"/>
          <w:sz w:val="24"/>
          <w:szCs w:val="24"/>
        </w:rPr>
        <w:t xml:space="preserve"> with it, thus, it ensures maximum profit from both the products. Complement products are items, which are often brought together with the main primary product (Wang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In contrast to its competitors, IKEA went one-step further by selling complementary items with its furniture </w:t>
      </w:r>
      <w:r>
        <w:rPr>
          <w:rFonts w:ascii="Times New Roman" w:eastAsia="Times New Roman" w:hAnsi="Times New Roman" w:cs="Times New Roman"/>
          <w:sz w:val="24"/>
          <w:szCs w:val="24"/>
        </w:rPr>
        <w:lastRenderedPageBreak/>
        <w:t>products such as batteries for electrical items and light bulbs for light fittings. Although the price of complement products are increasing, however, it did not create much impact on the demand of the retail furniture (</w:t>
      </w:r>
      <w:proofErr w:type="spellStart"/>
      <w:r>
        <w:rPr>
          <w:rFonts w:ascii="Times New Roman" w:eastAsia="Times New Roman" w:hAnsi="Times New Roman" w:cs="Times New Roman"/>
          <w:sz w:val="24"/>
          <w:szCs w:val="24"/>
        </w:rPr>
        <w:t>Varn</w:t>
      </w:r>
      <w:proofErr w:type="spellEnd"/>
      <w:r>
        <w:rPr>
          <w:rFonts w:ascii="Times New Roman" w:eastAsia="Times New Roman" w:hAnsi="Times New Roman" w:cs="Times New Roman"/>
          <w:sz w:val="24"/>
          <w:szCs w:val="24"/>
        </w:rPr>
        <w:t>, 2022).</w:t>
      </w:r>
    </w:p>
    <w:p w14:paraId="72B969FB"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Consumer income is defined as the amount of capital, which a consumer earns either from employment or from investment such as dividends of shareholders. Although the average consumer income across the U.K decreased significantly due to the emergence of the pandemic, however, recuperates the initial state of the business industry reflected in the increased rate of consumer income in the post-pandemic period (Cranfield, 2020). Increased rate of consumer income has impacted the business of IKEA in a positive way as the revenue generated in the fiscal year of 2021 and 2022 are comparatively higher compared to the revenue generated during pandemic.  </w:t>
      </w:r>
    </w:p>
    <w:p w14:paraId="4E23B74C"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opined by </w:t>
      </w:r>
      <w:proofErr w:type="spellStart"/>
      <w:r>
        <w:rPr>
          <w:rFonts w:ascii="Times New Roman" w:eastAsia="Times New Roman" w:hAnsi="Times New Roman" w:cs="Times New Roman"/>
          <w:i/>
          <w:sz w:val="24"/>
          <w:szCs w:val="24"/>
        </w:rPr>
        <w:t>Khojasteh-Khosro</w:t>
      </w:r>
      <w:proofErr w:type="spellEnd"/>
      <w:r>
        <w:rPr>
          <w:rFonts w:ascii="Times New Roman" w:eastAsia="Times New Roman" w:hAnsi="Times New Roman" w:cs="Times New Roman"/>
          <w:sz w:val="24"/>
          <w:szCs w:val="24"/>
        </w:rPr>
        <w:t xml:space="preserve"> et al., (2022), consumer preferences are the subjective tastes, predispositions, likes and dislikes of an individual, which influences their preferences and purchasing habits. The consumer preferences are transforming from luxurious lifestyles to more towards necessity such as health related processes as the pandemic has made people more aware and cautious regarding maintenance of safe health amidst challenging circumstances. However, widespread </w:t>
      </w:r>
      <w:proofErr w:type="spellStart"/>
      <w:r>
        <w:rPr>
          <w:rFonts w:ascii="Times New Roman" w:eastAsia="Times New Roman" w:hAnsi="Times New Roman" w:cs="Times New Roman"/>
          <w:sz w:val="24"/>
          <w:szCs w:val="24"/>
        </w:rPr>
        <w:t>globalisation</w:t>
      </w:r>
      <w:proofErr w:type="spellEnd"/>
      <w:r>
        <w:rPr>
          <w:rFonts w:ascii="Times New Roman" w:eastAsia="Times New Roman" w:hAnsi="Times New Roman" w:cs="Times New Roman"/>
          <w:sz w:val="24"/>
          <w:szCs w:val="24"/>
        </w:rPr>
        <w:t xml:space="preserve"> and current trends has inspired a small base of customers towards luxury and comfort standard of living in the United Kingdom (</w:t>
      </w:r>
      <w:proofErr w:type="spellStart"/>
      <w:r>
        <w:rPr>
          <w:rFonts w:ascii="Times New Roman" w:eastAsia="Times New Roman" w:hAnsi="Times New Roman" w:cs="Times New Roman"/>
          <w:sz w:val="24"/>
          <w:szCs w:val="24"/>
        </w:rPr>
        <w:t>Ozturkcan</w:t>
      </w:r>
      <w:proofErr w:type="spellEnd"/>
      <w:r>
        <w:rPr>
          <w:rFonts w:ascii="Times New Roman" w:eastAsia="Times New Roman" w:hAnsi="Times New Roman" w:cs="Times New Roman"/>
          <w:sz w:val="24"/>
          <w:szCs w:val="24"/>
        </w:rPr>
        <w:t xml:space="preserve">, 2021). The change in consumer preferences has affected the demand of easy to assemble furniture and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 to a certain extent as an increased rate of product sales of IKEA is witnessed in 2021 followed by slight decrease in sales and profitability in 2022.</w:t>
      </w:r>
    </w:p>
    <w:p w14:paraId="4B3BB4DA"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adversity caused by the natural disaster, it has ceased the growth of the economy through prolonged recession, unemployment and limited GDP. It has influenced the consumer expectation of price more towards low priced products (Lewis, 2022). Although a low proportion of individuals belonging from high class society still prefer quality over price and intend to purchase the easy to assemble table and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of IKEA, however, the majority of the consumers expect to purchase retail furniture available at reasonable and comparatively low prices. For instance, Wayfair instigated to sell its products considering the consumer expectation of price, which aided them to gain significant profit margin in 2021 and 2022 (</w:t>
      </w:r>
      <w:proofErr w:type="spellStart"/>
      <w:r>
        <w:rPr>
          <w:rFonts w:ascii="Times New Roman" w:eastAsia="Times New Roman" w:hAnsi="Times New Roman" w:cs="Times New Roman"/>
          <w:sz w:val="24"/>
          <w:szCs w:val="24"/>
        </w:rPr>
        <w:t>Quirino</w:t>
      </w:r>
      <w:proofErr w:type="spellEnd"/>
      <w:r>
        <w:rPr>
          <w:rFonts w:ascii="Times New Roman" w:eastAsia="Times New Roman" w:hAnsi="Times New Roman" w:cs="Times New Roman"/>
          <w:sz w:val="24"/>
          <w:szCs w:val="24"/>
        </w:rPr>
        <w:t xml:space="preserve"> and Salter, 2022).  </w:t>
      </w:r>
    </w:p>
    <w:p w14:paraId="4C95EBA8"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Demographics are the study of statistics, which describes the characteristics of populations such as age, gender, income or interest toward high standards of living. Despite the barriers posed by the several catastrophes, the number of consumers responsible for purchasing the easy to assemble furniture has increased to a certain extent. However, external and internal factors are affecting the purchasing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IKEA’s consumers, which is reflected in the annual performance of the company in terms of sales of furniture such as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 and modern fittings (</w:t>
      </w:r>
      <w:proofErr w:type="spellStart"/>
      <w:r>
        <w:rPr>
          <w:rFonts w:ascii="Times New Roman" w:eastAsia="Times New Roman" w:hAnsi="Times New Roman" w:cs="Times New Roman"/>
          <w:sz w:val="24"/>
          <w:szCs w:val="24"/>
        </w:rPr>
        <w:t>Varn</w:t>
      </w:r>
      <w:proofErr w:type="spellEnd"/>
      <w:r>
        <w:rPr>
          <w:rFonts w:ascii="Times New Roman" w:eastAsia="Times New Roman" w:hAnsi="Times New Roman" w:cs="Times New Roman"/>
          <w:sz w:val="24"/>
          <w:szCs w:val="24"/>
        </w:rPr>
        <w:t>, 2022). As a result, the demand of the product in the current times failed to attend stability in the competitive market.</w:t>
      </w:r>
    </w:p>
    <w:p w14:paraId="236724D6" w14:textId="3D307A1A" w:rsidR="00442ECF" w:rsidRDefault="00740AF3" w:rsidP="00753955">
      <w:pPr>
        <w:pStyle w:val="Normal1"/>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Indication of demand in terms of more elastic or more inelastic </w:t>
      </w:r>
    </w:p>
    <w:p w14:paraId="07C907EC" w14:textId="46419F5B" w:rsidR="00442ECF" w:rsidRDefault="00442ECF" w:rsidP="00753955">
      <w:pPr>
        <w:pStyle w:val="Normal1"/>
        <w:spacing w:before="240" w:after="240" w:line="360" w:lineRule="auto"/>
        <w:jc w:val="both"/>
        <w:rPr>
          <w:rFonts w:ascii="Times New Roman" w:eastAsia="Times New Roman" w:hAnsi="Times New Roman" w:cs="Times New Roman"/>
          <w:b/>
          <w:i/>
          <w:sz w:val="24"/>
          <w:szCs w:val="24"/>
        </w:rPr>
      </w:pPr>
    </w:p>
    <w:p w14:paraId="4A86A12C" w14:textId="033A74BA" w:rsidR="00442ECF" w:rsidRDefault="00442ECF" w:rsidP="00753955">
      <w:pPr>
        <w:pStyle w:val="Normal1"/>
        <w:spacing w:before="240" w:after="240" w:line="360" w:lineRule="auto"/>
        <w:jc w:val="both"/>
        <w:rPr>
          <w:rFonts w:ascii="Times New Roman" w:eastAsia="Times New Roman" w:hAnsi="Times New Roman" w:cs="Times New Roman"/>
          <w:b/>
          <w:iCs/>
          <w:sz w:val="24"/>
          <w:szCs w:val="24"/>
        </w:rPr>
      </w:pPr>
      <w:r>
        <w:rPr>
          <w:noProof/>
        </w:rPr>
        <mc:AlternateContent>
          <mc:Choice Requires="wpc">
            <w:drawing>
              <wp:inline distT="0" distB="0" distL="0" distR="0" wp14:anchorId="4E53D4BA" wp14:editId="17A07F25">
                <wp:extent cx="4841240" cy="3220720"/>
                <wp:effectExtent l="0" t="0" r="0" b="0"/>
                <wp:docPr id="18" name="Canvas 37"/>
                <wp:cNvGraphicFramePr>
                  <a:graphicFrameLocks xmlns:a="http://schemas.openxmlformats.org/drawingml/2006/main"/>
                </wp:cNvGraphicFramePr>
                <a:graphic xmlns:a="http://schemas.openxmlformats.org/drawingml/2006/main">
                  <a:graphicData uri="http://schemas.microsoft.com/office/word/2010/wordprocessingCanvas">
                    <wpc:wpc>
                      <wpc:bg>
                        <a:solidFill>
                          <a:prstClr val="white"/>
                        </a:solidFill>
                      </wpc:bg>
                      <wpc:whole/>
                      <wps:wsp>
                        <wps:cNvPr id="4" name="Straight Connector 23"/>
                        <wps:cNvCnPr/>
                        <wps:spPr>
                          <a:xfrm>
                            <a:off x="585757" y="371476"/>
                            <a:ext cx="19050" cy="13049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 name="Straight Connector 24"/>
                        <wps:cNvCnPr/>
                        <wps:spPr>
                          <a:xfrm>
                            <a:off x="614332" y="1676401"/>
                            <a:ext cx="143827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 name="Straight Connector 25"/>
                        <wps:cNvCnPr/>
                        <wps:spPr>
                          <a:xfrm>
                            <a:off x="2681257" y="352426"/>
                            <a:ext cx="38100" cy="1295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 name="Straight Connector 26"/>
                        <wps:cNvCnPr/>
                        <wps:spPr>
                          <a:xfrm flipV="1">
                            <a:off x="2738407" y="1638301"/>
                            <a:ext cx="1504950" cy="95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 name="Straight Connector 27"/>
                        <wps:cNvCnPr/>
                        <wps:spPr>
                          <a:xfrm>
                            <a:off x="623857" y="1895476"/>
                            <a:ext cx="19050" cy="11239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9" name="Straight Connector 28"/>
                        <wps:cNvCnPr/>
                        <wps:spPr>
                          <a:xfrm flipV="1">
                            <a:off x="661957" y="3009901"/>
                            <a:ext cx="1695450" cy="285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 name="Straight Connector 29"/>
                        <wps:cNvCnPr/>
                        <wps:spPr>
                          <a:xfrm>
                            <a:off x="2814607" y="1905001"/>
                            <a:ext cx="57150" cy="10858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 name="Straight Connector 30"/>
                        <wps:cNvCnPr/>
                        <wps:spPr>
                          <a:xfrm flipV="1">
                            <a:off x="2881282" y="2952751"/>
                            <a:ext cx="1533525" cy="381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2" name="Straight Connector 31"/>
                        <wps:cNvCnPr/>
                        <wps:spPr>
                          <a:xfrm>
                            <a:off x="1338232" y="457201"/>
                            <a:ext cx="95250" cy="12096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 name="Straight Connector 32"/>
                        <wps:cNvCnPr/>
                        <wps:spPr>
                          <a:xfrm flipV="1">
                            <a:off x="2709832" y="962026"/>
                            <a:ext cx="1514475" cy="95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4" name="Straight Connector 33"/>
                        <wps:cNvCnPr/>
                        <wps:spPr>
                          <a:xfrm>
                            <a:off x="1166782" y="1895476"/>
                            <a:ext cx="514350" cy="10191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 name="Straight Connector 34"/>
                        <wps:cNvCnPr/>
                        <wps:spPr>
                          <a:xfrm>
                            <a:off x="3147982" y="1952626"/>
                            <a:ext cx="1200150" cy="8096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6" name="Rectangle: Rounded Corners 35"/>
                        <wps:cNvSpPr/>
                        <wps:spPr>
                          <a:xfrm>
                            <a:off x="147607" y="161926"/>
                            <a:ext cx="352425" cy="4762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E02A23" w14:textId="77777777" w:rsidR="00442ECF" w:rsidRPr="0013530A" w:rsidRDefault="00442ECF" w:rsidP="00442ECF">
                              <w:pPr>
                                <w:jc w:val="center"/>
                                <w:rPr>
                                  <w:lang w:val="en-IN"/>
                                </w:rPr>
                              </w:pPr>
                              <w:r>
                                <w:rPr>
                                  <w:lang w:val="en-IN"/>
                                </w:rP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Rounded Corners 36"/>
                        <wps:cNvSpPr/>
                        <wps:spPr>
                          <a:xfrm>
                            <a:off x="2243107" y="1543051"/>
                            <a:ext cx="438150" cy="4286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EAF5DA" w14:textId="77777777" w:rsidR="00442ECF" w:rsidRPr="0013530A" w:rsidRDefault="00442ECF" w:rsidP="00442ECF">
                              <w:pPr>
                                <w:jc w:val="center"/>
                                <w:rPr>
                                  <w:lang w:val="en-IN"/>
                                </w:rPr>
                              </w:pPr>
                              <w:r>
                                <w:rPr>
                                  <w:lang w:val="en-IN"/>
                                </w:rPr>
                                <w:t>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4E53D4BA" id="Canvas 37" o:spid="_x0000_s1026" editas="canvas" style="width:381.2pt;height:253.6pt;mso-position-horizontal-relative:char;mso-position-vertical-relative:line" coordsize="48412,32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8412;height:32207;visibility:visible;mso-wrap-style:square" filled="t">
                  <v:fill o:detectmouseclick="t"/>
                  <v:path o:connecttype="none"/>
                </v:shape>
                <v:line id="Straight Connector 23" o:spid="_x0000_s1028" style="position:absolute;visibility:visible;mso-wrap-style:square" from="5857,3714" to="6048,16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" strokecolor="#4579b8 [3044]"/>
                <v:line id="Straight Connector 24" o:spid="_x0000_s1029" style="position:absolute;visibility:visible;mso-wrap-style:square" from="6143,16764" to="20526,16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" strokecolor="#4579b8 [3044]"/>
                <v:line id="Straight Connector 25" o:spid="_x0000_s1030" style="position:absolute;visibility:visible;mso-wrap-style:square" from="26812,3524" to="27193,16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" strokecolor="#4579b8 [3044]"/>
                <v:line id="Straight Connector 26" o:spid="_x0000_s1031" style="position:absolute;flip:y;visibility:visible;mso-wrap-style:square" from="27384,16383" to="42433,16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" strokecolor="#4579b8 [3044]"/>
                <v:line id="Straight Connector 27" o:spid="_x0000_s1032" style="position:absolute;visibility:visible;mso-wrap-style:square" from="6238,18954" to="6429,30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" strokecolor="#4579b8 [3044]"/>
                <v:line id="Straight Connector 28" o:spid="_x0000_s1033" style="position:absolute;flip:y;visibility:visible;mso-wrap-style:square" from="6619,30099" to="23574,303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" strokecolor="#4579b8 [3044]"/>
                <v:line id="Straight Connector 29" o:spid="_x0000_s1034" style="position:absolute;visibility:visible;mso-wrap-style:square" from="28146,19050" to="28717,29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" strokecolor="#4579b8 [3044]"/>
                <v:line id="Straight Connector 30" o:spid="_x0000_s1035" style="position:absolute;flip:y;visibility:visible;mso-wrap-style:square" from="28812,29527" to="44148,29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" strokecolor="#4579b8 [3044]"/>
                <v:line id="Straight Connector 31" o:spid="_x0000_s1036" style="position:absolute;visibility:visible;mso-wrap-style:square" from="13382,4572" to="14334,16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" strokecolor="#4579b8 [3044]"/>
                <v:line id="Straight Connector 32" o:spid="_x0000_s1037" style="position:absolute;flip:y;visibility:visible;mso-wrap-style:square" from="27098,9620" to="42243,9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" strokecolor="#4579b8 [3044]"/>
                <v:line id="Straight Connector 33" o:spid="_x0000_s1038" style="position:absolute;visibility:visible;mso-wrap-style:square" from="11667,18954" to="16811,29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" strokecolor="#4579b8 [3044]"/>
                <v:line id="Straight Connector 34" o:spid="_x0000_s1039" style="position:absolute;visibility:visible;mso-wrap-style:square" from="31479,19526" to="43481,27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" strokecolor="#4579b8 [3044]"/>
                <v:roundrect id="Rectangle: Rounded Corners 35" o:spid="_x0000_s1040" style="position:absolute;left:1476;top:1619;width:3524;height:4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" fillcolor="#4f81bd [3204]" strokecolor="#243f60 [1604]" strokeweight="2pt">
                  <v:textbox>
                    <w:txbxContent>
                      <w:p w14:paraId="75E02A23" w14:textId="77777777" w:rsidR="00442ECF" w:rsidRPr="0013530A" w:rsidRDefault="00442ECF" w:rsidP="00442ECF">
                        <w:pPr>
                          <w:jc w:val="center"/>
                          <w:rPr>
                            <w:lang w:val="en-IN"/>
                          </w:rPr>
                        </w:pPr>
                        <w:r>
                          <w:rPr>
                            <w:lang w:val="en-IN"/>
                          </w:rPr>
                          <w:t>P</w:t>
                        </w:r>
                      </w:p>
                    </w:txbxContent>
                  </v:textbox>
                </v:roundrect>
                <v:roundrect id="Rectangle: Rounded Corners 36" o:spid="_x0000_s1041" style="position:absolute;left:22431;top:15430;width:4381;height:42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" fillcolor="#4f81bd [3204]" strokecolor="#243f60 [1604]" strokeweight="2pt">
                  <v:textbox>
                    <w:txbxContent>
                      <w:p w14:paraId="06EAF5DA" w14:textId="77777777" w:rsidR="00442ECF" w:rsidRPr="0013530A" w:rsidRDefault="00442ECF" w:rsidP="00442ECF">
                        <w:pPr>
                          <w:jc w:val="center"/>
                          <w:rPr>
                            <w:lang w:val="en-IN"/>
                          </w:rPr>
                        </w:pPr>
                        <w:r>
                          <w:rPr>
                            <w:lang w:val="en-IN"/>
                          </w:rPr>
                          <w:t>Q</w:t>
                        </w:r>
                      </w:p>
                    </w:txbxContent>
                  </v:textbox>
                </v:roundrect>
                <w10:anchorlock/>
              </v:group>
            </w:pict>
          </mc:Fallback>
        </mc:AlternateContent>
      </w:r>
    </w:p>
    <w:p w14:paraId="5117296D" w14:textId="2AA32D8C" w:rsidR="00442ECF" w:rsidRPr="00442ECF" w:rsidRDefault="00442ECF" w:rsidP="00753955">
      <w:pPr>
        <w:pStyle w:val="Normal1"/>
        <w:spacing w:before="240" w:after="240" w:line="36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The price elasticity of demand can be defined as the measurement of the consumer preferences to buying the products to the change in the price of the products. The price elasticity of demand is calculated as the percentage change in the quantity demanded for the products due to the percentage change in the price of that product. On the basis value, the price elasticity demand is categorised into five components such as inelastic, elastic, perfectly elastic, perfectly inelastic, </w:t>
      </w:r>
      <w:r>
        <w:rPr>
          <w:rFonts w:ascii="Times New Roman" w:eastAsia="Times New Roman" w:hAnsi="Times New Roman" w:cs="Times New Roman"/>
          <w:bCs/>
          <w:iCs/>
          <w:sz w:val="24"/>
          <w:szCs w:val="24"/>
        </w:rPr>
        <w:lastRenderedPageBreak/>
        <w:t>unitary elastic. The value of the price elasticity lies between negative infinity to positive infinity. If the value of the price elasticity is 1, then demand curve is treated as the unitary elastic.</w:t>
      </w:r>
    </w:p>
    <w:p w14:paraId="42EBA41D"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economics, services and products are often subjected to substitution as when the price of one product raises, the demand for its substitute product increases automatically. Product substitution provides an opportunity to the customers to have access to a better product and lower prices as it provides alternatives and choices for the customers while maintaining competition and lower prices in the marketplace (Cullen and </w:t>
      </w:r>
      <w:proofErr w:type="spellStart"/>
      <w:r>
        <w:rPr>
          <w:rFonts w:ascii="Times New Roman" w:eastAsia="Times New Roman" w:hAnsi="Times New Roman" w:cs="Times New Roman"/>
          <w:sz w:val="24"/>
          <w:szCs w:val="24"/>
        </w:rPr>
        <w:t>Farronato</w:t>
      </w:r>
      <w:proofErr w:type="spellEnd"/>
      <w:r>
        <w:rPr>
          <w:rFonts w:ascii="Times New Roman" w:eastAsia="Times New Roman" w:hAnsi="Times New Roman" w:cs="Times New Roman"/>
          <w:sz w:val="24"/>
          <w:szCs w:val="24"/>
        </w:rPr>
        <w:t xml:space="preserve">, 2021). For instance, the rise in the price of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and easy to assemble furniture of IKEA shifted the consumer base towards the substituted products of Wayfair and Amazon. Substitution effect is viewed as a process of decreased rate of sales for a product, which is caused due to customers switching to better alternatives offering similar products at low prices. In the case of IKEA, the substitution effect has been identified as the majority of the consumers view the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and easy to assemble furniture as luxury in the post pandemic period, however a small portion of the consumer base considered it as a necessity for living a decent lifestyle (Inter IKEA Group., 2022). Demand elasticity takes place when demand for a particular product changes in response to alteration in price and other factors, whereas inelasticity of demand indicates that demand for a product remains constant despite transformation in economic factors such as price range. Based on the substitute effect experienced by IKEA in terms of demand for their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and easy assemble of furniture, it can be stated that demand is more elastic, which tends to change  with alteration in diverse factors including pricing of products. As the strong competitor of IKEA offered substituted products at comparatively low price ranges than IKEA by addressing the concern of consumers in the post-pandemic era; a large proportion of IKEA’s consumer base switched to the well-equipped furniture of Wayfair (Lewis, 2022).   </w:t>
      </w:r>
    </w:p>
    <w:p w14:paraId="6503C7DF"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Haig (2020), the effect of income in microeconomics refers to the resultant alteration in demand for a service or good, which is stimulated by an elevation or reduction in real income or purchasing power of the consumer. It can be further categorised into two types of effect – positive effect of income and negative effect of income. For instance, as the income grows as a result of increased employment opportunities, the income effect predicts that consumers of IKEA will initiate to demand more diversified products by demonstrating their purchasing power. The higher the amount of income spent on a particular product, the more elastic the demand for that </w:t>
      </w:r>
      <w:r>
        <w:rPr>
          <w:rFonts w:ascii="Times New Roman" w:eastAsia="Times New Roman" w:hAnsi="Times New Roman" w:cs="Times New Roman"/>
          <w:sz w:val="24"/>
          <w:szCs w:val="24"/>
        </w:rPr>
        <w:lastRenderedPageBreak/>
        <w:t xml:space="preserve">good (Li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Percentage of income plays a vital role in determining the capacity of the consumer in terms of making a purchase. For instance, an individual responsible for earning a substantial amount of capital is likely to spend a greater amount on purchasing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and easy to assemble furniture, whereas an individual earning an insignificant amount of capital is likely to spend minimum expenses on purchasing furniture products. Therefore, it can be stated that purchase of the retail furniture represents the status of consumer income, which can be significantly large or inconsequentially low.  Highly elastic products will experience their demanded quantity changes rapidly with income effect, whereas inelastic products will witness the similar demanded quantity even after changes in income status (Miah and Fatema, 2021). Analysis of these factors indicates that the demand for easy to assemble fittings and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of IKEA is more elastic, which tends to alters with respect to the changes in consumer’s income     </w:t>
      </w:r>
    </w:p>
    <w:p w14:paraId="5D179FF5"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analysis of substitution and income effects on the demand of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and easy to assemble furniture, IKEA needs to consider the pricing policy of dynamic strategy, which will enable them to adjust the price according to the demand of the products. Demand pricing, also known as time-based pricing, is a pricing strategy in which businesses such as IKEA are provided with the opportunity to adjust the prices of a wide range of retail furniture to account for the changing demand caused due to substitution and income effects. Implementation of dynamic pricing policy will aid IKEA to maintain the optimal balance between the number of products sold and profit acquired per good (Chen and Farias, 2018).</w:t>
      </w:r>
    </w:p>
    <w:p w14:paraId="6E60740F" w14:textId="77777777" w:rsidR="00F235AA" w:rsidRDefault="00740AF3" w:rsidP="00753955">
      <w:pPr>
        <w:pStyle w:val="Heading1"/>
      </w:pPr>
      <w:bookmarkStart w:id="2" w:name="_Toc122429706"/>
      <w:r>
        <w:t>Conclusion</w:t>
      </w:r>
      <w:bookmarkEnd w:id="2"/>
    </w:p>
    <w:p w14:paraId="05515F89"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essay highlights the important role of managing different components economics by demonstrating the business operations of IKEA in terms of identifying market and demand equilibrium and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elasticity and inelasticity of demand. Price of substitution product, complementary product pricing, consumer income, preferences of consumer along with demographics plays an essential role in regulating the demand of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and easy to assemble furniture in the competitive industry. Furthermore, both substitution and income effects on the demand of IKEA’s product suggest that demand is more elastic and recommends the implementation of dynamic pricing policy to overcome the problem. </w:t>
      </w:r>
    </w:p>
    <w:p w14:paraId="1DCAB675" w14:textId="77777777" w:rsidR="00F235AA" w:rsidRDefault="00740AF3">
      <w:pPr>
        <w:pStyle w:val="Normal1"/>
        <w:spacing w:before="240" w:after="240"/>
        <w:jc w:val="both"/>
        <w:rPr>
          <w:rFonts w:ascii="Times New Roman" w:eastAsia="Times New Roman" w:hAnsi="Times New Roman" w:cs="Times New Roman"/>
          <w:b/>
          <w:sz w:val="24"/>
          <w:szCs w:val="24"/>
        </w:rPr>
      </w:pPr>
      <w:r>
        <w:lastRenderedPageBreak/>
        <w:br w:type="page"/>
      </w:r>
    </w:p>
    <w:p w14:paraId="04C65603" w14:textId="77777777" w:rsidR="00F235AA" w:rsidRDefault="00740AF3" w:rsidP="00753955">
      <w:pPr>
        <w:pStyle w:val="Heading1"/>
        <w:rPr>
          <w:b w:val="0"/>
        </w:rPr>
      </w:pPr>
      <w:bookmarkStart w:id="3" w:name="_Toc122429707"/>
      <w:r>
        <w:lastRenderedPageBreak/>
        <w:t>Reference list</w:t>
      </w:r>
      <w:bookmarkEnd w:id="3"/>
    </w:p>
    <w:p w14:paraId="47DE6AB6"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Y. and Farias, V.F., (2018). Robust dynamic pricing with strategic customers. </w:t>
      </w:r>
      <w:r>
        <w:rPr>
          <w:rFonts w:ascii="Times New Roman" w:eastAsia="Times New Roman" w:hAnsi="Times New Roman" w:cs="Times New Roman"/>
          <w:i/>
          <w:sz w:val="24"/>
          <w:szCs w:val="24"/>
        </w:rPr>
        <w:t>Mathematics of Operations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43</w:t>
      </w:r>
      <w:r>
        <w:rPr>
          <w:rFonts w:ascii="Times New Roman" w:eastAsia="Times New Roman" w:hAnsi="Times New Roman" w:cs="Times New Roman"/>
          <w:sz w:val="24"/>
          <w:szCs w:val="24"/>
        </w:rPr>
        <w:t>(4), pp.1119-1142.</w:t>
      </w:r>
    </w:p>
    <w:p w14:paraId="3AB095BE"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Cranfield, J.A., (2020). Framing consumer food demand responses in a viral pandemic. </w:t>
      </w:r>
      <w:r>
        <w:rPr>
          <w:rFonts w:ascii="Times New Roman" w:eastAsia="Times New Roman" w:hAnsi="Times New Roman" w:cs="Times New Roman"/>
          <w:i/>
          <w:sz w:val="24"/>
          <w:szCs w:val="24"/>
        </w:rPr>
        <w:t xml:space="preserve">Canadian Journal of Agricultural Economics/Revue </w:t>
      </w:r>
      <w:proofErr w:type="spellStart"/>
      <w:r>
        <w:rPr>
          <w:rFonts w:ascii="Times New Roman" w:eastAsia="Times New Roman" w:hAnsi="Times New Roman" w:cs="Times New Roman"/>
          <w:i/>
          <w:sz w:val="24"/>
          <w:szCs w:val="24"/>
        </w:rPr>
        <w:t>canadienne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d'agroeconomie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68</w:t>
      </w:r>
      <w:r>
        <w:rPr>
          <w:rFonts w:ascii="Times New Roman" w:eastAsia="Times New Roman" w:hAnsi="Times New Roman" w:cs="Times New Roman"/>
          <w:sz w:val="24"/>
          <w:szCs w:val="24"/>
        </w:rPr>
        <w:t>(2), pp.151-156.</w:t>
      </w:r>
    </w:p>
    <w:p w14:paraId="236D7AC2"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Cullen, Z. and </w:t>
      </w:r>
      <w:proofErr w:type="spellStart"/>
      <w:r>
        <w:rPr>
          <w:rFonts w:ascii="Times New Roman" w:eastAsia="Times New Roman" w:hAnsi="Times New Roman" w:cs="Times New Roman"/>
          <w:sz w:val="24"/>
          <w:szCs w:val="24"/>
        </w:rPr>
        <w:t>Farronato</w:t>
      </w:r>
      <w:proofErr w:type="spellEnd"/>
      <w:r>
        <w:rPr>
          <w:rFonts w:ascii="Times New Roman" w:eastAsia="Times New Roman" w:hAnsi="Times New Roman" w:cs="Times New Roman"/>
          <w:sz w:val="24"/>
          <w:szCs w:val="24"/>
        </w:rPr>
        <w:t xml:space="preserve">, C., (2021). Outsourcing tasks online: Matching supply and demand on peer-to-peer internet platforms. </w:t>
      </w:r>
      <w:r>
        <w:rPr>
          <w:rFonts w:ascii="Times New Roman" w:eastAsia="Times New Roman" w:hAnsi="Times New Roman" w:cs="Times New Roman"/>
          <w:i/>
          <w:sz w:val="24"/>
          <w:szCs w:val="24"/>
        </w:rPr>
        <w:t>Management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67</w:t>
      </w:r>
      <w:r>
        <w:rPr>
          <w:rFonts w:ascii="Times New Roman" w:eastAsia="Times New Roman" w:hAnsi="Times New Roman" w:cs="Times New Roman"/>
          <w:sz w:val="24"/>
          <w:szCs w:val="24"/>
        </w:rPr>
        <w:t>(7), pp.3985-4003.</w:t>
      </w:r>
    </w:p>
    <w:p w14:paraId="3A0B2B0F"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 IKEA Group. (2022) Financial Year 2022 (</w:t>
      </w:r>
      <w:r>
        <w:rPr>
          <w:rFonts w:ascii="Times New Roman" w:eastAsia="Times New Roman" w:hAnsi="Times New Roman" w:cs="Times New Roman"/>
          <w:i/>
          <w:sz w:val="24"/>
          <w:szCs w:val="24"/>
        </w:rPr>
        <w:t>FY22) financial results.</w:t>
      </w:r>
      <w:r>
        <w:rPr>
          <w:rFonts w:ascii="Times New Roman" w:eastAsia="Times New Roman" w:hAnsi="Times New Roman" w:cs="Times New Roman"/>
          <w:sz w:val="24"/>
          <w:szCs w:val="24"/>
        </w:rPr>
        <w:t xml:space="preserve"> Available at: https://www.inter.ikea.com/en/performance/fy22-financial-results.</w:t>
      </w:r>
    </w:p>
    <w:p w14:paraId="597FBC55"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Khojasteh-Khosro</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Shalbafan</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Thoemen</w:t>
      </w:r>
      <w:proofErr w:type="spellEnd"/>
      <w:r>
        <w:rPr>
          <w:rFonts w:ascii="Times New Roman" w:eastAsia="Times New Roman" w:hAnsi="Times New Roman" w:cs="Times New Roman"/>
          <w:sz w:val="24"/>
          <w:szCs w:val="24"/>
        </w:rPr>
        <w:t xml:space="preserve">, H., (2022). Consumer behavior assessment regarding lightweight furniture as an environmentally-friendly product. </w:t>
      </w:r>
      <w:r>
        <w:rPr>
          <w:rFonts w:ascii="Times New Roman" w:eastAsia="Times New Roman" w:hAnsi="Times New Roman" w:cs="Times New Roman"/>
          <w:i/>
          <w:sz w:val="24"/>
          <w:szCs w:val="24"/>
        </w:rPr>
        <w:t>Wood Material Science &amp; Engineering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(3), pp.192-201.</w:t>
      </w:r>
    </w:p>
    <w:p w14:paraId="1468F993"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Lewis, R. (2022) </w:t>
      </w:r>
      <w:r>
        <w:rPr>
          <w:rFonts w:ascii="Times New Roman" w:eastAsia="Times New Roman" w:hAnsi="Times New Roman" w:cs="Times New Roman"/>
          <w:i/>
          <w:sz w:val="24"/>
          <w:szCs w:val="24"/>
        </w:rPr>
        <w:t>Furniture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Encyclopædia</w:t>
      </w:r>
      <w:proofErr w:type="spellEnd"/>
      <w:r>
        <w:rPr>
          <w:rFonts w:ascii="Times New Roman" w:eastAsia="Times New Roman" w:hAnsi="Times New Roman" w:cs="Times New Roman"/>
          <w:i/>
          <w:sz w:val="24"/>
          <w:szCs w:val="24"/>
        </w:rPr>
        <w:t xml:space="preserve"> Britannica</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Encyclopædia</w:t>
      </w:r>
      <w:proofErr w:type="spellEnd"/>
      <w:r>
        <w:rPr>
          <w:rFonts w:ascii="Times New Roman" w:eastAsia="Times New Roman" w:hAnsi="Times New Roman" w:cs="Times New Roman"/>
          <w:sz w:val="24"/>
          <w:szCs w:val="24"/>
        </w:rPr>
        <w:t xml:space="preserve"> Britannica, inc. Available at: https://www.britannica.com/technology/furniture.</w:t>
      </w:r>
    </w:p>
    <w:p w14:paraId="1A3B3713"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 L., Chi, T., Hao, T. and Yu, T., (2018). Customer demand analysis of the electronic commerce supply chain using Big Data. </w:t>
      </w:r>
      <w:r>
        <w:rPr>
          <w:rFonts w:ascii="Times New Roman" w:eastAsia="Times New Roman" w:hAnsi="Times New Roman" w:cs="Times New Roman"/>
          <w:i/>
          <w:sz w:val="24"/>
          <w:szCs w:val="24"/>
        </w:rPr>
        <w:t>Annals of Operations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268</w:t>
      </w:r>
      <w:r>
        <w:rPr>
          <w:rFonts w:ascii="Times New Roman" w:eastAsia="Times New Roman" w:hAnsi="Times New Roman" w:cs="Times New Roman"/>
          <w:sz w:val="24"/>
          <w:szCs w:val="24"/>
        </w:rPr>
        <w:t>(1), pp.113-128.</w:t>
      </w:r>
    </w:p>
    <w:p w14:paraId="6CBC8FFE"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Miah, M.D. and Fatema, N., (2021). Cross Elasticity of Demand of Selected Wooden Furniture in Respect to Alternative Furniture in Chittagong City. </w:t>
      </w:r>
      <w:r>
        <w:rPr>
          <w:rFonts w:ascii="Times New Roman" w:eastAsia="Times New Roman" w:hAnsi="Times New Roman" w:cs="Times New Roman"/>
          <w:i/>
          <w:sz w:val="24"/>
          <w:szCs w:val="24"/>
        </w:rPr>
        <w:t>The Chittagong University Journal of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43</w:t>
      </w:r>
      <w:r>
        <w:rPr>
          <w:rFonts w:ascii="Times New Roman" w:eastAsia="Times New Roman" w:hAnsi="Times New Roman" w:cs="Times New Roman"/>
          <w:sz w:val="24"/>
          <w:szCs w:val="24"/>
        </w:rPr>
        <w:t>(1), pp.1-20.</w:t>
      </w:r>
    </w:p>
    <w:p w14:paraId="18ECF70A"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Ngai, S.B.C. and </w:t>
      </w:r>
      <w:proofErr w:type="spellStart"/>
      <w:r>
        <w:rPr>
          <w:rFonts w:ascii="Times New Roman" w:eastAsia="Times New Roman" w:hAnsi="Times New Roman" w:cs="Times New Roman"/>
          <w:sz w:val="24"/>
          <w:szCs w:val="24"/>
        </w:rPr>
        <w:t>Falkheimer</w:t>
      </w:r>
      <w:proofErr w:type="spellEnd"/>
      <w:r>
        <w:rPr>
          <w:rFonts w:ascii="Times New Roman" w:eastAsia="Times New Roman" w:hAnsi="Times New Roman" w:cs="Times New Roman"/>
          <w:sz w:val="24"/>
          <w:szCs w:val="24"/>
        </w:rPr>
        <w:t xml:space="preserve">, J., (2017). How IKEA turned a crisis into an opportunity. </w:t>
      </w:r>
      <w:r>
        <w:rPr>
          <w:rFonts w:ascii="Times New Roman" w:eastAsia="Times New Roman" w:hAnsi="Times New Roman" w:cs="Times New Roman"/>
          <w:i/>
          <w:sz w:val="24"/>
          <w:szCs w:val="24"/>
        </w:rPr>
        <w:t>Public Relations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43</w:t>
      </w:r>
      <w:r>
        <w:rPr>
          <w:rFonts w:ascii="Times New Roman" w:eastAsia="Times New Roman" w:hAnsi="Times New Roman" w:cs="Times New Roman"/>
          <w:sz w:val="24"/>
          <w:szCs w:val="24"/>
        </w:rPr>
        <w:t>(1), pp.246-248.</w:t>
      </w:r>
    </w:p>
    <w:p w14:paraId="55CE0689"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Ozturkcan</w:t>
      </w:r>
      <w:proofErr w:type="spellEnd"/>
      <w:r>
        <w:rPr>
          <w:rFonts w:ascii="Times New Roman" w:eastAsia="Times New Roman" w:hAnsi="Times New Roman" w:cs="Times New Roman"/>
          <w:sz w:val="24"/>
          <w:szCs w:val="24"/>
        </w:rPr>
        <w:t xml:space="preserve">, S., (2021). Service innovation: Using augmented reality in the IKEA Place app. </w:t>
      </w:r>
      <w:r>
        <w:rPr>
          <w:rFonts w:ascii="Times New Roman" w:eastAsia="Times New Roman" w:hAnsi="Times New Roman" w:cs="Times New Roman"/>
          <w:i/>
          <w:sz w:val="24"/>
          <w:szCs w:val="24"/>
        </w:rPr>
        <w:t>Journal of Information Technology Teaching Cases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w:t>
      </w:r>
      <w:r>
        <w:rPr>
          <w:rFonts w:ascii="Times New Roman" w:eastAsia="Times New Roman" w:hAnsi="Times New Roman" w:cs="Times New Roman"/>
          <w:sz w:val="24"/>
          <w:szCs w:val="24"/>
        </w:rPr>
        <w:t>(1), pp.8-13.</w:t>
      </w:r>
    </w:p>
    <w:p w14:paraId="5BDD8FAF"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Quirino</w:t>
      </w:r>
      <w:proofErr w:type="spellEnd"/>
      <w:r>
        <w:rPr>
          <w:rFonts w:ascii="Times New Roman" w:eastAsia="Times New Roman" w:hAnsi="Times New Roman" w:cs="Times New Roman"/>
          <w:sz w:val="24"/>
          <w:szCs w:val="24"/>
        </w:rPr>
        <w:t xml:space="preserve">, C. and Salter, J. (2022) </w:t>
      </w:r>
      <w:r>
        <w:rPr>
          <w:rFonts w:ascii="Times New Roman" w:eastAsia="Times New Roman" w:hAnsi="Times New Roman" w:cs="Times New Roman"/>
          <w:i/>
          <w:sz w:val="24"/>
          <w:szCs w:val="24"/>
        </w:rPr>
        <w:t>Wayfair vs. IKEA: Which Furniture Giant is better?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Home Of Cozy</w:t>
      </w:r>
      <w:r>
        <w:rPr>
          <w:rFonts w:ascii="Times New Roman" w:eastAsia="Times New Roman" w:hAnsi="Times New Roman" w:cs="Times New Roman"/>
          <w:sz w:val="24"/>
          <w:szCs w:val="24"/>
        </w:rPr>
        <w:t>. Available at: https://homeofcozy.com/brand-comparisons/wayfair-vs-ikea/.</w:t>
      </w:r>
    </w:p>
    <w:p w14:paraId="5DDE0537"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Varn</w:t>
      </w:r>
      <w:proofErr w:type="spellEnd"/>
      <w:r>
        <w:rPr>
          <w:rFonts w:ascii="Times New Roman" w:eastAsia="Times New Roman" w:hAnsi="Times New Roman" w:cs="Times New Roman"/>
          <w:sz w:val="24"/>
          <w:szCs w:val="24"/>
        </w:rPr>
        <w:t xml:space="preserve">, T. (2022) </w:t>
      </w:r>
      <w:r>
        <w:rPr>
          <w:rFonts w:ascii="Times New Roman" w:eastAsia="Times New Roman" w:hAnsi="Times New Roman" w:cs="Times New Roman"/>
          <w:i/>
          <w:sz w:val="24"/>
          <w:szCs w:val="24"/>
        </w:rPr>
        <w:t>11 tips that a trip to IKEA taught us about web marketing and SEO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Varn</w:t>
      </w:r>
      <w:proofErr w:type="spellEnd"/>
      <w:r>
        <w:rPr>
          <w:rFonts w:ascii="Times New Roman" w:eastAsia="Times New Roman" w:hAnsi="Times New Roman" w:cs="Times New Roman"/>
          <w:sz w:val="24"/>
          <w:szCs w:val="24"/>
        </w:rPr>
        <w:t>. Available at: https://varn.co.uk/08/17/11-tips-trip-ikea-taught-us-web-marketing-seo/.</w:t>
      </w:r>
    </w:p>
    <w:p w14:paraId="297AE440" w14:textId="77777777"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L., Song, H. and Wang, Y., (2017). Pricing and service decisions of complementary products in a dual-channel supply chain. </w:t>
      </w:r>
      <w:r>
        <w:rPr>
          <w:rFonts w:ascii="Times New Roman" w:eastAsia="Times New Roman" w:hAnsi="Times New Roman" w:cs="Times New Roman"/>
          <w:i/>
          <w:sz w:val="24"/>
          <w:szCs w:val="24"/>
        </w:rPr>
        <w:t>Computers &amp; industrial engineering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105</w:t>
      </w:r>
      <w:r>
        <w:rPr>
          <w:rFonts w:ascii="Times New Roman" w:eastAsia="Times New Roman" w:hAnsi="Times New Roman" w:cs="Times New Roman"/>
          <w:sz w:val="24"/>
          <w:szCs w:val="24"/>
        </w:rPr>
        <w:t>, pp.223-233.</w:t>
      </w:r>
    </w:p>
    <w:p w14:paraId="6A9339D9" w14:textId="3602E2C3" w:rsidR="00753955" w:rsidRDefault="00753955"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Wessels, W.J., (2018). </w:t>
      </w:r>
      <w:r>
        <w:rPr>
          <w:rFonts w:ascii="Times New Roman" w:eastAsia="Times New Roman" w:hAnsi="Times New Roman" w:cs="Times New Roman"/>
          <w:i/>
          <w:sz w:val="24"/>
          <w:szCs w:val="24"/>
        </w:rPr>
        <w:t>Economics</w:t>
      </w:r>
      <w:r>
        <w:rPr>
          <w:rFonts w:ascii="Times New Roman" w:eastAsia="Times New Roman" w:hAnsi="Times New Roman" w:cs="Times New Roman"/>
          <w:sz w:val="24"/>
          <w:szCs w:val="24"/>
        </w:rPr>
        <w:t>. Simon and Schuster.</w:t>
      </w:r>
    </w:p>
    <w:p w14:paraId="604CD477" w14:textId="77777777" w:rsidR="00442ECF" w:rsidRPr="00E1568D" w:rsidRDefault="00442ECF" w:rsidP="00442ECF">
      <w:pPr>
        <w:pStyle w:val="Normal1"/>
        <w:spacing w:before="200" w:after="200" w:line="360" w:lineRule="auto"/>
        <w:jc w:val="both"/>
        <w:rPr>
          <w:rFonts w:ascii="Times New Roman" w:eastAsia="Times New Roman" w:hAnsi="Times New Roman" w:cs="Times New Roman"/>
          <w:color w:val="222222"/>
          <w:sz w:val="24"/>
          <w:szCs w:val="24"/>
          <w:highlight w:val="white"/>
          <w:lang w:val="en-GB"/>
        </w:rPr>
      </w:pPr>
      <w:r w:rsidRPr="00E1568D">
        <w:rPr>
          <w:rFonts w:ascii="Times New Roman" w:eastAsia="Times New Roman" w:hAnsi="Times New Roman" w:cs="Times New Roman"/>
          <w:color w:val="222222"/>
          <w:sz w:val="24"/>
          <w:szCs w:val="24"/>
          <w:highlight w:val="white"/>
          <w:lang w:val="en-GB"/>
        </w:rPr>
        <w:t xml:space="preserve">Baglioni, S. and Sinclair, S., (2018). </w:t>
      </w:r>
      <w:r w:rsidRPr="00E1568D">
        <w:rPr>
          <w:rFonts w:ascii="Times New Roman" w:eastAsia="Times New Roman" w:hAnsi="Times New Roman" w:cs="Times New Roman"/>
          <w:i/>
          <w:color w:val="222222"/>
          <w:sz w:val="24"/>
          <w:szCs w:val="24"/>
          <w:highlight w:val="white"/>
          <w:lang w:val="en-GB"/>
        </w:rPr>
        <w:t>Social innovation and social policy: Theory, policy and practice</w:t>
      </w:r>
      <w:r w:rsidRPr="00E1568D">
        <w:rPr>
          <w:rFonts w:ascii="Times New Roman" w:eastAsia="Times New Roman" w:hAnsi="Times New Roman" w:cs="Times New Roman"/>
          <w:color w:val="222222"/>
          <w:sz w:val="24"/>
          <w:szCs w:val="24"/>
          <w:highlight w:val="white"/>
          <w:lang w:val="en-GB"/>
        </w:rPr>
        <w:t>. Policy Press.</w:t>
      </w:r>
    </w:p>
    <w:p w14:paraId="7E7FCCFE" w14:textId="77777777" w:rsidR="00442ECF" w:rsidRPr="00E1568D" w:rsidRDefault="00442ECF" w:rsidP="00442ECF">
      <w:pPr>
        <w:pStyle w:val="Normal1"/>
        <w:spacing w:before="200" w:after="200" w:line="360" w:lineRule="auto"/>
        <w:jc w:val="both"/>
        <w:rPr>
          <w:rFonts w:ascii="Times New Roman" w:eastAsia="Times New Roman" w:hAnsi="Times New Roman" w:cs="Times New Roman"/>
          <w:color w:val="222222"/>
          <w:sz w:val="24"/>
          <w:szCs w:val="24"/>
          <w:highlight w:val="white"/>
          <w:lang w:val="en-GB"/>
        </w:rPr>
      </w:pPr>
      <w:r w:rsidRPr="00E1568D">
        <w:rPr>
          <w:rFonts w:ascii="Times New Roman" w:eastAsia="Times New Roman" w:hAnsi="Times New Roman" w:cs="Times New Roman"/>
          <w:color w:val="222222"/>
          <w:sz w:val="24"/>
          <w:szCs w:val="24"/>
          <w:highlight w:val="white"/>
          <w:lang w:val="en-GB"/>
        </w:rPr>
        <w:t>Erixon, L., (2018). Progressive supply-side economics: an explanation and update of the Rehn-</w:t>
      </w:r>
      <w:proofErr w:type="spellStart"/>
      <w:r w:rsidRPr="00E1568D">
        <w:rPr>
          <w:rFonts w:ascii="Times New Roman" w:eastAsia="Times New Roman" w:hAnsi="Times New Roman" w:cs="Times New Roman"/>
          <w:color w:val="222222"/>
          <w:sz w:val="24"/>
          <w:szCs w:val="24"/>
          <w:highlight w:val="white"/>
          <w:lang w:val="en-GB"/>
        </w:rPr>
        <w:t>Meidner</w:t>
      </w:r>
      <w:proofErr w:type="spellEnd"/>
      <w:r w:rsidRPr="00E1568D">
        <w:rPr>
          <w:rFonts w:ascii="Times New Roman" w:eastAsia="Times New Roman" w:hAnsi="Times New Roman" w:cs="Times New Roman"/>
          <w:color w:val="222222"/>
          <w:sz w:val="24"/>
          <w:szCs w:val="24"/>
          <w:highlight w:val="white"/>
          <w:lang w:val="en-GB"/>
        </w:rPr>
        <w:t xml:space="preserve"> model. </w:t>
      </w:r>
      <w:r w:rsidRPr="00E1568D">
        <w:rPr>
          <w:rFonts w:ascii="Times New Roman" w:eastAsia="Times New Roman" w:hAnsi="Times New Roman" w:cs="Times New Roman"/>
          <w:i/>
          <w:color w:val="222222"/>
          <w:sz w:val="24"/>
          <w:szCs w:val="24"/>
          <w:highlight w:val="white"/>
          <w:lang w:val="en-GB"/>
        </w:rPr>
        <w:t>Cambridge Journal of Economics</w:t>
      </w:r>
      <w:r w:rsidRPr="00E1568D">
        <w:rPr>
          <w:rFonts w:ascii="Times New Roman" w:eastAsia="Times New Roman" w:hAnsi="Times New Roman" w:cs="Times New Roman"/>
          <w:color w:val="222222"/>
          <w:sz w:val="24"/>
          <w:szCs w:val="24"/>
          <w:highlight w:val="white"/>
          <w:lang w:val="en-GB"/>
        </w:rPr>
        <w:t xml:space="preserve">, </w:t>
      </w:r>
      <w:r w:rsidRPr="00E1568D">
        <w:rPr>
          <w:rFonts w:ascii="Times New Roman" w:eastAsia="Times New Roman" w:hAnsi="Times New Roman" w:cs="Times New Roman"/>
          <w:i/>
          <w:color w:val="222222"/>
          <w:sz w:val="24"/>
          <w:szCs w:val="24"/>
          <w:highlight w:val="white"/>
          <w:lang w:val="en-GB"/>
        </w:rPr>
        <w:t>42</w:t>
      </w:r>
      <w:r w:rsidRPr="00E1568D">
        <w:rPr>
          <w:rFonts w:ascii="Times New Roman" w:eastAsia="Times New Roman" w:hAnsi="Times New Roman" w:cs="Times New Roman"/>
          <w:color w:val="222222"/>
          <w:sz w:val="24"/>
          <w:szCs w:val="24"/>
          <w:highlight w:val="white"/>
          <w:lang w:val="en-GB"/>
        </w:rPr>
        <w:t>(3), pp.653-697.</w:t>
      </w:r>
    </w:p>
    <w:p w14:paraId="07E81E78" w14:textId="77777777" w:rsidR="00442ECF" w:rsidRPr="00E1568D" w:rsidRDefault="00442ECF" w:rsidP="00442ECF">
      <w:pPr>
        <w:pStyle w:val="Normal1"/>
        <w:spacing w:before="200" w:after="200" w:line="360" w:lineRule="auto"/>
        <w:jc w:val="both"/>
        <w:rPr>
          <w:rFonts w:ascii="Times New Roman" w:eastAsia="Times New Roman" w:hAnsi="Times New Roman" w:cs="Times New Roman"/>
          <w:color w:val="222222"/>
          <w:sz w:val="24"/>
          <w:szCs w:val="24"/>
          <w:highlight w:val="white"/>
          <w:lang w:val="en-GB"/>
        </w:rPr>
      </w:pPr>
      <w:proofErr w:type="spellStart"/>
      <w:r w:rsidRPr="00E1568D">
        <w:rPr>
          <w:rFonts w:ascii="Times New Roman" w:eastAsia="Times New Roman" w:hAnsi="Times New Roman" w:cs="Times New Roman"/>
          <w:color w:val="222222"/>
          <w:sz w:val="24"/>
          <w:szCs w:val="24"/>
          <w:highlight w:val="white"/>
          <w:lang w:val="en-GB"/>
        </w:rPr>
        <w:t>Nissley</w:t>
      </w:r>
      <w:proofErr w:type="spellEnd"/>
      <w:r w:rsidRPr="00E1568D">
        <w:rPr>
          <w:rFonts w:ascii="Times New Roman" w:eastAsia="Times New Roman" w:hAnsi="Times New Roman" w:cs="Times New Roman"/>
          <w:color w:val="222222"/>
          <w:sz w:val="24"/>
          <w:szCs w:val="24"/>
          <w:highlight w:val="white"/>
          <w:lang w:val="en-GB"/>
        </w:rPr>
        <w:t>, C., (2022). Which System Works for Capitalism?: An Analysis of Supply Side and Demand Side Economics Tax Policy.</w:t>
      </w:r>
    </w:p>
    <w:p w14:paraId="6EE58E2C" w14:textId="77777777" w:rsidR="00442ECF" w:rsidRPr="00E1568D" w:rsidRDefault="00442ECF" w:rsidP="00442ECF">
      <w:pPr>
        <w:pStyle w:val="Normal1"/>
        <w:spacing w:before="200" w:after="200" w:line="360" w:lineRule="auto"/>
        <w:jc w:val="both"/>
        <w:rPr>
          <w:rFonts w:ascii="Times New Roman" w:eastAsia="Times New Roman" w:hAnsi="Times New Roman" w:cs="Times New Roman"/>
          <w:color w:val="222222"/>
          <w:sz w:val="24"/>
          <w:szCs w:val="24"/>
          <w:highlight w:val="white"/>
          <w:lang w:val="en-GB"/>
        </w:rPr>
      </w:pPr>
      <w:r w:rsidRPr="00E1568D">
        <w:rPr>
          <w:rFonts w:ascii="Times New Roman" w:eastAsia="Times New Roman" w:hAnsi="Times New Roman" w:cs="Times New Roman"/>
          <w:color w:val="222222"/>
          <w:sz w:val="24"/>
          <w:szCs w:val="24"/>
          <w:highlight w:val="white"/>
          <w:lang w:val="en-GB"/>
        </w:rPr>
        <w:t xml:space="preserve">Pinker, R., (2022). </w:t>
      </w:r>
      <w:r w:rsidRPr="00E1568D">
        <w:rPr>
          <w:rFonts w:ascii="Times New Roman" w:eastAsia="Times New Roman" w:hAnsi="Times New Roman" w:cs="Times New Roman"/>
          <w:i/>
          <w:color w:val="222222"/>
          <w:sz w:val="24"/>
          <w:szCs w:val="24"/>
          <w:highlight w:val="white"/>
          <w:lang w:val="en-GB"/>
        </w:rPr>
        <w:t>Social theory and social policy</w:t>
      </w:r>
      <w:r w:rsidRPr="00E1568D">
        <w:rPr>
          <w:rFonts w:ascii="Times New Roman" w:eastAsia="Times New Roman" w:hAnsi="Times New Roman" w:cs="Times New Roman"/>
          <w:color w:val="222222"/>
          <w:sz w:val="24"/>
          <w:szCs w:val="24"/>
          <w:highlight w:val="white"/>
          <w:lang w:val="en-GB"/>
        </w:rPr>
        <w:t>. Taylor &amp; Francis.</w:t>
      </w:r>
    </w:p>
    <w:p w14:paraId="778C311B" w14:textId="77777777" w:rsidR="00442ECF" w:rsidRPr="00E1568D" w:rsidRDefault="00442ECF" w:rsidP="00442ECF">
      <w:pPr>
        <w:spacing w:before="240" w:line="360" w:lineRule="auto"/>
        <w:jc w:val="both"/>
        <w:rPr>
          <w:rFonts w:ascii="Times New Roman" w:hAnsi="Times New Roman" w:cs="Times New Roman"/>
          <w:color w:val="222222"/>
          <w:sz w:val="24"/>
          <w:szCs w:val="24"/>
          <w:shd w:val="clear" w:color="auto" w:fill="FFFFFF"/>
        </w:rPr>
      </w:pPr>
      <w:r w:rsidRPr="00E1568D">
        <w:rPr>
          <w:rFonts w:ascii="Times New Roman" w:hAnsi="Times New Roman" w:cs="Times New Roman"/>
          <w:color w:val="222222"/>
          <w:sz w:val="24"/>
          <w:szCs w:val="24"/>
          <w:shd w:val="clear" w:color="auto" w:fill="FFFFFF"/>
        </w:rPr>
        <w:t xml:space="preserve">Carney, M., (2016). The </w:t>
      </w:r>
      <w:proofErr w:type="spellStart"/>
      <w:r w:rsidRPr="00E1568D">
        <w:rPr>
          <w:rFonts w:ascii="Times New Roman" w:hAnsi="Times New Roman" w:cs="Times New Roman"/>
          <w:color w:val="222222"/>
          <w:sz w:val="24"/>
          <w:szCs w:val="24"/>
          <w:shd w:val="clear" w:color="auto" w:fill="FFFFFF"/>
        </w:rPr>
        <w:t>spectre</w:t>
      </w:r>
      <w:proofErr w:type="spellEnd"/>
      <w:r w:rsidRPr="00E1568D">
        <w:rPr>
          <w:rFonts w:ascii="Times New Roman" w:hAnsi="Times New Roman" w:cs="Times New Roman"/>
          <w:color w:val="222222"/>
          <w:sz w:val="24"/>
          <w:szCs w:val="24"/>
          <w:shd w:val="clear" w:color="auto" w:fill="FFFFFF"/>
        </w:rPr>
        <w:t xml:space="preserve"> of monetarism. </w:t>
      </w:r>
      <w:r w:rsidRPr="00E1568D">
        <w:rPr>
          <w:rFonts w:ascii="Times New Roman" w:hAnsi="Times New Roman" w:cs="Times New Roman"/>
          <w:i/>
          <w:iCs/>
          <w:color w:val="222222"/>
          <w:sz w:val="24"/>
          <w:szCs w:val="24"/>
          <w:shd w:val="clear" w:color="auto" w:fill="FFFFFF"/>
        </w:rPr>
        <w:t xml:space="preserve">Speech presented at Roscoe Lecture at Liverpool John </w:t>
      </w:r>
      <w:proofErr w:type="spellStart"/>
      <w:r w:rsidRPr="00E1568D">
        <w:rPr>
          <w:rFonts w:ascii="Times New Roman" w:hAnsi="Times New Roman" w:cs="Times New Roman"/>
          <w:i/>
          <w:iCs/>
          <w:color w:val="222222"/>
          <w:sz w:val="24"/>
          <w:szCs w:val="24"/>
          <w:shd w:val="clear" w:color="auto" w:fill="FFFFFF"/>
        </w:rPr>
        <w:t>Moores</w:t>
      </w:r>
      <w:proofErr w:type="spellEnd"/>
      <w:r w:rsidRPr="00E1568D">
        <w:rPr>
          <w:rFonts w:ascii="Times New Roman" w:hAnsi="Times New Roman" w:cs="Times New Roman"/>
          <w:i/>
          <w:iCs/>
          <w:color w:val="222222"/>
          <w:sz w:val="24"/>
          <w:szCs w:val="24"/>
          <w:shd w:val="clear" w:color="auto" w:fill="FFFFFF"/>
        </w:rPr>
        <w:t xml:space="preserve"> University in Liverpool, UK</w:t>
      </w:r>
      <w:r w:rsidRPr="00E1568D">
        <w:rPr>
          <w:rFonts w:ascii="Times New Roman" w:hAnsi="Times New Roman" w:cs="Times New Roman"/>
          <w:color w:val="222222"/>
          <w:sz w:val="24"/>
          <w:szCs w:val="24"/>
          <w:shd w:val="clear" w:color="auto" w:fill="FFFFFF"/>
        </w:rPr>
        <w:t>.</w:t>
      </w:r>
    </w:p>
    <w:p w14:paraId="5844D437" w14:textId="77777777" w:rsidR="00442ECF" w:rsidRPr="00E1568D" w:rsidRDefault="00442ECF" w:rsidP="00442ECF">
      <w:pPr>
        <w:spacing w:before="240" w:line="360" w:lineRule="auto"/>
        <w:jc w:val="both"/>
        <w:rPr>
          <w:rFonts w:ascii="Times New Roman" w:hAnsi="Times New Roman" w:cs="Times New Roman"/>
          <w:color w:val="222222"/>
          <w:sz w:val="24"/>
          <w:szCs w:val="24"/>
          <w:shd w:val="clear" w:color="auto" w:fill="FFFFFF"/>
        </w:rPr>
      </w:pPr>
      <w:proofErr w:type="spellStart"/>
      <w:r w:rsidRPr="000172CE">
        <w:rPr>
          <w:rFonts w:ascii="Times New Roman" w:hAnsi="Times New Roman" w:cs="Times New Roman"/>
          <w:color w:val="222222"/>
          <w:sz w:val="24"/>
          <w:szCs w:val="24"/>
          <w:shd w:val="clear" w:color="auto" w:fill="FFFFFF"/>
          <w:lang w:val="nl-NL"/>
        </w:rPr>
        <w:t>Vaggi</w:t>
      </w:r>
      <w:proofErr w:type="spellEnd"/>
      <w:r w:rsidRPr="000172CE">
        <w:rPr>
          <w:rFonts w:ascii="Times New Roman" w:hAnsi="Times New Roman" w:cs="Times New Roman"/>
          <w:color w:val="222222"/>
          <w:sz w:val="24"/>
          <w:szCs w:val="24"/>
          <w:shd w:val="clear" w:color="auto" w:fill="FFFFFF"/>
          <w:lang w:val="nl-NL"/>
        </w:rPr>
        <w:t xml:space="preserve">, G. </w:t>
      </w:r>
      <w:proofErr w:type="spellStart"/>
      <w:r w:rsidRPr="000172CE">
        <w:rPr>
          <w:rFonts w:ascii="Times New Roman" w:hAnsi="Times New Roman" w:cs="Times New Roman"/>
          <w:color w:val="222222"/>
          <w:sz w:val="24"/>
          <w:szCs w:val="24"/>
          <w:shd w:val="clear" w:color="auto" w:fill="FFFFFF"/>
          <w:lang w:val="nl-NL"/>
        </w:rPr>
        <w:t>and</w:t>
      </w:r>
      <w:proofErr w:type="spellEnd"/>
      <w:r w:rsidRPr="000172CE">
        <w:rPr>
          <w:rFonts w:ascii="Times New Roman" w:hAnsi="Times New Roman" w:cs="Times New Roman"/>
          <w:color w:val="222222"/>
          <w:sz w:val="24"/>
          <w:szCs w:val="24"/>
          <w:shd w:val="clear" w:color="auto" w:fill="FFFFFF"/>
          <w:lang w:val="nl-NL"/>
        </w:rPr>
        <w:t xml:space="preserve"> Groenewegen, P., (2016). </w:t>
      </w:r>
      <w:r w:rsidRPr="00E1568D">
        <w:rPr>
          <w:rFonts w:ascii="Times New Roman" w:hAnsi="Times New Roman" w:cs="Times New Roman"/>
          <w:i/>
          <w:iCs/>
          <w:color w:val="222222"/>
          <w:sz w:val="24"/>
          <w:szCs w:val="24"/>
          <w:shd w:val="clear" w:color="auto" w:fill="FFFFFF"/>
        </w:rPr>
        <w:t>A concise history of economic thought: From mercantilism to monetarism</w:t>
      </w:r>
      <w:r w:rsidRPr="00E1568D">
        <w:rPr>
          <w:rFonts w:ascii="Times New Roman" w:hAnsi="Times New Roman" w:cs="Times New Roman"/>
          <w:color w:val="222222"/>
          <w:sz w:val="24"/>
          <w:szCs w:val="24"/>
          <w:shd w:val="clear" w:color="auto" w:fill="FFFFFF"/>
        </w:rPr>
        <w:t>. Springer.</w:t>
      </w:r>
    </w:p>
    <w:p w14:paraId="638E221D" w14:textId="77777777" w:rsidR="00442ECF" w:rsidRPr="00E1568D" w:rsidRDefault="00442ECF" w:rsidP="00442ECF">
      <w:pPr>
        <w:spacing w:before="240" w:line="360" w:lineRule="auto"/>
        <w:jc w:val="both"/>
        <w:rPr>
          <w:rFonts w:ascii="Times New Roman" w:hAnsi="Times New Roman" w:cs="Times New Roman"/>
          <w:color w:val="222222"/>
          <w:sz w:val="24"/>
          <w:szCs w:val="24"/>
          <w:shd w:val="clear" w:color="auto" w:fill="FFFFFF"/>
        </w:rPr>
      </w:pPr>
      <w:r w:rsidRPr="00E1568D">
        <w:rPr>
          <w:rFonts w:ascii="Times New Roman" w:hAnsi="Times New Roman" w:cs="Times New Roman"/>
          <w:color w:val="222222"/>
          <w:sz w:val="24"/>
          <w:szCs w:val="24"/>
          <w:shd w:val="clear" w:color="auto" w:fill="FFFFFF"/>
        </w:rPr>
        <w:t>Lavoie, M., (2022). Post-Keynesian Economics. </w:t>
      </w:r>
      <w:r w:rsidRPr="00E1568D">
        <w:rPr>
          <w:rFonts w:ascii="Times New Roman" w:hAnsi="Times New Roman" w:cs="Times New Roman"/>
          <w:i/>
          <w:iCs/>
          <w:color w:val="222222"/>
          <w:sz w:val="24"/>
          <w:szCs w:val="24"/>
          <w:shd w:val="clear" w:color="auto" w:fill="FFFFFF"/>
        </w:rPr>
        <w:t>Books</w:t>
      </w:r>
      <w:r w:rsidRPr="00E1568D">
        <w:rPr>
          <w:rFonts w:ascii="Times New Roman" w:hAnsi="Times New Roman" w:cs="Times New Roman"/>
          <w:color w:val="222222"/>
          <w:sz w:val="24"/>
          <w:szCs w:val="24"/>
          <w:shd w:val="clear" w:color="auto" w:fill="FFFFFF"/>
        </w:rPr>
        <w:t>.</w:t>
      </w:r>
    </w:p>
    <w:p w14:paraId="5EBF8E19" w14:textId="77777777" w:rsidR="00442ECF" w:rsidRPr="00E1568D" w:rsidRDefault="00442ECF" w:rsidP="00442ECF">
      <w:pPr>
        <w:spacing w:before="240" w:line="360" w:lineRule="auto"/>
        <w:jc w:val="both"/>
        <w:rPr>
          <w:rFonts w:ascii="Times New Roman" w:hAnsi="Times New Roman" w:cs="Times New Roman"/>
          <w:color w:val="222222"/>
          <w:sz w:val="24"/>
          <w:szCs w:val="24"/>
          <w:shd w:val="clear" w:color="auto" w:fill="FFFFFF"/>
        </w:rPr>
      </w:pPr>
      <w:r w:rsidRPr="00E1568D">
        <w:rPr>
          <w:rFonts w:ascii="Times New Roman" w:hAnsi="Times New Roman" w:cs="Times New Roman"/>
          <w:color w:val="222222"/>
          <w:sz w:val="24"/>
          <w:szCs w:val="24"/>
          <w:shd w:val="clear" w:color="auto" w:fill="FFFFFF"/>
        </w:rPr>
        <w:t>Kaldor, N., (2015). Keynesian economics after fifty years. In </w:t>
      </w:r>
      <w:r w:rsidRPr="00E1568D">
        <w:rPr>
          <w:rFonts w:ascii="Times New Roman" w:hAnsi="Times New Roman" w:cs="Times New Roman"/>
          <w:i/>
          <w:iCs/>
          <w:color w:val="222222"/>
          <w:sz w:val="24"/>
          <w:szCs w:val="24"/>
          <w:shd w:val="clear" w:color="auto" w:fill="FFFFFF"/>
        </w:rPr>
        <w:t xml:space="preserve">Essays on Keynesian and </w:t>
      </w:r>
      <w:proofErr w:type="spellStart"/>
      <w:r w:rsidRPr="00E1568D">
        <w:rPr>
          <w:rFonts w:ascii="Times New Roman" w:hAnsi="Times New Roman" w:cs="Times New Roman"/>
          <w:i/>
          <w:iCs/>
          <w:color w:val="222222"/>
          <w:sz w:val="24"/>
          <w:szCs w:val="24"/>
          <w:shd w:val="clear" w:color="auto" w:fill="FFFFFF"/>
        </w:rPr>
        <w:t>Kaldorian</w:t>
      </w:r>
      <w:proofErr w:type="spellEnd"/>
      <w:r w:rsidRPr="00E1568D">
        <w:rPr>
          <w:rFonts w:ascii="Times New Roman" w:hAnsi="Times New Roman" w:cs="Times New Roman"/>
          <w:i/>
          <w:iCs/>
          <w:color w:val="222222"/>
          <w:sz w:val="24"/>
          <w:szCs w:val="24"/>
          <w:shd w:val="clear" w:color="auto" w:fill="FFFFFF"/>
        </w:rPr>
        <w:t xml:space="preserve"> Economics</w:t>
      </w:r>
      <w:r w:rsidRPr="00E1568D">
        <w:rPr>
          <w:rFonts w:ascii="Times New Roman" w:hAnsi="Times New Roman" w:cs="Times New Roman"/>
          <w:color w:val="222222"/>
          <w:sz w:val="24"/>
          <w:szCs w:val="24"/>
          <w:shd w:val="clear" w:color="auto" w:fill="FFFFFF"/>
        </w:rPr>
        <w:t> (pp. 27-74). Palgrave Macmillan, London.</w:t>
      </w:r>
    </w:p>
    <w:p w14:paraId="75BB2D92" w14:textId="77777777" w:rsidR="00442ECF" w:rsidRPr="00E1568D" w:rsidRDefault="00442ECF" w:rsidP="00442ECF">
      <w:pPr>
        <w:spacing w:before="240" w:line="360" w:lineRule="auto"/>
        <w:jc w:val="both"/>
        <w:rPr>
          <w:rFonts w:ascii="Times New Roman" w:hAnsi="Times New Roman" w:cs="Times New Roman"/>
          <w:color w:val="222222"/>
          <w:sz w:val="24"/>
          <w:szCs w:val="24"/>
          <w:shd w:val="clear" w:color="auto" w:fill="FFFFFF"/>
        </w:rPr>
      </w:pPr>
      <w:r w:rsidRPr="00E1568D">
        <w:rPr>
          <w:rFonts w:ascii="Times New Roman" w:hAnsi="Times New Roman" w:cs="Times New Roman"/>
          <w:color w:val="222222"/>
          <w:sz w:val="24"/>
          <w:szCs w:val="24"/>
          <w:shd w:val="clear" w:color="auto" w:fill="FFFFFF"/>
        </w:rPr>
        <w:t xml:space="preserve">Besanko, D. and </w:t>
      </w:r>
      <w:proofErr w:type="spellStart"/>
      <w:r w:rsidRPr="00E1568D">
        <w:rPr>
          <w:rFonts w:ascii="Times New Roman" w:hAnsi="Times New Roman" w:cs="Times New Roman"/>
          <w:color w:val="222222"/>
          <w:sz w:val="24"/>
          <w:szCs w:val="24"/>
          <w:shd w:val="clear" w:color="auto" w:fill="FFFFFF"/>
        </w:rPr>
        <w:t>Braeutigam</w:t>
      </w:r>
      <w:proofErr w:type="spellEnd"/>
      <w:r w:rsidRPr="00E1568D">
        <w:rPr>
          <w:rFonts w:ascii="Times New Roman" w:hAnsi="Times New Roman" w:cs="Times New Roman"/>
          <w:color w:val="222222"/>
          <w:sz w:val="24"/>
          <w:szCs w:val="24"/>
          <w:shd w:val="clear" w:color="auto" w:fill="FFFFFF"/>
        </w:rPr>
        <w:t>, R., (2020). </w:t>
      </w:r>
      <w:r w:rsidRPr="00E1568D">
        <w:rPr>
          <w:rFonts w:ascii="Times New Roman" w:hAnsi="Times New Roman" w:cs="Times New Roman"/>
          <w:i/>
          <w:iCs/>
          <w:color w:val="222222"/>
          <w:sz w:val="24"/>
          <w:szCs w:val="24"/>
          <w:shd w:val="clear" w:color="auto" w:fill="FFFFFF"/>
        </w:rPr>
        <w:t>Microeconomics</w:t>
      </w:r>
      <w:r w:rsidRPr="00E1568D">
        <w:rPr>
          <w:rFonts w:ascii="Times New Roman" w:hAnsi="Times New Roman" w:cs="Times New Roman"/>
          <w:color w:val="222222"/>
          <w:sz w:val="24"/>
          <w:szCs w:val="24"/>
          <w:shd w:val="clear" w:color="auto" w:fill="FFFFFF"/>
        </w:rPr>
        <w:t>. John Wiley &amp; Sons.</w:t>
      </w:r>
    </w:p>
    <w:p w14:paraId="28D027BC" w14:textId="77777777" w:rsidR="00442ECF" w:rsidRPr="00E1568D" w:rsidRDefault="00442ECF" w:rsidP="00442ECF">
      <w:pPr>
        <w:spacing w:before="240" w:line="360" w:lineRule="auto"/>
        <w:jc w:val="both"/>
        <w:rPr>
          <w:rFonts w:ascii="Times New Roman" w:hAnsi="Times New Roman" w:cs="Times New Roman"/>
          <w:color w:val="222222"/>
          <w:sz w:val="24"/>
          <w:szCs w:val="24"/>
          <w:shd w:val="clear" w:color="auto" w:fill="FFFFFF"/>
        </w:rPr>
      </w:pPr>
      <w:r w:rsidRPr="00E1568D">
        <w:rPr>
          <w:rFonts w:ascii="Times New Roman" w:hAnsi="Times New Roman" w:cs="Times New Roman"/>
          <w:color w:val="222222"/>
          <w:sz w:val="24"/>
          <w:szCs w:val="24"/>
          <w:shd w:val="clear" w:color="auto" w:fill="FFFFFF"/>
        </w:rPr>
        <w:t>Arnold, R.A., Arnold, D.R. and Arnold, D.H., ()2022. </w:t>
      </w:r>
      <w:r w:rsidRPr="00E1568D">
        <w:rPr>
          <w:rFonts w:ascii="Times New Roman" w:hAnsi="Times New Roman" w:cs="Times New Roman"/>
          <w:i/>
          <w:iCs/>
          <w:color w:val="222222"/>
          <w:sz w:val="24"/>
          <w:szCs w:val="24"/>
          <w:shd w:val="clear" w:color="auto" w:fill="FFFFFF"/>
        </w:rPr>
        <w:t>Microeconomics</w:t>
      </w:r>
      <w:r w:rsidRPr="00E1568D">
        <w:rPr>
          <w:rFonts w:ascii="Times New Roman" w:hAnsi="Times New Roman" w:cs="Times New Roman"/>
          <w:color w:val="222222"/>
          <w:sz w:val="24"/>
          <w:szCs w:val="24"/>
          <w:shd w:val="clear" w:color="auto" w:fill="FFFFFF"/>
        </w:rPr>
        <w:t>. Cengage Learning.</w:t>
      </w:r>
    </w:p>
    <w:p w14:paraId="54912E23" w14:textId="77777777" w:rsidR="00442ECF" w:rsidRPr="00E1568D" w:rsidRDefault="00442ECF" w:rsidP="00442ECF">
      <w:pPr>
        <w:spacing w:before="240" w:line="360" w:lineRule="auto"/>
        <w:jc w:val="both"/>
        <w:rPr>
          <w:rFonts w:ascii="Times New Roman" w:hAnsi="Times New Roman" w:cs="Times New Roman"/>
          <w:color w:val="222222"/>
          <w:sz w:val="24"/>
          <w:szCs w:val="24"/>
          <w:shd w:val="clear" w:color="auto" w:fill="FFFFFF"/>
        </w:rPr>
      </w:pPr>
      <w:r w:rsidRPr="00E1568D">
        <w:rPr>
          <w:rFonts w:ascii="Times New Roman" w:hAnsi="Times New Roman" w:cs="Times New Roman"/>
          <w:color w:val="222222"/>
          <w:sz w:val="24"/>
          <w:szCs w:val="24"/>
          <w:shd w:val="clear" w:color="auto" w:fill="FFFFFF"/>
        </w:rPr>
        <w:t>Tucker, I.B., (2022). </w:t>
      </w:r>
      <w:r w:rsidRPr="00E1568D">
        <w:rPr>
          <w:rFonts w:ascii="Times New Roman" w:hAnsi="Times New Roman" w:cs="Times New Roman"/>
          <w:i/>
          <w:iCs/>
          <w:color w:val="222222"/>
          <w:sz w:val="24"/>
          <w:szCs w:val="24"/>
          <w:shd w:val="clear" w:color="auto" w:fill="FFFFFF"/>
        </w:rPr>
        <w:t>Microeconomics for today</w:t>
      </w:r>
      <w:r w:rsidRPr="00E1568D">
        <w:rPr>
          <w:rFonts w:ascii="Times New Roman" w:hAnsi="Times New Roman" w:cs="Times New Roman"/>
          <w:color w:val="222222"/>
          <w:sz w:val="24"/>
          <w:szCs w:val="24"/>
          <w:shd w:val="clear" w:color="auto" w:fill="FFFFFF"/>
        </w:rPr>
        <w:t>. Cengage Learning.</w:t>
      </w:r>
    </w:p>
    <w:p w14:paraId="60A3E28F" w14:textId="77777777" w:rsidR="00442ECF" w:rsidRPr="00E1568D" w:rsidRDefault="00442ECF" w:rsidP="00442ECF">
      <w:pPr>
        <w:spacing w:before="240" w:line="360" w:lineRule="auto"/>
        <w:jc w:val="both"/>
        <w:rPr>
          <w:rFonts w:ascii="Times New Roman" w:hAnsi="Times New Roman" w:cs="Times New Roman"/>
          <w:color w:val="222222"/>
          <w:sz w:val="24"/>
          <w:szCs w:val="24"/>
          <w:shd w:val="clear" w:color="auto" w:fill="FFFFFF"/>
        </w:rPr>
      </w:pPr>
      <w:r w:rsidRPr="00E1568D">
        <w:rPr>
          <w:rFonts w:ascii="Times New Roman" w:hAnsi="Times New Roman" w:cs="Times New Roman"/>
          <w:color w:val="222222"/>
          <w:sz w:val="24"/>
          <w:szCs w:val="24"/>
          <w:shd w:val="clear" w:color="auto" w:fill="FFFFFF"/>
        </w:rPr>
        <w:lastRenderedPageBreak/>
        <w:t>Browning, E.K. and Zupan, M.A., (2020). </w:t>
      </w:r>
      <w:r w:rsidRPr="00E1568D">
        <w:rPr>
          <w:rFonts w:ascii="Times New Roman" w:hAnsi="Times New Roman" w:cs="Times New Roman"/>
          <w:i/>
          <w:iCs/>
          <w:color w:val="222222"/>
          <w:sz w:val="24"/>
          <w:szCs w:val="24"/>
          <w:shd w:val="clear" w:color="auto" w:fill="FFFFFF"/>
        </w:rPr>
        <w:t>Microeconomics: Theory and applications</w:t>
      </w:r>
      <w:r w:rsidRPr="00E1568D">
        <w:rPr>
          <w:rFonts w:ascii="Times New Roman" w:hAnsi="Times New Roman" w:cs="Times New Roman"/>
          <w:color w:val="222222"/>
          <w:sz w:val="24"/>
          <w:szCs w:val="24"/>
          <w:shd w:val="clear" w:color="auto" w:fill="FFFFFF"/>
        </w:rPr>
        <w:t>. John Wiley &amp; Sons.</w:t>
      </w:r>
    </w:p>
    <w:p w14:paraId="27C233E0" w14:textId="77777777" w:rsidR="00442ECF" w:rsidRDefault="00442ECF" w:rsidP="00753955">
      <w:pPr>
        <w:pStyle w:val="Normal1"/>
        <w:spacing w:before="240" w:after="240" w:line="360" w:lineRule="auto"/>
        <w:jc w:val="both"/>
        <w:rPr>
          <w:rFonts w:ascii="Times New Roman" w:eastAsia="Times New Roman" w:hAnsi="Times New Roman" w:cs="Times New Roman"/>
          <w:sz w:val="24"/>
          <w:szCs w:val="24"/>
        </w:rPr>
      </w:pPr>
    </w:p>
    <w:p w14:paraId="2D1F286D" w14:textId="77777777" w:rsidR="00F235AA" w:rsidRDefault="00F235AA">
      <w:pPr>
        <w:pStyle w:val="Normal1"/>
        <w:spacing w:before="240" w:after="240"/>
        <w:jc w:val="both"/>
        <w:rPr>
          <w:rFonts w:ascii="Times New Roman" w:eastAsia="Times New Roman" w:hAnsi="Times New Roman" w:cs="Times New Roman"/>
          <w:b/>
          <w:sz w:val="24"/>
          <w:szCs w:val="24"/>
        </w:rPr>
      </w:pPr>
    </w:p>
    <w:p w14:paraId="1F5EBB56" w14:textId="77777777" w:rsidR="00F235AA" w:rsidRDefault="00F235AA">
      <w:pPr>
        <w:pStyle w:val="Normal1"/>
        <w:rPr>
          <w:rFonts w:ascii="Times New Roman" w:eastAsia="Times New Roman" w:hAnsi="Times New Roman" w:cs="Times New Roman"/>
          <w:sz w:val="24"/>
          <w:szCs w:val="24"/>
        </w:rPr>
      </w:pPr>
    </w:p>
    <w:sectPr w:rsidR="00F235AA" w:rsidSect="00753955">
      <w:footerReference w:type="defaul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A3FB4" w14:textId="77777777" w:rsidR="00816C02" w:rsidRDefault="00816C02" w:rsidP="00F235AA">
      <w:pPr>
        <w:spacing w:line="240" w:lineRule="auto"/>
      </w:pPr>
      <w:r>
        <w:separator/>
      </w:r>
    </w:p>
  </w:endnote>
  <w:endnote w:type="continuationSeparator" w:id="0">
    <w:p w14:paraId="227B5937" w14:textId="77777777" w:rsidR="00816C02" w:rsidRDefault="00816C02" w:rsidP="00F235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1617987"/>
      <w:docPartObj>
        <w:docPartGallery w:val="Page Numbers (Bottom of Page)"/>
        <w:docPartUnique/>
      </w:docPartObj>
    </w:sdtPr>
    <w:sdtEndPr/>
    <w:sdtContent>
      <w:p w14:paraId="2D332B0A" w14:textId="77777777" w:rsidR="00753955" w:rsidRPr="00753955" w:rsidRDefault="00753955">
        <w:pPr>
          <w:pStyle w:val="Footer"/>
          <w:jc w:val="right"/>
          <w:rPr>
            <w:rFonts w:ascii="Times New Roman" w:hAnsi="Times New Roman" w:cs="Times New Roman"/>
            <w:sz w:val="24"/>
            <w:szCs w:val="24"/>
          </w:rPr>
        </w:pPr>
        <w:r w:rsidRPr="00753955">
          <w:rPr>
            <w:rFonts w:ascii="Times New Roman" w:hAnsi="Times New Roman" w:cs="Times New Roman"/>
            <w:sz w:val="24"/>
            <w:szCs w:val="24"/>
          </w:rPr>
          <w:t xml:space="preserve">Page | </w:t>
        </w:r>
        <w:r w:rsidRPr="00753955">
          <w:rPr>
            <w:rFonts w:ascii="Times New Roman" w:hAnsi="Times New Roman" w:cs="Times New Roman"/>
            <w:sz w:val="24"/>
            <w:szCs w:val="24"/>
          </w:rPr>
          <w:fldChar w:fldCharType="begin"/>
        </w:r>
        <w:r w:rsidRPr="00753955">
          <w:rPr>
            <w:rFonts w:ascii="Times New Roman" w:hAnsi="Times New Roman" w:cs="Times New Roman"/>
            <w:sz w:val="24"/>
            <w:szCs w:val="24"/>
          </w:rPr>
          <w:instrText xml:space="preserve"> PAGE   \* MERGEFORMAT </w:instrText>
        </w:r>
        <w:r w:rsidRPr="00753955">
          <w:rPr>
            <w:rFonts w:ascii="Times New Roman" w:hAnsi="Times New Roman" w:cs="Times New Roman"/>
            <w:sz w:val="24"/>
            <w:szCs w:val="24"/>
          </w:rPr>
          <w:fldChar w:fldCharType="separate"/>
        </w:r>
        <w:r>
          <w:rPr>
            <w:rFonts w:ascii="Times New Roman" w:hAnsi="Times New Roman" w:cs="Times New Roman"/>
            <w:noProof/>
            <w:sz w:val="24"/>
            <w:szCs w:val="24"/>
          </w:rPr>
          <w:t>5</w:t>
        </w:r>
        <w:r w:rsidRPr="00753955">
          <w:rPr>
            <w:rFonts w:ascii="Times New Roman" w:hAnsi="Times New Roman" w:cs="Times New Roman"/>
            <w:sz w:val="24"/>
            <w:szCs w:val="24"/>
          </w:rPr>
          <w:fldChar w:fldCharType="end"/>
        </w:r>
        <w:r w:rsidRPr="00753955">
          <w:rPr>
            <w:rFonts w:ascii="Times New Roman" w:hAnsi="Times New Roman" w:cs="Times New Roman"/>
            <w:sz w:val="24"/>
            <w:szCs w:val="24"/>
          </w:rPr>
          <w:t xml:space="preserve"> </w:t>
        </w:r>
      </w:p>
    </w:sdtContent>
  </w:sdt>
  <w:p w14:paraId="1F06DBB4" w14:textId="77777777" w:rsidR="00753955" w:rsidRDefault="00753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E3CD4" w14:textId="77777777" w:rsidR="00816C02" w:rsidRDefault="00816C02" w:rsidP="00F235AA">
      <w:pPr>
        <w:spacing w:line="240" w:lineRule="auto"/>
      </w:pPr>
      <w:r>
        <w:separator/>
      </w:r>
    </w:p>
  </w:footnote>
  <w:footnote w:type="continuationSeparator" w:id="0">
    <w:p w14:paraId="3E3A4021" w14:textId="77777777" w:rsidR="00816C02" w:rsidRDefault="00816C02" w:rsidP="00F235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9181F"/>
    <w:multiLevelType w:val="hybridMultilevel"/>
    <w:tmpl w:val="06C06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1225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AA"/>
    <w:rsid w:val="000172CE"/>
    <w:rsid w:val="002B5037"/>
    <w:rsid w:val="00442ECF"/>
    <w:rsid w:val="006C525A"/>
    <w:rsid w:val="00740AF3"/>
    <w:rsid w:val="00753955"/>
    <w:rsid w:val="00816C02"/>
    <w:rsid w:val="00E86B4C"/>
    <w:rsid w:val="00F23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ACAC9"/>
  <w15:docId w15:val="{9A7CB295-A64B-4614-A150-91FC29981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53955"/>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rsid w:val="00F235AA"/>
    <w:pPr>
      <w:keepNext/>
      <w:keepLines/>
      <w:spacing w:before="360" w:after="120"/>
      <w:outlineLvl w:val="1"/>
    </w:pPr>
    <w:rPr>
      <w:sz w:val="32"/>
      <w:szCs w:val="32"/>
    </w:rPr>
  </w:style>
  <w:style w:type="paragraph" w:styleId="Heading3">
    <w:name w:val="heading 3"/>
    <w:basedOn w:val="Normal1"/>
    <w:next w:val="Normal1"/>
    <w:rsid w:val="00F235AA"/>
    <w:pPr>
      <w:keepNext/>
      <w:keepLines/>
      <w:spacing w:before="320" w:after="80"/>
      <w:outlineLvl w:val="2"/>
    </w:pPr>
    <w:rPr>
      <w:color w:val="434343"/>
      <w:sz w:val="28"/>
      <w:szCs w:val="28"/>
    </w:rPr>
  </w:style>
  <w:style w:type="paragraph" w:styleId="Heading4">
    <w:name w:val="heading 4"/>
    <w:basedOn w:val="Normal1"/>
    <w:next w:val="Normal1"/>
    <w:rsid w:val="00F235AA"/>
    <w:pPr>
      <w:keepNext/>
      <w:keepLines/>
      <w:spacing w:before="280" w:after="80"/>
      <w:outlineLvl w:val="3"/>
    </w:pPr>
    <w:rPr>
      <w:color w:val="666666"/>
      <w:sz w:val="24"/>
      <w:szCs w:val="24"/>
    </w:rPr>
  </w:style>
  <w:style w:type="paragraph" w:styleId="Heading5">
    <w:name w:val="heading 5"/>
    <w:basedOn w:val="Normal1"/>
    <w:next w:val="Normal1"/>
    <w:rsid w:val="00F235AA"/>
    <w:pPr>
      <w:keepNext/>
      <w:keepLines/>
      <w:spacing w:before="240" w:after="80"/>
      <w:outlineLvl w:val="4"/>
    </w:pPr>
    <w:rPr>
      <w:color w:val="666666"/>
    </w:rPr>
  </w:style>
  <w:style w:type="paragraph" w:styleId="Heading6">
    <w:name w:val="heading 6"/>
    <w:basedOn w:val="Normal1"/>
    <w:next w:val="Normal1"/>
    <w:rsid w:val="00F235A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235AA"/>
  </w:style>
  <w:style w:type="paragraph" w:styleId="Title">
    <w:name w:val="Title"/>
    <w:basedOn w:val="Normal1"/>
    <w:next w:val="Normal1"/>
    <w:rsid w:val="00F235AA"/>
    <w:pPr>
      <w:keepNext/>
      <w:keepLines/>
      <w:spacing w:after="60"/>
    </w:pPr>
    <w:rPr>
      <w:sz w:val="52"/>
      <w:szCs w:val="52"/>
    </w:rPr>
  </w:style>
  <w:style w:type="paragraph" w:styleId="Subtitle">
    <w:name w:val="Subtitle"/>
    <w:basedOn w:val="Normal1"/>
    <w:next w:val="Normal1"/>
    <w:rsid w:val="00F235A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539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3955"/>
    <w:rPr>
      <w:rFonts w:ascii="Tahoma" w:hAnsi="Tahoma" w:cs="Tahoma"/>
      <w:sz w:val="16"/>
      <w:szCs w:val="16"/>
    </w:rPr>
  </w:style>
  <w:style w:type="paragraph" w:styleId="TOCHeading">
    <w:name w:val="TOC Heading"/>
    <w:basedOn w:val="Heading1"/>
    <w:next w:val="Normal"/>
    <w:uiPriority w:val="39"/>
    <w:semiHidden/>
    <w:unhideWhenUsed/>
    <w:qFormat/>
    <w:rsid w:val="00753955"/>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53955"/>
    <w:pPr>
      <w:spacing w:after="100"/>
    </w:pPr>
  </w:style>
  <w:style w:type="character" w:styleId="Hyperlink">
    <w:name w:val="Hyperlink"/>
    <w:basedOn w:val="DefaultParagraphFont"/>
    <w:uiPriority w:val="99"/>
    <w:unhideWhenUsed/>
    <w:rsid w:val="00753955"/>
    <w:rPr>
      <w:color w:val="0000FF" w:themeColor="hyperlink"/>
      <w:u w:val="single"/>
    </w:rPr>
  </w:style>
  <w:style w:type="paragraph" w:styleId="Header">
    <w:name w:val="header"/>
    <w:basedOn w:val="Normal"/>
    <w:link w:val="HeaderChar"/>
    <w:uiPriority w:val="99"/>
    <w:semiHidden/>
    <w:unhideWhenUsed/>
    <w:rsid w:val="0075395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53955"/>
  </w:style>
  <w:style w:type="paragraph" w:styleId="Footer">
    <w:name w:val="footer"/>
    <w:basedOn w:val="Normal"/>
    <w:link w:val="FooterChar"/>
    <w:uiPriority w:val="99"/>
    <w:unhideWhenUsed/>
    <w:rsid w:val="00753955"/>
    <w:pPr>
      <w:tabs>
        <w:tab w:val="center" w:pos="4680"/>
        <w:tab w:val="right" w:pos="9360"/>
      </w:tabs>
      <w:spacing w:line="240" w:lineRule="auto"/>
    </w:pPr>
  </w:style>
  <w:style w:type="character" w:customStyle="1" w:styleId="FooterChar">
    <w:name w:val="Footer Char"/>
    <w:basedOn w:val="DefaultParagraphFont"/>
    <w:link w:val="Footer"/>
    <w:uiPriority w:val="99"/>
    <w:rsid w:val="00753955"/>
  </w:style>
  <w:style w:type="character" w:styleId="FollowedHyperlink">
    <w:name w:val="FollowedHyperlink"/>
    <w:basedOn w:val="DefaultParagraphFont"/>
    <w:uiPriority w:val="99"/>
    <w:semiHidden/>
    <w:unhideWhenUsed/>
    <w:rsid w:val="006C52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Dwipayan%20Elite\Anca%20Oglan_Job%202_BM533_Contemporary%20Economic%20Analysis_05.12.22.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C:\Dwipayan%20Elite\Anca%20Oglan_Job%202_BM533_Contemporary%20Economic%20Analysis_05.12.2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Equilibrium</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10156943553632919"/>
          <c:y val="0.15524793760284153"/>
          <c:w val="0.86366426033834154"/>
          <c:h val="0.67515632842126616"/>
        </c:manualLayout>
      </c:layout>
      <c:lineChart>
        <c:grouping val="standard"/>
        <c:varyColors val="0"/>
        <c:ser>
          <c:idx val="0"/>
          <c:order val="0"/>
          <c:tx>
            <c:strRef>
              <c:f>Sheet1!$B$19</c:f>
              <c:strCache>
                <c:ptCount val="1"/>
                <c:pt idx="0">
                  <c:v>Q. Demanded</c:v>
                </c:pt>
              </c:strCache>
            </c:strRef>
          </c:tx>
          <c:spPr>
            <a:ln w="22225" cap="rnd">
              <a:solidFill>
                <a:schemeClr val="accent1"/>
              </a:solidFill>
              <a:round/>
            </a:ln>
            <a:effectLst/>
          </c:spPr>
          <c:marker>
            <c:symbol val="none"/>
          </c:marker>
          <c:cat>
            <c:numRef>
              <c:f>Sheet1!$A$20:$A$24</c:f>
              <c:numCache>
                <c:formatCode>General</c:formatCode>
                <c:ptCount val="5"/>
                <c:pt idx="0">
                  <c:v>12</c:v>
                </c:pt>
                <c:pt idx="1">
                  <c:v>15</c:v>
                </c:pt>
                <c:pt idx="2">
                  <c:v>18</c:v>
                </c:pt>
                <c:pt idx="3">
                  <c:v>21</c:v>
                </c:pt>
                <c:pt idx="4">
                  <c:v>24</c:v>
                </c:pt>
              </c:numCache>
            </c:numRef>
          </c:cat>
          <c:val>
            <c:numRef>
              <c:f>Sheet1!$B$20:$B$24</c:f>
              <c:numCache>
                <c:formatCode>General</c:formatCode>
                <c:ptCount val="5"/>
                <c:pt idx="0">
                  <c:v>32</c:v>
                </c:pt>
                <c:pt idx="1">
                  <c:v>28</c:v>
                </c:pt>
                <c:pt idx="2">
                  <c:v>24</c:v>
                </c:pt>
                <c:pt idx="3">
                  <c:v>20</c:v>
                </c:pt>
                <c:pt idx="4">
                  <c:v>16</c:v>
                </c:pt>
              </c:numCache>
            </c:numRef>
          </c:val>
          <c:smooth val="0"/>
          <c:extLst>
            <c:ext xmlns:c16="http://schemas.microsoft.com/office/drawing/2014/chart" uri="{C3380CC4-5D6E-409C-BE32-E72D297353CC}">
              <c16:uniqueId val="{00000000-014F-46DB-974E-70D24FD16F84}"/>
            </c:ext>
          </c:extLst>
        </c:ser>
        <c:ser>
          <c:idx val="1"/>
          <c:order val="1"/>
          <c:tx>
            <c:strRef>
              <c:f>Sheet1!$C$19</c:f>
              <c:strCache>
                <c:ptCount val="1"/>
                <c:pt idx="0">
                  <c:v>Q. Supplied</c:v>
                </c:pt>
              </c:strCache>
            </c:strRef>
          </c:tx>
          <c:spPr>
            <a:ln w="22225" cap="rnd">
              <a:solidFill>
                <a:schemeClr val="accent2"/>
              </a:solidFill>
              <a:round/>
            </a:ln>
            <a:effectLst/>
          </c:spPr>
          <c:marker>
            <c:symbol val="none"/>
          </c:marker>
          <c:cat>
            <c:numRef>
              <c:f>Sheet1!$A$20:$A$24</c:f>
              <c:numCache>
                <c:formatCode>General</c:formatCode>
                <c:ptCount val="5"/>
                <c:pt idx="0">
                  <c:v>12</c:v>
                </c:pt>
                <c:pt idx="1">
                  <c:v>15</c:v>
                </c:pt>
                <c:pt idx="2">
                  <c:v>18</c:v>
                </c:pt>
                <c:pt idx="3">
                  <c:v>21</c:v>
                </c:pt>
                <c:pt idx="4">
                  <c:v>24</c:v>
                </c:pt>
              </c:numCache>
            </c:numRef>
          </c:cat>
          <c:val>
            <c:numRef>
              <c:f>Sheet1!$C$20:$C$24</c:f>
              <c:numCache>
                <c:formatCode>General</c:formatCode>
                <c:ptCount val="5"/>
                <c:pt idx="0">
                  <c:v>6</c:v>
                </c:pt>
                <c:pt idx="1">
                  <c:v>13</c:v>
                </c:pt>
                <c:pt idx="2">
                  <c:v>20</c:v>
                </c:pt>
                <c:pt idx="3">
                  <c:v>27</c:v>
                </c:pt>
                <c:pt idx="4">
                  <c:v>34</c:v>
                </c:pt>
              </c:numCache>
            </c:numRef>
          </c:val>
          <c:smooth val="0"/>
          <c:extLst>
            <c:ext xmlns:c16="http://schemas.microsoft.com/office/drawing/2014/chart" uri="{C3380CC4-5D6E-409C-BE32-E72D297353CC}">
              <c16:uniqueId val="{00000001-014F-46DB-974E-70D24FD16F84}"/>
            </c:ext>
          </c:extLst>
        </c:ser>
        <c:ser>
          <c:idx val="2"/>
          <c:order val="2"/>
          <c:tx>
            <c:strRef>
              <c:f>Sheet1!$D$19</c:f>
              <c:strCache>
                <c:ptCount val="1"/>
                <c:pt idx="0">
                  <c:v>Q. Demanded 2</c:v>
                </c:pt>
              </c:strCache>
            </c:strRef>
          </c:tx>
          <c:spPr>
            <a:ln w="22225" cap="rnd">
              <a:solidFill>
                <a:schemeClr val="accent3"/>
              </a:solidFill>
              <a:round/>
            </a:ln>
            <a:effectLst/>
          </c:spPr>
          <c:marker>
            <c:symbol val="none"/>
          </c:marker>
          <c:val>
            <c:numRef>
              <c:f>Sheet1!$D$20:$D$24</c:f>
              <c:numCache>
                <c:formatCode>General</c:formatCode>
                <c:ptCount val="5"/>
                <c:pt idx="0">
                  <c:v>35</c:v>
                </c:pt>
                <c:pt idx="1">
                  <c:v>31</c:v>
                </c:pt>
                <c:pt idx="2">
                  <c:v>27</c:v>
                </c:pt>
                <c:pt idx="3">
                  <c:v>23</c:v>
                </c:pt>
                <c:pt idx="4">
                  <c:v>19</c:v>
                </c:pt>
              </c:numCache>
            </c:numRef>
          </c:val>
          <c:smooth val="0"/>
          <c:extLst>
            <c:ext xmlns:c16="http://schemas.microsoft.com/office/drawing/2014/chart" uri="{C3380CC4-5D6E-409C-BE32-E72D297353CC}">
              <c16:uniqueId val="{00000002-014F-46DB-974E-70D24FD16F84}"/>
            </c:ext>
          </c:extLst>
        </c:ser>
        <c:dLbls>
          <c:showLegendKey val="0"/>
          <c:showVal val="0"/>
          <c:showCatName val="0"/>
          <c:showSerName val="0"/>
          <c:showPercent val="0"/>
          <c:showBubbleSize val="0"/>
        </c:dLbls>
        <c:smooth val="0"/>
        <c:axId val="2024955023"/>
        <c:axId val="2024947535"/>
      </c:lineChart>
      <c:catAx>
        <c:axId val="2024955023"/>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Quantity</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24947535"/>
        <c:crosses val="autoZero"/>
        <c:auto val="1"/>
        <c:lblAlgn val="ctr"/>
        <c:lblOffset val="100"/>
        <c:noMultiLvlLbl val="0"/>
      </c:catAx>
      <c:valAx>
        <c:axId val="2024947535"/>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Price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24955023"/>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Equilibrium</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10156943553632919"/>
          <c:y val="0.15524793760284153"/>
          <c:w val="0.86366426033834154"/>
          <c:h val="0.67515632842126616"/>
        </c:manualLayout>
      </c:layout>
      <c:lineChart>
        <c:grouping val="standard"/>
        <c:varyColors val="0"/>
        <c:ser>
          <c:idx val="0"/>
          <c:order val="0"/>
          <c:tx>
            <c:strRef>
              <c:f>Sheet1!$B$19</c:f>
              <c:strCache>
                <c:ptCount val="1"/>
                <c:pt idx="0">
                  <c:v>Q. Demanded</c:v>
                </c:pt>
              </c:strCache>
            </c:strRef>
          </c:tx>
          <c:spPr>
            <a:ln w="22225" cap="rnd">
              <a:solidFill>
                <a:schemeClr val="accent1"/>
              </a:solidFill>
              <a:round/>
            </a:ln>
            <a:effectLst/>
          </c:spPr>
          <c:marker>
            <c:symbol val="none"/>
          </c:marker>
          <c:cat>
            <c:numRef>
              <c:f>Sheet1!$A$20:$A$24</c:f>
              <c:numCache>
                <c:formatCode>General</c:formatCode>
                <c:ptCount val="5"/>
                <c:pt idx="0">
                  <c:v>12</c:v>
                </c:pt>
                <c:pt idx="1">
                  <c:v>15</c:v>
                </c:pt>
                <c:pt idx="2">
                  <c:v>18</c:v>
                </c:pt>
                <c:pt idx="3">
                  <c:v>21</c:v>
                </c:pt>
                <c:pt idx="4">
                  <c:v>24</c:v>
                </c:pt>
              </c:numCache>
            </c:numRef>
          </c:cat>
          <c:val>
            <c:numRef>
              <c:f>Sheet1!$B$20:$B$24</c:f>
              <c:numCache>
                <c:formatCode>General</c:formatCode>
                <c:ptCount val="5"/>
                <c:pt idx="0">
                  <c:v>32</c:v>
                </c:pt>
                <c:pt idx="1">
                  <c:v>28</c:v>
                </c:pt>
                <c:pt idx="2">
                  <c:v>24</c:v>
                </c:pt>
                <c:pt idx="3">
                  <c:v>20</c:v>
                </c:pt>
                <c:pt idx="4">
                  <c:v>16</c:v>
                </c:pt>
              </c:numCache>
            </c:numRef>
          </c:val>
          <c:smooth val="0"/>
          <c:extLst>
            <c:ext xmlns:c16="http://schemas.microsoft.com/office/drawing/2014/chart" uri="{C3380CC4-5D6E-409C-BE32-E72D297353CC}">
              <c16:uniqueId val="{00000000-C59F-4602-B8CC-A585253970BE}"/>
            </c:ext>
          </c:extLst>
        </c:ser>
        <c:ser>
          <c:idx val="1"/>
          <c:order val="1"/>
          <c:tx>
            <c:strRef>
              <c:f>Sheet1!$C$19</c:f>
              <c:strCache>
                <c:ptCount val="1"/>
                <c:pt idx="0">
                  <c:v>Q. Supplied</c:v>
                </c:pt>
              </c:strCache>
            </c:strRef>
          </c:tx>
          <c:spPr>
            <a:ln w="22225" cap="rnd">
              <a:solidFill>
                <a:schemeClr val="accent2"/>
              </a:solidFill>
              <a:round/>
            </a:ln>
            <a:effectLst/>
          </c:spPr>
          <c:marker>
            <c:symbol val="none"/>
          </c:marker>
          <c:cat>
            <c:numRef>
              <c:f>Sheet1!$A$20:$A$24</c:f>
              <c:numCache>
                <c:formatCode>General</c:formatCode>
                <c:ptCount val="5"/>
                <c:pt idx="0">
                  <c:v>12</c:v>
                </c:pt>
                <c:pt idx="1">
                  <c:v>15</c:v>
                </c:pt>
                <c:pt idx="2">
                  <c:v>18</c:v>
                </c:pt>
                <c:pt idx="3">
                  <c:v>21</c:v>
                </c:pt>
                <c:pt idx="4">
                  <c:v>24</c:v>
                </c:pt>
              </c:numCache>
            </c:numRef>
          </c:cat>
          <c:val>
            <c:numRef>
              <c:f>Sheet1!$C$20:$C$24</c:f>
              <c:numCache>
                <c:formatCode>General</c:formatCode>
                <c:ptCount val="5"/>
                <c:pt idx="0">
                  <c:v>6</c:v>
                </c:pt>
                <c:pt idx="1">
                  <c:v>13</c:v>
                </c:pt>
                <c:pt idx="2">
                  <c:v>20</c:v>
                </c:pt>
                <c:pt idx="3">
                  <c:v>27</c:v>
                </c:pt>
                <c:pt idx="4">
                  <c:v>34</c:v>
                </c:pt>
              </c:numCache>
            </c:numRef>
          </c:val>
          <c:smooth val="0"/>
          <c:extLst>
            <c:ext xmlns:c16="http://schemas.microsoft.com/office/drawing/2014/chart" uri="{C3380CC4-5D6E-409C-BE32-E72D297353CC}">
              <c16:uniqueId val="{00000001-C59F-4602-B8CC-A585253970BE}"/>
            </c:ext>
          </c:extLst>
        </c:ser>
        <c:ser>
          <c:idx val="2"/>
          <c:order val="2"/>
          <c:tx>
            <c:strRef>
              <c:f>Sheet1!$D$19</c:f>
              <c:strCache>
                <c:ptCount val="1"/>
                <c:pt idx="0">
                  <c:v>Q. Demanded 2</c:v>
                </c:pt>
              </c:strCache>
            </c:strRef>
          </c:tx>
          <c:spPr>
            <a:ln w="22225" cap="rnd">
              <a:solidFill>
                <a:schemeClr val="accent3"/>
              </a:solidFill>
              <a:round/>
            </a:ln>
            <a:effectLst/>
          </c:spPr>
          <c:marker>
            <c:symbol val="none"/>
          </c:marker>
          <c:val>
            <c:numRef>
              <c:f>Sheet1!$D$20:$D$24</c:f>
              <c:numCache>
                <c:formatCode>General</c:formatCode>
                <c:ptCount val="5"/>
                <c:pt idx="0">
                  <c:v>35</c:v>
                </c:pt>
                <c:pt idx="1">
                  <c:v>31</c:v>
                </c:pt>
                <c:pt idx="2">
                  <c:v>27</c:v>
                </c:pt>
                <c:pt idx="3">
                  <c:v>23</c:v>
                </c:pt>
                <c:pt idx="4">
                  <c:v>19</c:v>
                </c:pt>
              </c:numCache>
            </c:numRef>
          </c:val>
          <c:smooth val="0"/>
          <c:extLst>
            <c:ext xmlns:c16="http://schemas.microsoft.com/office/drawing/2014/chart" uri="{C3380CC4-5D6E-409C-BE32-E72D297353CC}">
              <c16:uniqueId val="{00000002-C59F-4602-B8CC-A585253970BE}"/>
            </c:ext>
          </c:extLst>
        </c:ser>
        <c:dLbls>
          <c:showLegendKey val="0"/>
          <c:showVal val="0"/>
          <c:showCatName val="0"/>
          <c:showSerName val="0"/>
          <c:showPercent val="0"/>
          <c:showBubbleSize val="0"/>
        </c:dLbls>
        <c:smooth val="0"/>
        <c:axId val="2024955023"/>
        <c:axId val="2024947535"/>
      </c:lineChart>
      <c:catAx>
        <c:axId val="2024955023"/>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Quantity</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24947535"/>
        <c:crosses val="autoZero"/>
        <c:auto val="1"/>
        <c:lblAlgn val="ctr"/>
        <c:lblOffset val="100"/>
        <c:noMultiLvlLbl val="0"/>
      </c:catAx>
      <c:valAx>
        <c:axId val="2024947535"/>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Price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24955023"/>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drawings/drawing1.xml><?xml version="1.0" encoding="utf-8"?>
<c:userShapes xmlns:c="http://schemas.openxmlformats.org/drawingml/2006/chart">
  <cdr:relSizeAnchor xmlns:cdr="http://schemas.openxmlformats.org/drawingml/2006/chartDrawing">
    <cdr:from>
      <cdr:x>0.55609</cdr:x>
      <cdr:y>0.5231</cdr:y>
    </cdr:from>
    <cdr:to>
      <cdr:x>0.62298</cdr:x>
      <cdr:y>0.68384</cdr:y>
    </cdr:to>
    <cdr:sp macro="" textlink="">
      <cdr:nvSpPr>
        <cdr:cNvPr id="2" name="Arrow: Right 1"/>
        <cdr:cNvSpPr/>
      </cdr:nvSpPr>
      <cdr:spPr>
        <a:xfrm xmlns:a="http://schemas.openxmlformats.org/drawingml/2006/main" rot="14970273">
          <a:off x="3079284" y="1901797"/>
          <a:ext cx="557315" cy="381000"/>
        </a:xfrm>
        <a:prstGeom xmlns:a="http://schemas.openxmlformats.org/drawingml/2006/main" prst="right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en-US"/>
            <a:t>Q1</a:t>
          </a:r>
        </a:p>
      </cdr:txBody>
    </cdr:sp>
  </cdr:relSizeAnchor>
  <cdr:relSizeAnchor xmlns:cdr="http://schemas.openxmlformats.org/drawingml/2006/chartDrawing">
    <cdr:from>
      <cdr:x>0.66555</cdr:x>
      <cdr:y>0.25275</cdr:y>
    </cdr:from>
    <cdr:to>
      <cdr:x>0.7291</cdr:x>
      <cdr:y>0.40659</cdr:y>
    </cdr:to>
    <cdr:sp macro="" textlink="">
      <cdr:nvSpPr>
        <cdr:cNvPr id="3" name="Arrow: Down 2"/>
        <cdr:cNvSpPr/>
      </cdr:nvSpPr>
      <cdr:spPr>
        <a:xfrm xmlns:a="http://schemas.openxmlformats.org/drawingml/2006/main">
          <a:off x="3790950" y="876300"/>
          <a:ext cx="361950" cy="533400"/>
        </a:xfrm>
        <a:prstGeom xmlns:a="http://schemas.openxmlformats.org/drawingml/2006/main" prst="down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en-US"/>
            <a:t>Q2</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021E8-39B6-49AA-A00B-258FF8ADDE1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2979</Words>
  <Characters>16982</Characters>
  <Application>Microsoft Office Word</Application>
  <DocSecurity>0</DocSecurity>
  <Lines>141</Lines>
  <Paragraphs>39</Paragraphs>
  <ScaleCrop>false</ScaleCrop>
  <Company/>
  <LinksUpToDate>false</LinksUpToDate>
  <CharactersWithSpaces>19922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Svetoslav Radev</dc:creator>
  <cp:lastModifiedBy>Svetoslav Radev</cp:lastModifiedBy>
  <cp:revision>2</cp:revision>
  <dcterms:created xsi:type="dcterms:W3CDTF">2023-01-02T22:45:00Z</dcterms:created>
  <dcterms:modified xsi:type="dcterms:W3CDTF">2023-01-02T22:45:00Z</dcterms:modified>
</cp:coreProperties>
</file>