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47D920" w14:textId="77777777" w:rsidR="00304B8E" w:rsidRPr="00D620AB" w:rsidRDefault="00304B8E" w:rsidP="00304B8E">
      <w:pPr>
        <w:shd w:val="clear" w:color="auto" w:fill="FEFEFE"/>
        <w:spacing w:before="100" w:beforeAutospacing="1" w:after="0" w:line="480" w:lineRule="auto"/>
        <w:ind w:firstLine="720"/>
        <w:jc w:val="center"/>
        <w:rPr>
          <w:rFonts w:ascii="Times New Roman" w:eastAsia="Times New Roman" w:hAnsi="Times New Roman" w:cs="Times New Roman"/>
          <w:b/>
          <w:color w:val="000000"/>
          <w:sz w:val="24"/>
          <w:szCs w:val="24"/>
        </w:rPr>
      </w:pPr>
    </w:p>
    <w:p w14:paraId="3A615A3F" w14:textId="77777777" w:rsidR="00304B8E" w:rsidRPr="00D520A2" w:rsidRDefault="00296A9B" w:rsidP="00304B8E">
      <w:pPr>
        <w:spacing w:line="480" w:lineRule="auto"/>
        <w:ind w:firstLine="720"/>
        <w:jc w:val="center"/>
        <w:rPr>
          <w:rFonts w:ascii="Times New Roman" w:hAnsi="Times New Roman" w:cs="Times New Roman"/>
          <w:b/>
          <w:color w:val="313131"/>
          <w:sz w:val="24"/>
          <w:szCs w:val="24"/>
          <w:shd w:val="clear" w:color="auto" w:fill="FFFFFF"/>
        </w:rPr>
      </w:pPr>
      <w:r w:rsidRPr="00D520A2">
        <w:rPr>
          <w:rFonts w:ascii="Times New Roman" w:hAnsi="Times New Roman" w:cs="Times New Roman"/>
          <w:b/>
          <w:sz w:val="24"/>
          <w:szCs w:val="24"/>
        </w:rPr>
        <w:t>Unilever's Strategic Response t</w:t>
      </w:r>
      <w:r>
        <w:rPr>
          <w:rFonts w:ascii="Times New Roman" w:hAnsi="Times New Roman" w:cs="Times New Roman"/>
          <w:b/>
          <w:sz w:val="24"/>
          <w:szCs w:val="24"/>
        </w:rPr>
        <w:t>o</w:t>
      </w:r>
      <w:r w:rsidRPr="00D520A2">
        <w:rPr>
          <w:rFonts w:ascii="Times New Roman" w:hAnsi="Times New Roman" w:cs="Times New Roman"/>
          <w:b/>
          <w:sz w:val="24"/>
          <w:szCs w:val="24"/>
        </w:rPr>
        <w:t xml:space="preserve"> Brexit and COVID-19 Challenges</w:t>
      </w:r>
    </w:p>
    <w:p w14:paraId="43CFF083" w14:textId="77777777" w:rsidR="00304B8E" w:rsidRDefault="00304B8E" w:rsidP="00304B8E">
      <w:pPr>
        <w:spacing w:line="480" w:lineRule="auto"/>
        <w:ind w:firstLine="720"/>
        <w:jc w:val="center"/>
        <w:rPr>
          <w:rFonts w:ascii="Times New Roman" w:hAnsi="Times New Roman" w:cs="Times New Roman"/>
          <w:b/>
          <w:color w:val="313131"/>
          <w:sz w:val="24"/>
          <w:szCs w:val="24"/>
          <w:shd w:val="clear" w:color="auto" w:fill="FFFFFF"/>
        </w:rPr>
      </w:pPr>
    </w:p>
    <w:p w14:paraId="1B4AB253" w14:textId="77777777" w:rsidR="00304B8E" w:rsidRDefault="00304B8E" w:rsidP="00304B8E">
      <w:pPr>
        <w:spacing w:line="480" w:lineRule="auto"/>
        <w:ind w:firstLine="720"/>
        <w:jc w:val="center"/>
        <w:rPr>
          <w:rFonts w:ascii="Times New Roman" w:hAnsi="Times New Roman" w:cs="Times New Roman"/>
          <w:b/>
          <w:color w:val="313131"/>
          <w:sz w:val="24"/>
          <w:szCs w:val="24"/>
          <w:shd w:val="clear" w:color="auto" w:fill="FFFFFF"/>
        </w:rPr>
      </w:pPr>
    </w:p>
    <w:p w14:paraId="1BA7E0BD" w14:textId="0DE54465" w:rsidR="00304B8E" w:rsidRDefault="00A80BBE" w:rsidP="00304B8E">
      <w:pPr>
        <w:spacing w:after="0" w:line="480" w:lineRule="auto"/>
        <w:ind w:firstLine="720"/>
        <w:jc w:val="center"/>
        <w:rPr>
          <w:rFonts w:ascii="Times New Roman" w:hAnsi="Times New Roman" w:cs="Times New Roman"/>
          <w:b/>
          <w:sz w:val="24"/>
          <w:szCs w:val="24"/>
        </w:rPr>
      </w:pPr>
      <w:r>
        <w:t>Zhaowei L</w:t>
      </w:r>
      <w:r>
        <w:rPr>
          <w:rFonts w:ascii="Times New Roman" w:hAnsi="Times New Roman" w:cs="Times New Roman"/>
          <w:sz w:val="24"/>
          <w:szCs w:val="24"/>
        </w:rPr>
        <w:t>i</w:t>
      </w:r>
    </w:p>
    <w:p w14:paraId="12656A2F" w14:textId="1F4CED9C" w:rsidR="00304B8E" w:rsidRDefault="00A80BBE" w:rsidP="00304B8E">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Marie Pitson</w:t>
      </w:r>
    </w:p>
    <w:p w14:paraId="57A75767" w14:textId="22C57DCF" w:rsidR="00304B8E" w:rsidRDefault="00A80BBE" w:rsidP="00304B8E">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MBA</w:t>
      </w:r>
    </w:p>
    <w:p w14:paraId="49D0EB73" w14:textId="05F8DA2A" w:rsidR="00304B8E" w:rsidRDefault="00A80BBE" w:rsidP="00304B8E">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Change and Stability Management(BMMB7000)</w:t>
      </w:r>
    </w:p>
    <w:p w14:paraId="6EE57D3B" w14:textId="0B958E52" w:rsidR="00304B8E" w:rsidRDefault="00A80BBE" w:rsidP="00304B8E">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t>2023/5/5</w:t>
      </w:r>
    </w:p>
    <w:p w14:paraId="75023432" w14:textId="77777777" w:rsidR="00304B8E" w:rsidRDefault="00296A9B" w:rsidP="00304B8E">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br w:type="page"/>
      </w:r>
    </w:p>
    <w:p w14:paraId="7099546D" w14:textId="77777777" w:rsidR="00304B8E" w:rsidRPr="00304B8E" w:rsidRDefault="00296A9B" w:rsidP="00304B8E">
      <w:pPr>
        <w:spacing w:after="0" w:line="480" w:lineRule="auto"/>
        <w:ind w:firstLine="720"/>
        <w:jc w:val="both"/>
        <w:rPr>
          <w:rFonts w:ascii="Times New Roman" w:hAnsi="Times New Roman" w:cs="Times New Roman"/>
          <w:b/>
          <w:sz w:val="24"/>
          <w:szCs w:val="24"/>
        </w:rPr>
      </w:pPr>
      <w:r w:rsidRPr="00304B8E">
        <w:rPr>
          <w:rFonts w:ascii="Times New Roman" w:hAnsi="Times New Roman" w:cs="Times New Roman"/>
          <w:b/>
          <w:sz w:val="24"/>
          <w:szCs w:val="24"/>
        </w:rPr>
        <w:lastRenderedPageBreak/>
        <w:t>Introduction</w:t>
      </w:r>
    </w:p>
    <w:p w14:paraId="4548D9F3"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 xml:space="preserve">Unilever is a company that produces and sells consumer goods, making the firm globally known. The company has a significant presence in more than 190 countries, offering a wide range of personal items, personal care products, medicine, food substances, and cleaning supplies. In the wake of the Brexit vote that changed the UK commercial agreement, the company adjusted its supply chain and distribution system to maintain its long-term access to customers and raw materials in the European nations. These measures include importing more from the United Kingdom to mitigate the impact of future taxes and trade obstacles, investing in storage capacities, and altering inventory levels. </w:t>
      </w:r>
    </w:p>
    <w:p w14:paraId="16DE1EF7"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Unilever has also changed its marketing approach to keep its brands relevant in the UK. The Covid-19 outbreak in December 2019 severely impacted Unilever's supply chain, manufacturing, distribution, and sales. Unprecedented delays in the delivery of raw materials and ingredients disrupted the company's manufacturing capability. To stop the spread of Covid-19, Unilever had to implement tight safety standards at its factories and supply personnel with protective gear. In addition, the corporation provided over €100 million in food, sanitizers, and other essential supplies to regions hit by the pandemic.</w:t>
      </w:r>
    </w:p>
    <w:p w14:paraId="62569B7B"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 xml:space="preserve"> Unilever should evaluate the performance of the transformation program by determining if the firm has met its aims of altering its supply chain and distribution network to ensure continuous access to raw materials and consumers in the EU. Unilever should also review if its marketing approach has managed to keep its brands relevant in the UK market. In addition, the firm should assess its reaction to the Covid-19 epidemic, including the efficacy of its safety controls and the impact of its community assistance activities. </w:t>
      </w:r>
    </w:p>
    <w:p w14:paraId="2F97AEE7"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lastRenderedPageBreak/>
        <w:t xml:space="preserve">This paper evaluates Unilever's strategic response to the Brexit and Covid-19 challenges, which included changes to its supply chain, distribution, marketing, employee safety, community support, and product innovation, demonstrates the importance of combining planned and emergent change models to achieve organizational goals and adapt to unforeseen occurrences and opportunities. </w:t>
      </w:r>
    </w:p>
    <w:p w14:paraId="691D9900" w14:textId="77777777" w:rsidR="00304B8E" w:rsidRPr="00304B8E" w:rsidRDefault="00296A9B" w:rsidP="00304B8E">
      <w:pPr>
        <w:spacing w:after="0" w:line="480" w:lineRule="auto"/>
        <w:ind w:firstLine="720"/>
        <w:jc w:val="center"/>
        <w:rPr>
          <w:rFonts w:ascii="Times New Roman" w:hAnsi="Times New Roman" w:cs="Times New Roman"/>
          <w:b/>
          <w:sz w:val="24"/>
          <w:szCs w:val="24"/>
        </w:rPr>
      </w:pPr>
      <w:r w:rsidRPr="00304B8E">
        <w:rPr>
          <w:rFonts w:ascii="Times New Roman" w:hAnsi="Times New Roman" w:cs="Times New Roman"/>
          <w:b/>
          <w:sz w:val="24"/>
          <w:szCs w:val="24"/>
        </w:rPr>
        <w:t>Critical appraisal of Change management models</w:t>
      </w:r>
    </w:p>
    <w:p w14:paraId="2F8380F9"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 xml:space="preserve">Change management models provide an organized method for managing organizational changes. Change management is divided into two categories: planned change and emergent change. In my answer, I will evaluate both theories closely. </w:t>
      </w:r>
    </w:p>
    <w:p w14:paraId="62F7A07B" w14:textId="77777777" w:rsidR="00304B8E" w:rsidRPr="00304B8E" w:rsidRDefault="00296A9B" w:rsidP="00304B8E">
      <w:pPr>
        <w:spacing w:after="0" w:line="480" w:lineRule="auto"/>
        <w:jc w:val="both"/>
        <w:rPr>
          <w:rFonts w:ascii="Times New Roman" w:hAnsi="Times New Roman" w:cs="Times New Roman"/>
          <w:b/>
          <w:i/>
          <w:sz w:val="24"/>
          <w:szCs w:val="24"/>
        </w:rPr>
      </w:pPr>
      <w:r w:rsidRPr="00304B8E">
        <w:rPr>
          <w:rFonts w:ascii="Times New Roman" w:hAnsi="Times New Roman" w:cs="Times New Roman"/>
          <w:b/>
          <w:i/>
          <w:sz w:val="24"/>
          <w:szCs w:val="24"/>
        </w:rPr>
        <w:t xml:space="preserve">Planned Change </w:t>
      </w:r>
    </w:p>
    <w:p w14:paraId="50D46839"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 xml:space="preserve">The planned change model is a top-down method incorporating a systematic, linear change process (Li et al., 2020). This approach is founded on the notion that change can be expected, prepared for, and managed. The methodology has numerous steps, including diagnosis, planning, execution, and assessment. </w:t>
      </w:r>
    </w:p>
    <w:p w14:paraId="7FAF2EDE" w14:textId="77777777" w:rsidR="00304B8E" w:rsidRPr="00304B8E" w:rsidRDefault="00296A9B" w:rsidP="00304B8E">
      <w:pPr>
        <w:spacing w:after="0" w:line="480" w:lineRule="auto"/>
        <w:jc w:val="both"/>
        <w:rPr>
          <w:rFonts w:ascii="Times New Roman" w:hAnsi="Times New Roman" w:cs="Times New Roman"/>
          <w:b/>
          <w:i/>
          <w:sz w:val="24"/>
          <w:szCs w:val="24"/>
        </w:rPr>
      </w:pPr>
      <w:r w:rsidRPr="00304B8E">
        <w:rPr>
          <w:rFonts w:ascii="Times New Roman" w:hAnsi="Times New Roman" w:cs="Times New Roman"/>
          <w:b/>
          <w:i/>
          <w:sz w:val="24"/>
          <w:szCs w:val="24"/>
        </w:rPr>
        <w:t xml:space="preserve">Advantages of planned change </w:t>
      </w:r>
    </w:p>
    <w:p w14:paraId="7EA5E485"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Planned change models provide a systematic and organized approach to managing organizational change. One of the primary advantages of planned change is its clear and structured procedure, which helps to guarantee that the change is well-managed and efficiently implemented (Sołoducho-Pe</w:t>
      </w:r>
      <w:r>
        <w:rPr>
          <w:rFonts w:ascii="Times New Roman" w:hAnsi="Times New Roman" w:cs="Times New Roman"/>
          <w:sz w:val="24"/>
          <w:szCs w:val="24"/>
        </w:rPr>
        <w:t>lc, &amp; Sulich, 2020). Creation and f a systematic</w:t>
      </w:r>
      <w:r w:rsidRPr="00304B8E">
        <w:rPr>
          <w:rFonts w:ascii="Times New Roman" w:hAnsi="Times New Roman" w:cs="Times New Roman"/>
          <w:sz w:val="24"/>
          <w:szCs w:val="24"/>
        </w:rPr>
        <w:t xml:space="preserve"> plan that explains the necessary procedures </w:t>
      </w:r>
      <w:r>
        <w:rPr>
          <w:rFonts w:ascii="Times New Roman" w:hAnsi="Times New Roman" w:cs="Times New Roman"/>
          <w:sz w:val="24"/>
          <w:szCs w:val="24"/>
        </w:rPr>
        <w:t>needed to</w:t>
      </w:r>
      <w:r w:rsidRPr="00304B8E">
        <w:rPr>
          <w:rFonts w:ascii="Times New Roman" w:hAnsi="Times New Roman" w:cs="Times New Roman"/>
          <w:sz w:val="24"/>
          <w:szCs w:val="24"/>
        </w:rPr>
        <w:t xml:space="preserve"> accomplish the intended objective, </w:t>
      </w:r>
      <w:r>
        <w:rPr>
          <w:rFonts w:ascii="Times New Roman" w:hAnsi="Times New Roman" w:cs="Times New Roman"/>
          <w:sz w:val="24"/>
          <w:szCs w:val="24"/>
        </w:rPr>
        <w:t xml:space="preserve">role, </w:t>
      </w:r>
      <w:r w:rsidRPr="00304B8E">
        <w:rPr>
          <w:rFonts w:ascii="Times New Roman" w:hAnsi="Times New Roman" w:cs="Times New Roman"/>
          <w:sz w:val="24"/>
          <w:szCs w:val="24"/>
        </w:rPr>
        <w:t xml:space="preserve">and duties, assigning timetables, and identifying potential barriers and risks, are all part of the process. This method creates a feeling of purpose and direction, and it aids in keeping everyone participating in the change process aligned and focused on the same objective. Overall, a clear and organized change management </w:t>
      </w:r>
      <w:r w:rsidRPr="00304B8E">
        <w:rPr>
          <w:rFonts w:ascii="Times New Roman" w:hAnsi="Times New Roman" w:cs="Times New Roman"/>
          <w:sz w:val="24"/>
          <w:szCs w:val="24"/>
        </w:rPr>
        <w:lastRenderedPageBreak/>
        <w:t xml:space="preserve">strategy assists organizations in managing change more successfully and minimizing possible disruptions. </w:t>
      </w:r>
    </w:p>
    <w:p w14:paraId="3D3CB57B"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Planned change models are more predictable than emergent ones due to their emphasis on detailed preparation and step-by-step execution (Kniffin et al., 2021). This predictability is the result of careful consideration of risks and uncertainties and the development of mitigation strategies. Planned change models help organizations foresee possible bottlenecks and take remedial steps before they become significant hurdles by adopting a disciplined strategy. Predictable results also increase stakeholder confidence, which can aid in the development of support for the change endeavor. Overall, planned change models provide a dependable framework for obtaining the intended results while reducing risks and uncertainties.</w:t>
      </w:r>
    </w:p>
    <w:p w14:paraId="5D0B1090"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 xml:space="preserve"> Organizations have more influence over the transformation process when it is planned. Organizations may more readily manage the impact of change on workers, customers, and stakeholders by following a defined procedure. This degree of control enables organizations to predict possible issues and take preventative measures. Additionally, it enables organizations to allocate resources wisely and guarantee that all stakeholders are on the same page. Furthermore, with better control, businesses can monitor their development and modify their strategy when needed, which can help keep the change process on track and minimize unexpected events.</w:t>
      </w:r>
    </w:p>
    <w:p w14:paraId="0C875F33" w14:textId="77777777" w:rsidR="00304B8E" w:rsidRPr="00304B8E" w:rsidRDefault="00296A9B" w:rsidP="00304B8E">
      <w:pPr>
        <w:spacing w:after="0" w:line="480" w:lineRule="auto"/>
        <w:ind w:firstLine="720"/>
        <w:jc w:val="center"/>
        <w:rPr>
          <w:rFonts w:ascii="Times New Roman" w:hAnsi="Times New Roman" w:cs="Times New Roman"/>
          <w:b/>
          <w:sz w:val="24"/>
          <w:szCs w:val="24"/>
        </w:rPr>
      </w:pPr>
      <w:r w:rsidRPr="00304B8E">
        <w:rPr>
          <w:rFonts w:ascii="Times New Roman" w:hAnsi="Times New Roman" w:cs="Times New Roman"/>
          <w:b/>
          <w:sz w:val="24"/>
          <w:szCs w:val="24"/>
        </w:rPr>
        <w:t>Limitations</w:t>
      </w:r>
    </w:p>
    <w:p w14:paraId="405BD6CF" w14:textId="77777777" w:rsidR="00D520A2"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According to Dusfo</w:t>
      </w:r>
    </w:p>
    <w:p w14:paraId="1E4C8E48"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ur et al. (2021). Change resistance is a typical issue in planned change management. Workers needed to adapt to changes that customers were resistant to due to fear of losing jobs and a lack of knowledge when it was critical to the planned change and management of the property.</w:t>
      </w:r>
    </w:p>
    <w:p w14:paraId="79FB13C7" w14:textId="77777777" w:rsidR="00D520A2"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lastRenderedPageBreak/>
        <w:t>Communication, participation, and training are essential for reducing resistance to change. Employees should be educated about the reasons for the change, how it will affect them, and what kind of assistance they may anticipate. Employee involvement in the change process and training can also assist in lessening resistance. Because it is based on a predetermined plan, planned change can be rigid and difficult to adapt to unexpected changes or circumstances. The predetermined plan might make it difficult for a company to adapt quickly to new problems or possibilities.</w:t>
      </w:r>
    </w:p>
    <w:p w14:paraId="3032BF44" w14:textId="77777777" w:rsidR="00D520A2"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Furthermore, a rigid approach to change may result in employee resistance because they believe their concerns must be addressed. Organizations must balance a systematic approach to change with the ability to adapt the strategy as needed, helping to ensure that the change process is effective and yields the intended results.</w:t>
      </w:r>
    </w:p>
    <w:p w14:paraId="25E064DA" w14:textId="77777777" w:rsidR="00D520A2" w:rsidRPr="00D520A2" w:rsidRDefault="00296A9B" w:rsidP="00D520A2">
      <w:pPr>
        <w:spacing w:after="0" w:line="480" w:lineRule="auto"/>
        <w:ind w:firstLine="720"/>
        <w:jc w:val="center"/>
        <w:rPr>
          <w:rFonts w:ascii="Times New Roman" w:hAnsi="Times New Roman" w:cs="Times New Roman"/>
          <w:b/>
          <w:sz w:val="24"/>
          <w:szCs w:val="24"/>
        </w:rPr>
      </w:pPr>
      <w:r w:rsidRPr="00D520A2">
        <w:rPr>
          <w:rFonts w:ascii="Times New Roman" w:hAnsi="Times New Roman" w:cs="Times New Roman"/>
          <w:b/>
          <w:sz w:val="24"/>
          <w:szCs w:val="24"/>
        </w:rPr>
        <w:t>Emergent Change</w:t>
      </w:r>
    </w:p>
    <w:p w14:paraId="2C89CE2C"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 xml:space="preserve"> The emergent change model is a bottom-up method focusing on increasing organizational resilience and flexibility (Kang et al., 2022). The emergent change model assumes that change is unpredictable and continuous when the organization faces dynamic circumstances.</w:t>
      </w:r>
    </w:p>
    <w:p w14:paraId="3DB732B2" w14:textId="77777777" w:rsidR="00304B8E" w:rsidRPr="00304B8E" w:rsidRDefault="00296A9B" w:rsidP="00304B8E">
      <w:pPr>
        <w:spacing w:after="0" w:line="480" w:lineRule="auto"/>
        <w:ind w:firstLine="720"/>
        <w:jc w:val="center"/>
        <w:rPr>
          <w:rFonts w:ascii="Times New Roman" w:hAnsi="Times New Roman" w:cs="Times New Roman"/>
          <w:b/>
          <w:sz w:val="24"/>
          <w:szCs w:val="24"/>
        </w:rPr>
      </w:pPr>
      <w:r w:rsidRPr="00304B8E">
        <w:rPr>
          <w:rFonts w:ascii="Times New Roman" w:hAnsi="Times New Roman" w:cs="Times New Roman"/>
          <w:b/>
          <w:sz w:val="24"/>
          <w:szCs w:val="24"/>
        </w:rPr>
        <w:t>Advantages</w:t>
      </w:r>
    </w:p>
    <w:p w14:paraId="38209FCB" w14:textId="77777777" w:rsidR="00304B8E" w:rsidRPr="00304B8E" w:rsidRDefault="00304B8E" w:rsidP="00304B8E">
      <w:pPr>
        <w:spacing w:after="0" w:line="480" w:lineRule="auto"/>
        <w:ind w:firstLine="720"/>
        <w:jc w:val="both"/>
        <w:rPr>
          <w:rFonts w:ascii="Times New Roman" w:hAnsi="Times New Roman" w:cs="Times New Roman"/>
          <w:sz w:val="24"/>
          <w:szCs w:val="24"/>
        </w:rPr>
      </w:pPr>
    </w:p>
    <w:p w14:paraId="569F1360"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 xml:space="preserve">The concept of emergence allows organizations to prioritize adaptability, allowing them to adjust to changing conditions easily. The method emphasizes experimentation, rapid decision-making, and adaptability, allowing organizations to respond quickly to emerging possibilities and risks. By concentrating on flexibility, emergent change helps organizations swiftly and efficiently adjust to new conditions, avoiding the inherent dangers of inflexibility. This paradigm is especially beneficial in quickly changing situations where the future is unpredictable. It may help </w:t>
      </w:r>
      <w:r w:rsidRPr="00304B8E">
        <w:rPr>
          <w:rFonts w:ascii="Times New Roman" w:hAnsi="Times New Roman" w:cs="Times New Roman"/>
          <w:sz w:val="24"/>
          <w:szCs w:val="24"/>
        </w:rPr>
        <w:lastRenderedPageBreak/>
        <w:t>organizations stay competitive by allowing them to adapt to market or industry developments promptly and effectively.</w:t>
      </w:r>
    </w:p>
    <w:p w14:paraId="2FB7218B"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Emergent change promotes employee engagement by encouraging participation in procedure changes. When employees are active and invested, they are more likely to support change programs. Teamwork, open communication, and feedback increase employee satisfaction and motivation. Employees' feedback and insights are taken into account in real time, making them feel appreciated and recognized. As a result, this leads to increased commitment to the organization and the transformation process—leading to more successful and long-term outcomes.</w:t>
      </w:r>
    </w:p>
    <w:p w14:paraId="1F8E98E8"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Emergent change emphasizes ongoing development, pushing organizations to continually adapt to changing conditions, experiment with new ideas, and learn from them (Lewis, 2019). Organizations may adopt by accepting emerging change, enhancing operations, and remaining competitive. This methodology enables rapid decision-making and experimentation, resulting in unique solutions and ongoing growth. This method may help firms adapt to change and succeed over time. Emergent transformation also encourages workers to submit ideas and help the company thrive.</w:t>
      </w:r>
    </w:p>
    <w:p w14:paraId="3C8CB3BB" w14:textId="77777777" w:rsidR="00304B8E" w:rsidRPr="00304B8E" w:rsidRDefault="00296A9B" w:rsidP="00304B8E">
      <w:pPr>
        <w:spacing w:after="0" w:line="480" w:lineRule="auto"/>
        <w:ind w:firstLine="720"/>
        <w:jc w:val="center"/>
        <w:rPr>
          <w:rFonts w:ascii="Times New Roman" w:hAnsi="Times New Roman" w:cs="Times New Roman"/>
          <w:b/>
          <w:sz w:val="24"/>
          <w:szCs w:val="24"/>
        </w:rPr>
      </w:pPr>
      <w:r w:rsidRPr="00304B8E">
        <w:rPr>
          <w:rFonts w:ascii="Times New Roman" w:hAnsi="Times New Roman" w:cs="Times New Roman"/>
          <w:b/>
          <w:sz w:val="24"/>
          <w:szCs w:val="24"/>
        </w:rPr>
        <w:t>Limitations</w:t>
      </w:r>
    </w:p>
    <w:p w14:paraId="7CD7D04A"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 xml:space="preserve">The lack of a systematic approach to emergent change can lead to uncertainty and misunderstanding inside organizations. Employees may need a clear strategy and method to comprehend their role in the change process and the desired outcome. The strategy makes stakeholders resistant to change and creates a need for more buy-in. Emergent change may be difficult to quantify and evaluate without clear boundaries and direction, making it impossible to analyze its efficacy. However, rapid and unpredictable change in a dynamic environment makes an organization respond more quickly because emergent issues need to follow a predictable plan, </w:t>
      </w:r>
      <w:r w:rsidRPr="00304B8E">
        <w:rPr>
          <w:rFonts w:ascii="Times New Roman" w:hAnsi="Times New Roman" w:cs="Times New Roman"/>
          <w:sz w:val="24"/>
          <w:szCs w:val="24"/>
        </w:rPr>
        <w:lastRenderedPageBreak/>
        <w:t>making it challenging to prepare for the future. The emergent change enables companies to respond quickly to unforeseen occurrences. Uncertainty makes it hard for firms to predict how the change will affect their customers, employees, and stakeholders, causing change resistance and adverse consequences when not addressed.</w:t>
      </w:r>
    </w:p>
    <w:p w14:paraId="7E5EB265" w14:textId="77777777" w:rsidR="00304B8E" w:rsidRPr="00304B8E" w:rsidRDefault="00296A9B" w:rsidP="00304B8E">
      <w:pPr>
        <w:spacing w:after="0" w:line="480" w:lineRule="auto"/>
        <w:ind w:firstLine="720"/>
        <w:jc w:val="center"/>
        <w:rPr>
          <w:rFonts w:ascii="Times New Roman" w:hAnsi="Times New Roman" w:cs="Times New Roman"/>
          <w:b/>
          <w:sz w:val="24"/>
          <w:szCs w:val="24"/>
        </w:rPr>
      </w:pPr>
      <w:r w:rsidRPr="00304B8E">
        <w:rPr>
          <w:rFonts w:ascii="Times New Roman" w:hAnsi="Times New Roman" w:cs="Times New Roman"/>
          <w:b/>
          <w:sz w:val="24"/>
          <w:szCs w:val="24"/>
        </w:rPr>
        <w:t>Applying the models</w:t>
      </w:r>
    </w:p>
    <w:p w14:paraId="11EED54A" w14:textId="77777777" w:rsidR="00D520A2"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 xml:space="preserve"> To remain competitive in today's ever-changing business climate, organizations must adapt to changes in their market and external environment. Brexit and the COVID-19 outbreak provided substantial obstacles for Unilever PLC, forcing the business to modify its supply chain, distribution, marketing, and production methods. To achieve success, Unilever may use two change management approaches: the planned change model and the emergent change model. Identifying recognized obstacles and devising a thorough strategy to solve them is part of the planned change management methodology. In the case of Unilever, this may mean changing their distribution and supply chain strategy to accommodate new rules and trade agreement changes due to Brexit. </w:t>
      </w:r>
    </w:p>
    <w:p w14:paraId="12793075" w14:textId="77777777" w:rsidR="00D520A2"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 xml:space="preserve">Similarly, the Covid-19 pandemic has disrupted global supply chains, and Unilever may need to change its production and distribution methods to maintain its success. By utilizing the planned change model, Unilever may proactively address these known difficulties and build a clear plan of action to minimize their effect. The paradigm of emergent change instead entails capitalizing on welcoming unforeseen shifts. The Covid-19 epidemic, for example, has expedited the development of e-commerce and digital technology. By implementing these improvements, Unilever may improve its marketing and distribution skills, which can lead to new possibilities and more income. Furthermore, because Brexit has resulted in new trade agreements, Unilever can now explore previously unavailable markets and opportunities. By utilizing the emergent change </w:t>
      </w:r>
      <w:r w:rsidRPr="00304B8E">
        <w:rPr>
          <w:rFonts w:ascii="Times New Roman" w:hAnsi="Times New Roman" w:cs="Times New Roman"/>
          <w:sz w:val="24"/>
          <w:szCs w:val="24"/>
        </w:rPr>
        <w:lastRenderedPageBreak/>
        <w:t xml:space="preserve">model, Unilever can capitalize on these possibilities while being nimble in an ever-changing market. </w:t>
      </w:r>
    </w:p>
    <w:p w14:paraId="4E44B14D" w14:textId="77777777" w:rsidR="00D520A2"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 xml:space="preserve">Resistance to change is a regular phenomenon that organizations must confront, regardless of the change management strategy utilized. Employees may resist change owing to apprehension about the unknown, fears about job security, or a misunderstanding of the reasons for the change. Unilever may manage resistance by integrating workers into the change process, giving training and support, and answering employee concerns and questions. Unilever can increase employee buy-in and smooth the transition by doing so. To enhance the efficacy of the change management process, Unilever must establish clear targets and milestones that enable the organization to track progress and alter strategies as needed to meet its objectives. Tracking key performance indicators, receiving feedback, and performing periodic reviews may also assist Unilever in assessing the efficacy of the change program and making any required modifications. </w:t>
      </w:r>
    </w:p>
    <w:p w14:paraId="3C52A4AD" w14:textId="77777777" w:rsidR="00D520A2" w:rsidRPr="00D520A2" w:rsidRDefault="00296A9B" w:rsidP="00D520A2">
      <w:pPr>
        <w:spacing w:after="0" w:line="480" w:lineRule="auto"/>
        <w:ind w:firstLine="720"/>
        <w:jc w:val="center"/>
        <w:rPr>
          <w:rFonts w:ascii="Times New Roman" w:hAnsi="Times New Roman" w:cs="Times New Roman"/>
          <w:b/>
          <w:sz w:val="24"/>
          <w:szCs w:val="24"/>
        </w:rPr>
      </w:pPr>
      <w:r w:rsidRPr="00D520A2">
        <w:rPr>
          <w:rFonts w:ascii="Times New Roman" w:hAnsi="Times New Roman" w:cs="Times New Roman"/>
          <w:b/>
          <w:sz w:val="24"/>
          <w:szCs w:val="24"/>
        </w:rPr>
        <w:t>Drive factors</w:t>
      </w:r>
    </w:p>
    <w:p w14:paraId="4984422F"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 xml:space="preserve"> When considering the driving factors for change in the context of Unilever, several factors come to mind. First, culture is an essential factor in driving change at Unilever. The organization has a strong culture of innovation and sustainability, as seen by its efforts to decrease environmental impact and promote social responsibility (Modreanu, n.d.). Unilever's dedication to sustainability has resulted in the creation of its Sustainable Living Plan, which outlines ambitious targets for reducing environmental impact while developing the company. The plan has been crucial in pushing change throughout the organization, with staff at all levels trying to meet the plan's objectives. Second, leadership has been crucial in driving change at Unilever. Senior executives at the organization have been critical in establishing the tone for change and pushing people to adopt new working methods. In response to the COVID-19 pandemic, Unilever's CEO, </w:t>
      </w:r>
      <w:r w:rsidRPr="00304B8E">
        <w:rPr>
          <w:rFonts w:ascii="Times New Roman" w:hAnsi="Times New Roman" w:cs="Times New Roman"/>
          <w:sz w:val="24"/>
          <w:szCs w:val="24"/>
        </w:rPr>
        <w:lastRenderedPageBreak/>
        <w:t>Alan Jope, pushed staff to think creatively and develop inventive solutions to the pandemic's issues. The leadership style assists in developing an innovative culture of innovation and adaptability that is critical in helping Unilever navigate the epidemic. Indeed, power dynamics have played a critical role in driving change at Unilever. The corporation has had to manage power dynamics in its supply chain, especially during Brexit. Brexit has generated trade interruptions between the UK and the EU, requiring Unilever to collaborate closely with suppliers and logistical partners to maintain the continuity of its supply chain (Egan, 2019). Unilever has had to use its clout to negotiate and execute adjustments in its supply chain management methods to reduce the impact of Brexit on its operations. Working collaboratively with suppliers to investigate alternate sourcing possibilities, evaluating the distribution and logistics network, and renegotiating contracts have all been part of this process. The process has minimized Unilever's impact on Brexit while continuing to deliver high-quality products.</w:t>
      </w:r>
    </w:p>
    <w:p w14:paraId="71EBEDE5"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However, in a competitive market, Unilever must innovate and progress to stay ahead since competition has driven its development. R&amp;D investments have allowed the corporation to produce technologies and new goods that have kept it competitive. Unilever's vegan and plant-based goods reflect shifting customer tastes. Furthermore, the business has embraced digitization, giving it access to data analytics and insights into customer behavior and preferences, which guide product development and marketing initiatives.</w:t>
      </w:r>
    </w:p>
    <w:p w14:paraId="03126ED2" w14:textId="77777777" w:rsidR="00D520A2"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 xml:space="preserve">In addition, Unilever must navigate intense competition in a global market populated by domestic and multinational corporations. As a result, to remain relevant and competitive, the organization must constantly alter its plans. Unilever has developed an innovation and agility culture in which the firm continuously seeks ways to improve its goods, processes, and operations. </w:t>
      </w:r>
      <w:r w:rsidRPr="00304B8E">
        <w:rPr>
          <w:rFonts w:ascii="Times New Roman" w:hAnsi="Times New Roman" w:cs="Times New Roman"/>
          <w:sz w:val="24"/>
          <w:szCs w:val="24"/>
        </w:rPr>
        <w:lastRenderedPageBreak/>
        <w:t>By embracing competition as a development driver, Unilever can prosper in the highly competitive consumer products sector.</w:t>
      </w:r>
    </w:p>
    <w:p w14:paraId="75320EE1" w14:textId="77777777" w:rsidR="00D520A2" w:rsidRPr="00D520A2" w:rsidRDefault="00296A9B" w:rsidP="00D520A2">
      <w:pPr>
        <w:spacing w:after="0" w:line="480" w:lineRule="auto"/>
        <w:ind w:firstLine="720"/>
        <w:jc w:val="center"/>
        <w:rPr>
          <w:rFonts w:ascii="Times New Roman" w:hAnsi="Times New Roman" w:cs="Times New Roman"/>
          <w:b/>
          <w:sz w:val="24"/>
          <w:szCs w:val="24"/>
        </w:rPr>
      </w:pPr>
      <w:r w:rsidRPr="00D520A2">
        <w:rPr>
          <w:rFonts w:ascii="Times New Roman" w:hAnsi="Times New Roman" w:cs="Times New Roman"/>
          <w:b/>
          <w:sz w:val="24"/>
          <w:szCs w:val="24"/>
        </w:rPr>
        <w:t>Dealing with resistance</w:t>
      </w:r>
    </w:p>
    <w:p w14:paraId="1C71CE78" w14:textId="77777777" w:rsidR="00D520A2"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 xml:space="preserve"> Before executing any change program, I recommend identifying and resolving any possible resistance. Resistance to change is widespread, and if addressed correctly, it can ensure the effectiveness of the change program ( Ouedraogo, A &amp; Tiemtore, (2021). Here are some strategies for identifying and dealing with resistance factors: Stakeholder analysis is critical in identifying and dealing with change resistance elements in any organization, including Unilever. </w:t>
      </w:r>
    </w:p>
    <w:p w14:paraId="550A9E65"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This study aids in identifying potential sources of resistance, such as individuals or groups unwilling to embrace change or concerned about the change process. By identifying these stakeholders and their interests, Unilever can address its concerns and lessen its opposition. Identifying all stakeholders and measuring their influence on the change program should be part of the stakeholder analysis. The extent of the engagement of stakeholders in the change program, their power and influence, and their expectations from the change should all be included in the study. This information can aid in detecting possible areas of conflict and establishing conflict resolution solutions. Unilever should also examine the requirements and expectations of its stakeholders and resolve any issues they may have. Communication may be accomplished by engaging stakeholders and involving them in the transformation process through frequent communication. Participants in the change process are more likely to support it and less likely to oppose it. Communication is critical in dealing with opposition to change. Unilever should effectively and consistently communicate the transformation program to all stakeholders, including workers, customers, suppliers, and shareholders.</w:t>
      </w:r>
    </w:p>
    <w:p w14:paraId="136B6980"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lastRenderedPageBreak/>
        <w:t>Two-way communication is preferred, with an emphasis on act</w:t>
      </w:r>
      <w:r w:rsidR="00D520A2">
        <w:rPr>
          <w:rFonts w:ascii="Times New Roman" w:hAnsi="Times New Roman" w:cs="Times New Roman"/>
          <w:sz w:val="24"/>
          <w:szCs w:val="24"/>
        </w:rPr>
        <w:t>ive listening and feedback. The</w:t>
      </w:r>
      <w:r w:rsidRPr="00304B8E">
        <w:rPr>
          <w:rFonts w:ascii="Times New Roman" w:hAnsi="Times New Roman" w:cs="Times New Roman"/>
          <w:sz w:val="24"/>
          <w:szCs w:val="24"/>
        </w:rPr>
        <w:t xml:space="preserve"> method will assist stakeholders in comprehending the rationale for the change program and addressing any issues or questions they may have. Besides, employee involvement in the change process can assist in lessening resistance to change. Employees should be involved in developing and implementing the transformation program at Unilever. Workshops, training, and team-building events are examples of how people might get involved. Employees' sense of ownership and commitment to the change program may be increased by including them in the change process. Moreover, Unilever must offer assistance and training that will help them adjust to changes. The assistance may include coaching, training, and mentoring to help employees understand how the change program affects their roles and responsibilities and develop the skills needed for change.</w:t>
      </w:r>
    </w:p>
    <w:p w14:paraId="1ABB210E"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 xml:space="preserve">Unilever should establish clear goals and milestones for the transformation program. This method will aid in tracking progress and evaluating the success of the transformation program. Setting specific goals can also encourage staff and boost their sense of ownership and commitment to the change initiative. Identifying early adopters can assist in decreasing opposition to change. These employees will likely be open to new ideas and willing to try new things. Unilever should identify and include these employees in the transition process. Their zeal and dedication might assist in persuading others and minimize opposition to change. Lastly, Unilever should address staff doubts and concerns about the transition program. This strategy will assist in lessening employee worry and uncertainty while increasing their support for the transformation program. Providing regular updates, offering assistance and direction, and including staff in decision-making are all ways to address anxieties and concerns. Understanding when change is complete Clear objectives is required to determine accomplishment when there is a change in the program. Therefore, I would establish explicit goals that explain what it expects to accomplish through the </w:t>
      </w:r>
      <w:r w:rsidRPr="00304B8E">
        <w:rPr>
          <w:rFonts w:ascii="Times New Roman" w:hAnsi="Times New Roman" w:cs="Times New Roman"/>
          <w:sz w:val="24"/>
          <w:szCs w:val="24"/>
        </w:rPr>
        <w:lastRenderedPageBreak/>
        <w:t>transformation program. These goals should be quantifiable and reasonable to establish whether the change was effectively executed. For example, if Unilever wants to expand its market share by 5%, the objectives should explicitly express this. Similarly, if Unilever intends to cut expenses by a specific percentage or enhance manufacturing capacity, the objectives should specify these goals.</w:t>
      </w:r>
    </w:p>
    <w:p w14:paraId="17EFC97D" w14:textId="77777777" w:rsidR="0079045F"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t xml:space="preserve"> Unilever should utilize key performance indicators (KPIs) to measure progress toward the set targets to assess the efficacy of the transformation program. KPIs should be quantifiable and tied to the objectives. For example, if increasing market share is the goal, the KPI may be the percentage growth in market share over a specific period. If the goal is to minimize expenses, the KPI may be the cost reduction accomplished over a specific period. To evaluate the efficacy of the change program, Unilever should solicit input from stakeholders such as workers, customers, suppliers, and partners. This input should be gathered regularly and utilized to identify areas for improvement and make required changes to the change program. Periodic assessments of the change program are also essential for determining its efficacy. These evaluations should be performed regularly to establish whether the change program is on track to meet its objectives. Internal or external consultants who can give an objective viewpoint on the efficacy of the change program can conduct reviews.  </w:t>
      </w:r>
    </w:p>
    <w:p w14:paraId="65118B1D" w14:textId="77777777" w:rsidR="00304B8E" w:rsidRPr="00304B8E" w:rsidRDefault="00296A9B" w:rsidP="00304B8E">
      <w:pPr>
        <w:spacing w:after="0" w:line="480" w:lineRule="auto"/>
        <w:ind w:firstLine="720"/>
        <w:jc w:val="both"/>
        <w:rPr>
          <w:rFonts w:ascii="Times New Roman" w:hAnsi="Times New Roman" w:cs="Times New Roman"/>
          <w:sz w:val="24"/>
          <w:szCs w:val="24"/>
        </w:rPr>
      </w:pPr>
      <w:r w:rsidRPr="00304B8E">
        <w:rPr>
          <w:rFonts w:ascii="Times New Roman" w:hAnsi="Times New Roman" w:cs="Times New Roman"/>
          <w:sz w:val="24"/>
          <w:szCs w:val="24"/>
        </w:rPr>
        <w:br w:type="page"/>
      </w:r>
    </w:p>
    <w:p w14:paraId="6D12B50B" w14:textId="77777777" w:rsidR="00304B8E" w:rsidRPr="00304B8E" w:rsidRDefault="00296A9B" w:rsidP="00304B8E">
      <w:pPr>
        <w:spacing w:after="0" w:line="480" w:lineRule="auto"/>
        <w:ind w:left="720" w:hanging="720"/>
        <w:jc w:val="center"/>
        <w:rPr>
          <w:rFonts w:ascii="Times New Roman" w:hAnsi="Times New Roman" w:cs="Times New Roman"/>
          <w:b/>
          <w:sz w:val="24"/>
          <w:szCs w:val="24"/>
        </w:rPr>
      </w:pPr>
      <w:r w:rsidRPr="00304B8E">
        <w:rPr>
          <w:rFonts w:ascii="Times New Roman" w:hAnsi="Times New Roman" w:cs="Times New Roman"/>
          <w:b/>
          <w:sz w:val="24"/>
          <w:szCs w:val="24"/>
        </w:rPr>
        <w:lastRenderedPageBreak/>
        <w:t>References</w:t>
      </w:r>
    </w:p>
    <w:p w14:paraId="01B85B37" w14:textId="77777777" w:rsidR="00304B8E" w:rsidRPr="00304B8E" w:rsidRDefault="00304B8E" w:rsidP="00304B8E">
      <w:pPr>
        <w:spacing w:after="0" w:line="480" w:lineRule="auto"/>
        <w:ind w:left="720" w:hanging="720"/>
        <w:jc w:val="both"/>
        <w:rPr>
          <w:rFonts w:ascii="Times New Roman" w:hAnsi="Times New Roman" w:cs="Times New Roman"/>
          <w:sz w:val="24"/>
          <w:szCs w:val="24"/>
        </w:rPr>
      </w:pPr>
    </w:p>
    <w:p w14:paraId="188FF5F8"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t>Dusfour, I., Vontas, J., David, J. P., Weetman, D., Fonseca, D. M., Corbel, V., ... &amp;amp; Chandre, F. (2019).</w:t>
      </w:r>
    </w:p>
    <w:p w14:paraId="65DBEC48"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t>Management of insecticide resistance in the major Aedes vectors of arboviruses: Advances and</w:t>
      </w:r>
    </w:p>
    <w:p w14:paraId="4104780C"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t>challenges. PLoS neglected tropical diseases, 13(10), e0007615.</w:t>
      </w:r>
    </w:p>
    <w:p w14:paraId="637E41CB"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t>Egan, M. (2019). EU single market (s) after Brexit. Politics and Governance, 7(3), 19-29.</w:t>
      </w:r>
    </w:p>
    <w:p w14:paraId="7DAEF5FD"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t>Kang, S. P., Chen, Y., Svihla, V., Gallup, A., Ferris, K., &amp;amp; Datye, A. K. (2022). Guiding change in higher</w:t>
      </w:r>
    </w:p>
    <w:p w14:paraId="3C1FE4AB"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t>education: An emergent, iterative application of Kotter’s change model. Studies in Higher</w:t>
      </w:r>
    </w:p>
    <w:p w14:paraId="2E945468"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t>Education, 47(2), 270-289.</w:t>
      </w:r>
    </w:p>
    <w:p w14:paraId="0B76DCEC"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t>Kniffin, K. M., Narayanan, J., Ansell, F., Antonakis, J., Ashford, S. P., Bakker, A. B., ... &amp;amp; Vugt, M. V.</w:t>
      </w:r>
    </w:p>
    <w:p w14:paraId="6A05F39E"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t>(2021). COVID-19 and the workplace: Implications, issues, and insights for future research and</w:t>
      </w:r>
    </w:p>
    <w:p w14:paraId="015FE2D9"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t>action. American psychologist, 76(1), 63.</w:t>
      </w:r>
    </w:p>
    <w:p w14:paraId="568E4844"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t>Li, J., Nguyen, T. H. H., &amp;amp; Coca-Stefaniak, J. A. (2020). Coronavirus impacts on post-pandemic planned</w:t>
      </w:r>
    </w:p>
    <w:p w14:paraId="2B7743B4"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t>travel behaviors. Annals of Tourism Research.</w:t>
      </w:r>
    </w:p>
    <w:p w14:paraId="196D1E05"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t>Lewis, L. (2019). Organizational change. In Origins and Traditions of organizational communication (pp.</w:t>
      </w:r>
    </w:p>
    <w:p w14:paraId="0A256030"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t>406-423). Routledge.</w:t>
      </w:r>
    </w:p>
    <w:p w14:paraId="56E7D805"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t>Modreanu, A., Andrișan, G. N., Sârbu, A. M., &amp;amp; Grădinaru, C. Corporate Social Responsibility, a Strategic</w:t>
      </w:r>
    </w:p>
    <w:p w14:paraId="175715B4"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lastRenderedPageBreak/>
        <w:t>Tool for Sustainable Value Creation: A Case Study of Unilever’s Sustainable Living Plan.</w:t>
      </w:r>
    </w:p>
    <w:p w14:paraId="02E864B9"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t>Ouedraogo, A., &amp;amp; Tiemtore, N. C. (2021). Technological innovation, organizational change, and</w:t>
      </w:r>
    </w:p>
    <w:p w14:paraId="286CC7E1"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t>employee&amp;#39;s resistance in developing countries. Management Review: An International</w:t>
      </w:r>
    </w:p>
    <w:p w14:paraId="703CBED5"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t>Journal, 16(1), 23-43.</w:t>
      </w:r>
    </w:p>
    <w:p w14:paraId="6571D5C8"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t>Sołoducho-Pelc, L., &amp;amp; Sulich, A. (2020). Between sustainable and temporary competitive advantages in</w:t>
      </w:r>
    </w:p>
    <w:p w14:paraId="5B2342C8" w14:textId="77777777" w:rsidR="00304B8E" w:rsidRPr="00304B8E" w:rsidRDefault="00296A9B" w:rsidP="00304B8E">
      <w:pPr>
        <w:spacing w:after="0" w:line="480" w:lineRule="auto"/>
        <w:ind w:left="720" w:hanging="720"/>
        <w:jc w:val="both"/>
        <w:rPr>
          <w:rFonts w:ascii="Times New Roman" w:hAnsi="Times New Roman" w:cs="Times New Roman"/>
          <w:sz w:val="24"/>
          <w:szCs w:val="24"/>
        </w:rPr>
      </w:pPr>
      <w:r w:rsidRPr="00304B8E">
        <w:rPr>
          <w:rFonts w:ascii="Times New Roman" w:hAnsi="Times New Roman" w:cs="Times New Roman"/>
          <w:sz w:val="24"/>
          <w:szCs w:val="24"/>
        </w:rPr>
        <w:t>the unstable business environment. Sustainability, 12(21), 8832.</w:t>
      </w:r>
    </w:p>
    <w:sectPr w:rsidR="00304B8E" w:rsidRPr="00304B8E">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E27A7F" w14:textId="77777777" w:rsidR="00865537" w:rsidRDefault="00865537">
      <w:pPr>
        <w:spacing w:after="0" w:line="240" w:lineRule="auto"/>
      </w:pPr>
      <w:r>
        <w:separator/>
      </w:r>
    </w:p>
  </w:endnote>
  <w:endnote w:type="continuationSeparator" w:id="0">
    <w:p w14:paraId="0112D5D1" w14:textId="77777777" w:rsidR="00865537" w:rsidRDefault="00865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D1F725" w14:textId="77777777" w:rsidR="00865537" w:rsidRDefault="00865537">
      <w:pPr>
        <w:spacing w:after="0" w:line="240" w:lineRule="auto"/>
      </w:pPr>
      <w:r>
        <w:separator/>
      </w:r>
    </w:p>
  </w:footnote>
  <w:footnote w:type="continuationSeparator" w:id="0">
    <w:p w14:paraId="5C80FEBA" w14:textId="77777777" w:rsidR="00865537" w:rsidRDefault="008655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0961582"/>
      <w:docPartObj>
        <w:docPartGallery w:val="Page Numbers (Top of Page)"/>
        <w:docPartUnique/>
      </w:docPartObj>
    </w:sdtPr>
    <w:sdtEndPr>
      <w:rPr>
        <w:rFonts w:ascii="Times New Roman" w:hAnsi="Times New Roman" w:cs="Times New Roman"/>
        <w:noProof/>
        <w:sz w:val="24"/>
        <w:szCs w:val="24"/>
      </w:rPr>
    </w:sdtEndPr>
    <w:sdtContent>
      <w:p w14:paraId="1C5F669C" w14:textId="77777777" w:rsidR="00304B8E" w:rsidRPr="00304B8E" w:rsidRDefault="00296A9B">
        <w:pPr>
          <w:pStyle w:val="a3"/>
          <w:jc w:val="right"/>
          <w:rPr>
            <w:rFonts w:ascii="Times New Roman" w:hAnsi="Times New Roman" w:cs="Times New Roman"/>
            <w:sz w:val="24"/>
            <w:szCs w:val="24"/>
          </w:rPr>
        </w:pPr>
        <w:r w:rsidRPr="00304B8E">
          <w:rPr>
            <w:rFonts w:ascii="Times New Roman" w:hAnsi="Times New Roman" w:cs="Times New Roman"/>
            <w:sz w:val="24"/>
            <w:szCs w:val="24"/>
          </w:rPr>
          <w:fldChar w:fldCharType="begin"/>
        </w:r>
        <w:r w:rsidRPr="00304B8E">
          <w:rPr>
            <w:rFonts w:ascii="Times New Roman" w:hAnsi="Times New Roman" w:cs="Times New Roman"/>
            <w:sz w:val="24"/>
            <w:szCs w:val="24"/>
          </w:rPr>
          <w:instrText xml:space="preserve"> PAGE   \* MERGEFORMAT </w:instrText>
        </w:r>
        <w:r w:rsidRPr="00304B8E">
          <w:rPr>
            <w:rFonts w:ascii="Times New Roman" w:hAnsi="Times New Roman" w:cs="Times New Roman"/>
            <w:sz w:val="24"/>
            <w:szCs w:val="24"/>
          </w:rPr>
          <w:fldChar w:fldCharType="separate"/>
        </w:r>
        <w:r w:rsidR="00031753">
          <w:rPr>
            <w:rFonts w:ascii="Times New Roman" w:hAnsi="Times New Roman" w:cs="Times New Roman"/>
            <w:noProof/>
            <w:sz w:val="24"/>
            <w:szCs w:val="24"/>
          </w:rPr>
          <w:t>9</w:t>
        </w:r>
        <w:r w:rsidRPr="00304B8E">
          <w:rPr>
            <w:rFonts w:ascii="Times New Roman" w:hAnsi="Times New Roman" w:cs="Times New Roman"/>
            <w:noProof/>
            <w:sz w:val="24"/>
            <w:szCs w:val="24"/>
          </w:rPr>
          <w:fldChar w:fldCharType="end"/>
        </w:r>
      </w:p>
    </w:sdtContent>
  </w:sdt>
  <w:p w14:paraId="12F03196" w14:textId="77777777" w:rsidR="00304B8E" w:rsidRDefault="00304B8E">
    <w:pPr>
      <w:pStyle w:val="a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B8E"/>
    <w:rsid w:val="00031753"/>
    <w:rsid w:val="00296A9B"/>
    <w:rsid w:val="00304B8E"/>
    <w:rsid w:val="0079045F"/>
    <w:rsid w:val="00865537"/>
    <w:rsid w:val="00A80BBE"/>
    <w:rsid w:val="00B0566C"/>
    <w:rsid w:val="00D520A2"/>
    <w:rsid w:val="00D620AB"/>
    <w:rsid w:val="00E07BEB"/>
    <w:rsid w:val="00FC1E3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AC7E2"/>
  <w15:docId w15:val="{97DA717A-2182-1A48-ACC0-416DC13E7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04B8E"/>
    <w:pPr>
      <w:tabs>
        <w:tab w:val="center" w:pos="4680"/>
        <w:tab w:val="right" w:pos="9360"/>
      </w:tabs>
      <w:spacing w:after="0" w:line="240" w:lineRule="auto"/>
    </w:pPr>
  </w:style>
  <w:style w:type="character" w:customStyle="1" w:styleId="a4">
    <w:name w:val="页眉 字符"/>
    <w:basedOn w:val="a0"/>
    <w:link w:val="a3"/>
    <w:uiPriority w:val="99"/>
    <w:rsid w:val="00304B8E"/>
  </w:style>
  <w:style w:type="paragraph" w:styleId="a5">
    <w:name w:val="footer"/>
    <w:basedOn w:val="a"/>
    <w:link w:val="a6"/>
    <w:uiPriority w:val="99"/>
    <w:unhideWhenUsed/>
    <w:rsid w:val="00304B8E"/>
    <w:pPr>
      <w:tabs>
        <w:tab w:val="center" w:pos="4680"/>
        <w:tab w:val="right" w:pos="9360"/>
      </w:tabs>
      <w:spacing w:after="0" w:line="240" w:lineRule="auto"/>
    </w:pPr>
  </w:style>
  <w:style w:type="character" w:customStyle="1" w:styleId="a6">
    <w:name w:val="页脚 字符"/>
    <w:basedOn w:val="a0"/>
    <w:link w:val="a5"/>
    <w:uiPriority w:val="99"/>
    <w:rsid w:val="00304B8E"/>
  </w:style>
  <w:style w:type="character" w:styleId="a7">
    <w:name w:val="Hyperlink"/>
    <w:basedOn w:val="a0"/>
    <w:uiPriority w:val="99"/>
    <w:semiHidden/>
    <w:unhideWhenUsed/>
    <w:rsid w:val="00A80BB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1632457">
      <w:bodyDiv w:val="1"/>
      <w:marLeft w:val="0"/>
      <w:marRight w:val="0"/>
      <w:marTop w:val="0"/>
      <w:marBottom w:val="0"/>
      <w:divBdr>
        <w:top w:val="none" w:sz="0" w:space="0" w:color="auto"/>
        <w:left w:val="none" w:sz="0" w:space="0" w:color="auto"/>
        <w:bottom w:val="none" w:sz="0" w:space="0" w:color="auto"/>
        <w:right w:val="none" w:sz="0" w:space="0" w:color="auto"/>
      </w:divBdr>
      <w:divsChild>
        <w:div w:id="933636475">
          <w:marLeft w:val="0"/>
          <w:marRight w:val="0"/>
          <w:marTop w:val="0"/>
          <w:marBottom w:val="0"/>
          <w:divBdr>
            <w:top w:val="none" w:sz="0" w:space="0" w:color="auto"/>
            <w:left w:val="none" w:sz="0" w:space="0" w:color="auto"/>
            <w:bottom w:val="none" w:sz="0" w:space="0" w:color="auto"/>
            <w:right w:val="none" w:sz="0" w:space="0" w:color="auto"/>
          </w:divBdr>
          <w:divsChild>
            <w:div w:id="1845050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TotalTime>
  <Pages>14</Pages>
  <Words>3334</Words>
  <Characters>19006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STEPHEN</dc:creator>
  <cp:lastModifiedBy>兆玮 李</cp:lastModifiedBy>
  <cp:revision>3</cp:revision>
  <dcterms:created xsi:type="dcterms:W3CDTF">2023-05-05T11:47:00Z</dcterms:created>
  <dcterms:modified xsi:type="dcterms:W3CDTF">2023-05-05T12:52:00Z</dcterms:modified>
</cp:coreProperties>
</file>