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D646A" w14:textId="77777777" w:rsidR="00591EC8" w:rsidRPr="000336EA" w:rsidRDefault="007A7C3B" w:rsidP="00591EC8">
      <w:pPr>
        <w:spacing w:line="360" w:lineRule="auto"/>
      </w:pPr>
      <w:r>
        <w:rPr>
          <w:b/>
          <w:bCs/>
          <w:sz w:val="30"/>
          <w:szCs w:val="30"/>
        </w:rPr>
        <w:t xml:space="preserve">  </w:t>
      </w:r>
      <w:r w:rsidR="00591EC8" w:rsidRPr="000336EA">
        <w:rPr>
          <w:noProof/>
        </w:rPr>
        <w:drawing>
          <wp:anchor distT="0" distB="0" distL="114300" distR="114300" simplePos="0" relativeHeight="251659264" behindDoc="0" locked="0" layoutInCell="1" allowOverlap="1" wp14:anchorId="369289A7" wp14:editId="2EB7A8E1">
            <wp:simplePos x="0" y="0"/>
            <wp:positionH relativeFrom="column">
              <wp:posOffset>76200</wp:posOffset>
            </wp:positionH>
            <wp:positionV relativeFrom="paragraph">
              <wp:posOffset>231140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C01FD18" w14:textId="77777777" w:rsidR="00591EC8" w:rsidRPr="000336EA" w:rsidRDefault="00591EC8" w:rsidP="00591EC8">
      <w:pPr>
        <w:spacing w:line="360" w:lineRule="auto"/>
      </w:pPr>
    </w:p>
    <w:p w14:paraId="1357393E" w14:textId="77777777" w:rsidR="00591EC8" w:rsidRPr="000336EA" w:rsidRDefault="00591EC8" w:rsidP="00591EC8">
      <w:pPr>
        <w:spacing w:line="360" w:lineRule="auto"/>
      </w:pPr>
    </w:p>
    <w:p w14:paraId="143BC9DB" w14:textId="77777777" w:rsidR="00591EC8" w:rsidRPr="000336EA" w:rsidRDefault="00591EC8" w:rsidP="00591EC8">
      <w:pPr>
        <w:spacing w:line="360" w:lineRule="auto"/>
      </w:pPr>
    </w:p>
    <w:p w14:paraId="54BB913A" w14:textId="77777777" w:rsidR="00591EC8" w:rsidRPr="000336EA" w:rsidRDefault="00591EC8" w:rsidP="00591EC8">
      <w:pPr>
        <w:tabs>
          <w:tab w:val="left" w:pos="6540"/>
        </w:tabs>
        <w:spacing w:line="360" w:lineRule="auto"/>
        <w:rPr>
          <w:sz w:val="28"/>
          <w:szCs w:val="28"/>
        </w:rPr>
      </w:pPr>
    </w:p>
    <w:p w14:paraId="3ABF4087" w14:textId="77777777" w:rsidR="00591EC8" w:rsidRPr="000336EA" w:rsidRDefault="00591EC8" w:rsidP="003272A7">
      <w:pPr>
        <w:tabs>
          <w:tab w:val="left" w:pos="6540"/>
        </w:tabs>
        <w:spacing w:line="360" w:lineRule="auto"/>
        <w:rPr>
          <w:sz w:val="22"/>
        </w:rPr>
      </w:pPr>
      <w:r w:rsidRPr="000336EA">
        <w:rPr>
          <w:b/>
          <w:bCs/>
          <w:sz w:val="22"/>
        </w:rPr>
        <w:t>Student name</w:t>
      </w:r>
      <w:r w:rsidRPr="000336EA">
        <w:rPr>
          <w:sz w:val="22"/>
        </w:rPr>
        <w:t>: Florence Mirembe</w:t>
      </w:r>
    </w:p>
    <w:p w14:paraId="561B4871" w14:textId="77777777" w:rsidR="00591EC8" w:rsidRPr="000336EA" w:rsidRDefault="00591EC8" w:rsidP="003272A7">
      <w:pPr>
        <w:tabs>
          <w:tab w:val="left" w:pos="6540"/>
        </w:tabs>
        <w:spacing w:line="360" w:lineRule="auto"/>
        <w:rPr>
          <w:sz w:val="22"/>
        </w:rPr>
      </w:pPr>
      <w:r w:rsidRPr="000336EA">
        <w:rPr>
          <w:b/>
          <w:bCs/>
          <w:sz w:val="22"/>
        </w:rPr>
        <w:t>Student ID</w:t>
      </w:r>
      <w:r w:rsidRPr="000336EA">
        <w:rPr>
          <w:sz w:val="22"/>
        </w:rPr>
        <w:t>: 2313074</w:t>
      </w:r>
    </w:p>
    <w:p w14:paraId="6FB7093D" w14:textId="78E60B29" w:rsidR="00591EC8" w:rsidRPr="00826F53" w:rsidRDefault="00591EC8" w:rsidP="003272A7">
      <w:pPr>
        <w:spacing w:after="80" w:line="360" w:lineRule="auto"/>
        <w:rPr>
          <w:b/>
          <w:bCs/>
          <w:sz w:val="30"/>
          <w:szCs w:val="30"/>
        </w:rPr>
      </w:pPr>
      <w:r w:rsidRPr="000336EA">
        <w:rPr>
          <w:b/>
          <w:bCs/>
          <w:sz w:val="22"/>
        </w:rPr>
        <w:t>Module name</w:t>
      </w:r>
      <w:r w:rsidRPr="000336EA">
        <w:rPr>
          <w:sz w:val="22"/>
        </w:rPr>
        <w:t xml:space="preserve">: </w:t>
      </w:r>
      <w:r w:rsidR="00671D99" w:rsidRPr="00826F53">
        <w:rPr>
          <w:sz w:val="22"/>
          <w:szCs w:val="22"/>
        </w:rPr>
        <w:t>Health, Wellbeing and Sustainable Development</w:t>
      </w:r>
    </w:p>
    <w:p w14:paraId="5BEA6278" w14:textId="4408EA36" w:rsidR="00591EC8" w:rsidRPr="000336EA" w:rsidRDefault="00591EC8" w:rsidP="003272A7">
      <w:pPr>
        <w:tabs>
          <w:tab w:val="left" w:pos="6540"/>
        </w:tabs>
        <w:spacing w:line="360" w:lineRule="auto"/>
        <w:rPr>
          <w:sz w:val="22"/>
        </w:rPr>
      </w:pPr>
      <w:r w:rsidRPr="000336EA">
        <w:rPr>
          <w:b/>
          <w:bCs/>
          <w:sz w:val="22"/>
        </w:rPr>
        <w:t>Module code</w:t>
      </w:r>
      <w:r w:rsidRPr="000336EA">
        <w:rPr>
          <w:sz w:val="22"/>
        </w:rPr>
        <w:t>: BMHP</w:t>
      </w:r>
      <w:r w:rsidR="00DB7922">
        <w:rPr>
          <w:sz w:val="22"/>
        </w:rPr>
        <w:t>6030</w:t>
      </w:r>
      <w:r w:rsidRPr="000336EA">
        <w:rPr>
          <w:sz w:val="22"/>
        </w:rPr>
        <w:t>-London</w:t>
      </w:r>
    </w:p>
    <w:p w14:paraId="49D0726E" w14:textId="1AE28574" w:rsidR="00591EC8" w:rsidRDefault="00591EC8" w:rsidP="003272A7">
      <w:pPr>
        <w:tabs>
          <w:tab w:val="left" w:pos="6540"/>
        </w:tabs>
        <w:spacing w:line="360" w:lineRule="auto"/>
        <w:rPr>
          <w:sz w:val="22"/>
        </w:rPr>
      </w:pPr>
      <w:r w:rsidRPr="000336EA">
        <w:rPr>
          <w:b/>
          <w:bCs/>
          <w:sz w:val="22"/>
        </w:rPr>
        <w:t>Lecturer name</w:t>
      </w:r>
      <w:r w:rsidRPr="000336EA">
        <w:rPr>
          <w:sz w:val="22"/>
        </w:rPr>
        <w:t xml:space="preserve">: </w:t>
      </w:r>
      <w:r w:rsidR="00DB7922">
        <w:rPr>
          <w:sz w:val="22"/>
        </w:rPr>
        <w:t xml:space="preserve">Dr </w:t>
      </w:r>
      <w:proofErr w:type="spellStart"/>
      <w:r w:rsidR="00B05603">
        <w:rPr>
          <w:sz w:val="22"/>
        </w:rPr>
        <w:t>Itse</w:t>
      </w:r>
      <w:proofErr w:type="spellEnd"/>
      <w:r w:rsidR="00B05603">
        <w:rPr>
          <w:sz w:val="22"/>
        </w:rPr>
        <w:t xml:space="preserve"> Olaoye</w:t>
      </w:r>
    </w:p>
    <w:p w14:paraId="6D48AD3D" w14:textId="6AA1AD09" w:rsidR="009D249A" w:rsidRPr="00D27424" w:rsidRDefault="009D249A" w:rsidP="003272A7">
      <w:pPr>
        <w:tabs>
          <w:tab w:val="left" w:pos="6540"/>
        </w:tabs>
        <w:spacing w:line="360" w:lineRule="auto"/>
        <w:rPr>
          <w:sz w:val="22"/>
        </w:rPr>
      </w:pPr>
      <w:r w:rsidRPr="00717260">
        <w:rPr>
          <w:b/>
          <w:bCs/>
          <w:sz w:val="22"/>
        </w:rPr>
        <w:t xml:space="preserve">Submission </w:t>
      </w:r>
      <w:r w:rsidR="00717260" w:rsidRPr="00717260">
        <w:rPr>
          <w:b/>
          <w:bCs/>
          <w:sz w:val="22"/>
        </w:rPr>
        <w:t>date:</w:t>
      </w:r>
      <w:r w:rsidR="008110C7">
        <w:rPr>
          <w:b/>
          <w:bCs/>
          <w:sz w:val="22"/>
        </w:rPr>
        <w:t xml:space="preserve"> </w:t>
      </w:r>
      <w:r w:rsidR="00D27424">
        <w:rPr>
          <w:sz w:val="22"/>
        </w:rPr>
        <w:t>7/08/2026</w:t>
      </w:r>
    </w:p>
    <w:p w14:paraId="0185F2B1" w14:textId="77777777" w:rsidR="00B05603" w:rsidRDefault="00B05603" w:rsidP="00591EC8">
      <w:pPr>
        <w:tabs>
          <w:tab w:val="left" w:pos="6540"/>
        </w:tabs>
        <w:spacing w:line="360" w:lineRule="auto"/>
        <w:rPr>
          <w:sz w:val="22"/>
        </w:rPr>
      </w:pPr>
    </w:p>
    <w:p w14:paraId="421E0D89" w14:textId="77777777" w:rsidR="00F0397D" w:rsidRPr="00293B92" w:rsidRDefault="00F0397D" w:rsidP="00F0397D">
      <w:pPr>
        <w:spacing w:line="360" w:lineRule="auto"/>
        <w:jc w:val="both"/>
        <w:rPr>
          <w:sz w:val="22"/>
          <w:szCs w:val="22"/>
        </w:rPr>
      </w:pPr>
      <w:r w:rsidRPr="00293B92">
        <w:rPr>
          <w:sz w:val="22"/>
          <w:szCs w:val="22"/>
        </w:rPr>
        <w:t>Recognition of AI</w:t>
      </w:r>
    </w:p>
    <w:p w14:paraId="15FA21BB" w14:textId="0A0C2294" w:rsidR="00F0397D" w:rsidRPr="00293B92" w:rsidRDefault="00F0397D" w:rsidP="00F0397D">
      <w:pPr>
        <w:spacing w:line="360" w:lineRule="auto"/>
        <w:jc w:val="both"/>
        <w:rPr>
          <w:sz w:val="22"/>
          <w:szCs w:val="22"/>
        </w:rPr>
      </w:pPr>
      <w:r w:rsidRPr="00293B92">
        <w:rPr>
          <w:sz w:val="22"/>
          <w:szCs w:val="22"/>
        </w:rPr>
        <w:t xml:space="preserve">I attest that no artificial intelligence methods were employed in the </w:t>
      </w:r>
      <w:r w:rsidR="007E1BF7" w:rsidRPr="00293B92">
        <w:rPr>
          <w:sz w:val="22"/>
          <w:szCs w:val="22"/>
        </w:rPr>
        <w:t>study</w:t>
      </w:r>
      <w:r w:rsidRPr="00293B92">
        <w:rPr>
          <w:sz w:val="22"/>
          <w:szCs w:val="22"/>
        </w:rPr>
        <w:t xml:space="preserve"> or composition of this project. I attest that I </w:t>
      </w:r>
      <w:r w:rsidR="000C5484" w:rsidRPr="00293B92">
        <w:rPr>
          <w:sz w:val="22"/>
          <w:szCs w:val="22"/>
        </w:rPr>
        <w:t>did</w:t>
      </w:r>
      <w:r w:rsidRPr="00293B92">
        <w:rPr>
          <w:sz w:val="22"/>
          <w:szCs w:val="22"/>
        </w:rPr>
        <w:t xml:space="preserve"> not upload any AI-generated content under my </w:t>
      </w:r>
      <w:r w:rsidR="00FE4C99" w:rsidRPr="00293B92">
        <w:rPr>
          <w:sz w:val="22"/>
          <w:szCs w:val="22"/>
        </w:rPr>
        <w:t>personal</w:t>
      </w:r>
      <w:r w:rsidRPr="00293B92">
        <w:rPr>
          <w:sz w:val="22"/>
          <w:szCs w:val="22"/>
        </w:rPr>
        <w:t xml:space="preserve"> name. I attest that I </w:t>
      </w:r>
      <w:r w:rsidR="00831FBB" w:rsidRPr="00293B92">
        <w:rPr>
          <w:sz w:val="22"/>
          <w:szCs w:val="22"/>
        </w:rPr>
        <w:t>own</w:t>
      </w:r>
      <w:r w:rsidRPr="00293B92">
        <w:rPr>
          <w:sz w:val="22"/>
          <w:szCs w:val="22"/>
        </w:rPr>
        <w:t xml:space="preserve"> copies of the notes, drafts, and </w:t>
      </w:r>
      <w:r w:rsidR="00A81BA9" w:rsidRPr="00293B92">
        <w:rPr>
          <w:sz w:val="22"/>
          <w:szCs w:val="22"/>
        </w:rPr>
        <w:t>additional</w:t>
      </w:r>
      <w:r w:rsidRPr="00293B92">
        <w:rPr>
          <w:sz w:val="22"/>
          <w:szCs w:val="22"/>
        </w:rPr>
        <w:t xml:space="preserve"> </w:t>
      </w:r>
      <w:r w:rsidR="00293B92" w:rsidRPr="00293B92">
        <w:rPr>
          <w:sz w:val="22"/>
          <w:szCs w:val="22"/>
        </w:rPr>
        <w:t>records</w:t>
      </w:r>
      <w:r w:rsidRPr="00293B92">
        <w:rPr>
          <w:sz w:val="22"/>
          <w:szCs w:val="22"/>
        </w:rPr>
        <w:t xml:space="preserve"> I used, which I may need to </w:t>
      </w:r>
      <w:r w:rsidR="00C66915" w:rsidRPr="00293B92">
        <w:rPr>
          <w:sz w:val="22"/>
          <w:szCs w:val="22"/>
        </w:rPr>
        <w:t>supply</w:t>
      </w:r>
      <w:r w:rsidRPr="00293B92">
        <w:rPr>
          <w:sz w:val="22"/>
          <w:szCs w:val="22"/>
        </w:rPr>
        <w:t xml:space="preserve"> as </w:t>
      </w:r>
      <w:r w:rsidR="00C66915" w:rsidRPr="00293B92">
        <w:rPr>
          <w:sz w:val="22"/>
          <w:szCs w:val="22"/>
        </w:rPr>
        <w:t>confirmation</w:t>
      </w:r>
      <w:r w:rsidRPr="00293B92">
        <w:rPr>
          <w:sz w:val="22"/>
          <w:szCs w:val="22"/>
        </w:rPr>
        <w:t>.</w:t>
      </w:r>
    </w:p>
    <w:p w14:paraId="6B61328F" w14:textId="67F521C9" w:rsidR="008B40A9" w:rsidRPr="00914E3D" w:rsidRDefault="008B40A9" w:rsidP="008B40A9">
      <w:pPr>
        <w:spacing w:line="360" w:lineRule="auto"/>
        <w:jc w:val="both"/>
        <w:rPr>
          <w:sz w:val="22"/>
          <w:szCs w:val="22"/>
        </w:rPr>
      </w:pPr>
    </w:p>
    <w:p w14:paraId="237214BF" w14:textId="77777777" w:rsidR="0028496B" w:rsidRPr="000336EA" w:rsidRDefault="0028496B" w:rsidP="00591EC8">
      <w:pPr>
        <w:tabs>
          <w:tab w:val="left" w:pos="6540"/>
        </w:tabs>
        <w:spacing w:line="360" w:lineRule="auto"/>
        <w:rPr>
          <w:sz w:val="22"/>
        </w:rPr>
      </w:pPr>
    </w:p>
    <w:p w14:paraId="1BAF9CBE" w14:textId="5CC2C1D2" w:rsidR="003911E2" w:rsidRDefault="003911E2">
      <w:pPr>
        <w:spacing w:after="80"/>
        <w:jc w:val="center"/>
        <w:rPr>
          <w:b/>
          <w:bCs/>
          <w:sz w:val="30"/>
          <w:szCs w:val="30"/>
        </w:rPr>
      </w:pPr>
    </w:p>
    <w:p w14:paraId="5E7C2338" w14:textId="77777777" w:rsidR="003911E2" w:rsidRDefault="003911E2">
      <w:pPr>
        <w:spacing w:after="80"/>
        <w:jc w:val="center"/>
        <w:rPr>
          <w:b/>
          <w:bCs/>
          <w:sz w:val="30"/>
          <w:szCs w:val="30"/>
        </w:rPr>
      </w:pPr>
    </w:p>
    <w:p w14:paraId="0EAC36F4" w14:textId="77777777" w:rsidR="003911E2" w:rsidRDefault="003911E2">
      <w:pPr>
        <w:spacing w:after="80"/>
        <w:jc w:val="center"/>
        <w:rPr>
          <w:b/>
          <w:bCs/>
          <w:sz w:val="30"/>
          <w:szCs w:val="30"/>
        </w:rPr>
      </w:pPr>
    </w:p>
    <w:p w14:paraId="3DC4BA59" w14:textId="77777777" w:rsidR="003911E2" w:rsidRDefault="003911E2">
      <w:pPr>
        <w:spacing w:after="80"/>
        <w:jc w:val="center"/>
        <w:rPr>
          <w:b/>
          <w:bCs/>
          <w:sz w:val="30"/>
          <w:szCs w:val="30"/>
        </w:rPr>
      </w:pPr>
    </w:p>
    <w:p w14:paraId="5A08DD73" w14:textId="77777777" w:rsidR="003911E2" w:rsidRDefault="003911E2">
      <w:pPr>
        <w:spacing w:after="80"/>
        <w:jc w:val="center"/>
        <w:rPr>
          <w:b/>
          <w:bCs/>
          <w:sz w:val="30"/>
          <w:szCs w:val="30"/>
        </w:rPr>
      </w:pPr>
    </w:p>
    <w:p w14:paraId="0A577032" w14:textId="77777777" w:rsidR="003911E2" w:rsidRDefault="003911E2">
      <w:pPr>
        <w:spacing w:after="80"/>
        <w:jc w:val="center"/>
        <w:rPr>
          <w:b/>
          <w:bCs/>
          <w:sz w:val="30"/>
          <w:szCs w:val="30"/>
        </w:rPr>
      </w:pPr>
    </w:p>
    <w:p w14:paraId="2E659340" w14:textId="77777777" w:rsidR="003911E2" w:rsidRDefault="003911E2">
      <w:pPr>
        <w:spacing w:after="80"/>
        <w:jc w:val="center"/>
        <w:rPr>
          <w:b/>
          <w:bCs/>
          <w:sz w:val="30"/>
          <w:szCs w:val="30"/>
        </w:rPr>
      </w:pPr>
    </w:p>
    <w:p w14:paraId="5C8D1B53" w14:textId="77777777" w:rsidR="003911E2" w:rsidRDefault="003911E2">
      <w:pPr>
        <w:spacing w:after="80"/>
        <w:jc w:val="center"/>
        <w:rPr>
          <w:b/>
          <w:bCs/>
          <w:sz w:val="30"/>
          <w:szCs w:val="30"/>
        </w:rPr>
      </w:pPr>
    </w:p>
    <w:p w14:paraId="4606DDC6" w14:textId="77777777" w:rsidR="002329F0" w:rsidRDefault="002329F0">
      <w:pPr>
        <w:spacing w:after="80"/>
        <w:jc w:val="center"/>
        <w:rPr>
          <w:b/>
          <w:bCs/>
          <w:sz w:val="30"/>
          <w:szCs w:val="30"/>
        </w:rPr>
      </w:pPr>
    </w:p>
    <w:p w14:paraId="38F58C98" w14:textId="77777777" w:rsidR="002329F0" w:rsidRDefault="002329F0">
      <w:pPr>
        <w:spacing w:after="80"/>
        <w:jc w:val="center"/>
        <w:rPr>
          <w:b/>
          <w:bCs/>
          <w:sz w:val="30"/>
          <w:szCs w:val="30"/>
        </w:rPr>
      </w:pPr>
    </w:p>
    <w:p w14:paraId="32E5BE76" w14:textId="77777777" w:rsidR="002329F0" w:rsidRDefault="002329F0">
      <w:pPr>
        <w:spacing w:after="80"/>
        <w:jc w:val="center"/>
        <w:rPr>
          <w:b/>
          <w:bCs/>
          <w:sz w:val="30"/>
          <w:szCs w:val="30"/>
        </w:rPr>
      </w:pPr>
    </w:p>
    <w:p w14:paraId="54175BEA" w14:textId="77777777" w:rsidR="002329F0" w:rsidRDefault="002329F0">
      <w:pPr>
        <w:spacing w:after="80"/>
        <w:jc w:val="center"/>
        <w:rPr>
          <w:b/>
          <w:bCs/>
          <w:sz w:val="30"/>
          <w:szCs w:val="30"/>
        </w:rPr>
      </w:pPr>
    </w:p>
    <w:p w14:paraId="444C4F2E" w14:textId="77777777" w:rsidR="002329F0" w:rsidRDefault="002329F0">
      <w:pPr>
        <w:spacing w:after="80"/>
        <w:jc w:val="center"/>
        <w:rPr>
          <w:b/>
          <w:bCs/>
          <w:sz w:val="30"/>
          <w:szCs w:val="30"/>
        </w:rPr>
      </w:pPr>
    </w:p>
    <w:p w14:paraId="4968413E" w14:textId="77777777" w:rsidR="002329F0" w:rsidRDefault="002329F0">
      <w:pPr>
        <w:spacing w:after="80"/>
        <w:jc w:val="center"/>
        <w:rPr>
          <w:b/>
          <w:bCs/>
          <w:sz w:val="30"/>
          <w:szCs w:val="30"/>
        </w:rPr>
      </w:pPr>
    </w:p>
    <w:p w14:paraId="5860DB69" w14:textId="77777777" w:rsidR="002329F0" w:rsidRDefault="002329F0">
      <w:pPr>
        <w:spacing w:after="80"/>
        <w:jc w:val="center"/>
        <w:rPr>
          <w:b/>
          <w:bCs/>
          <w:sz w:val="30"/>
          <w:szCs w:val="30"/>
        </w:rPr>
      </w:pPr>
    </w:p>
    <w:p w14:paraId="1FF03AC9" w14:textId="77777777" w:rsidR="00477746" w:rsidRPr="00965E81" w:rsidRDefault="00477746" w:rsidP="00041C1F">
      <w:pPr>
        <w:spacing w:after="80"/>
        <w:rPr>
          <w:b/>
          <w:bCs/>
          <w:sz w:val="22"/>
          <w:szCs w:val="22"/>
        </w:rPr>
      </w:pPr>
    </w:p>
    <w:p w14:paraId="1BB3A6D4" w14:textId="77777777" w:rsidR="002329F0" w:rsidRPr="0091490A" w:rsidRDefault="002329F0">
      <w:pPr>
        <w:spacing w:after="80"/>
        <w:jc w:val="center"/>
        <w:rPr>
          <w:b/>
          <w:bCs/>
          <w:sz w:val="22"/>
          <w:szCs w:val="22"/>
        </w:rPr>
      </w:pPr>
    </w:p>
    <w:sdt>
      <w:sdtPr>
        <w:rPr>
          <w:rFonts w:ascii="Arial" w:eastAsia="Arial" w:hAnsi="Arial" w:cs="Arial"/>
          <w:color w:val="auto"/>
          <w:sz w:val="22"/>
          <w:szCs w:val="22"/>
          <w:lang w:val="en-GB" w:eastAsia="en-GB"/>
        </w:rPr>
        <w:id w:val="1446037129"/>
        <w:docPartObj>
          <w:docPartGallery w:val="Table of Contents"/>
          <w:docPartUnique/>
        </w:docPartObj>
      </w:sdtPr>
      <w:sdtEndPr>
        <w:rPr>
          <w:b/>
          <w:bCs/>
          <w:noProof/>
          <w:sz w:val="24"/>
          <w:szCs w:val="24"/>
        </w:rPr>
      </w:sdtEndPr>
      <w:sdtContent>
        <w:p w14:paraId="38A63E21" w14:textId="05CBBDE2" w:rsidR="0003047A" w:rsidRPr="0091490A" w:rsidRDefault="0003047A" w:rsidP="007B6005">
          <w:pPr>
            <w:pStyle w:val="TOCHeading"/>
            <w:spacing w:line="360" w:lineRule="auto"/>
            <w:rPr>
              <w:rFonts w:ascii="Arial" w:hAnsi="Arial" w:cs="Arial"/>
              <w:sz w:val="22"/>
              <w:szCs w:val="22"/>
            </w:rPr>
          </w:pPr>
          <w:r w:rsidRPr="0091490A">
            <w:rPr>
              <w:rFonts w:ascii="Arial" w:hAnsi="Arial" w:cs="Arial"/>
              <w:sz w:val="22"/>
              <w:szCs w:val="22"/>
            </w:rPr>
            <w:t>Contents</w:t>
          </w:r>
        </w:p>
        <w:p w14:paraId="0318C768" w14:textId="359EEF78" w:rsidR="00D00B9E" w:rsidRPr="0091490A" w:rsidRDefault="0003047A">
          <w:pPr>
            <w:pStyle w:val="TOC1"/>
            <w:rPr>
              <w:rFonts w:asciiTheme="minorHAnsi" w:eastAsiaTheme="minorEastAsia" w:hAnsiTheme="minorHAnsi" w:cstheme="minorBidi"/>
              <w:noProof/>
              <w:kern w:val="2"/>
              <w:sz w:val="22"/>
              <w:szCs w:val="22"/>
              <w14:ligatures w14:val="standardContextual"/>
            </w:rPr>
          </w:pPr>
          <w:r w:rsidRPr="0091490A">
            <w:rPr>
              <w:sz w:val="22"/>
              <w:szCs w:val="22"/>
            </w:rPr>
            <w:fldChar w:fldCharType="begin"/>
          </w:r>
          <w:r w:rsidRPr="0091490A">
            <w:rPr>
              <w:sz w:val="22"/>
              <w:szCs w:val="22"/>
            </w:rPr>
            <w:instrText xml:space="preserve"> TOC \o "1-3" \h \z \u </w:instrText>
          </w:r>
          <w:r w:rsidRPr="0091490A">
            <w:rPr>
              <w:sz w:val="22"/>
              <w:szCs w:val="22"/>
            </w:rPr>
            <w:fldChar w:fldCharType="separate"/>
          </w:r>
          <w:hyperlink w:anchor="_Toc236777622" w:history="1">
            <w:r w:rsidR="00D00B9E" w:rsidRPr="0091490A">
              <w:rPr>
                <w:rStyle w:val="Hyperlink"/>
                <w:noProof/>
                <w:sz w:val="22"/>
                <w:szCs w:val="22"/>
              </w:rPr>
              <w:t>Introduction</w:t>
            </w:r>
            <w:r w:rsidR="00D00B9E" w:rsidRPr="0091490A">
              <w:rPr>
                <w:noProof/>
                <w:webHidden/>
                <w:sz w:val="22"/>
                <w:szCs w:val="22"/>
              </w:rPr>
              <w:tab/>
            </w:r>
            <w:r w:rsidR="00D00B9E" w:rsidRPr="0091490A">
              <w:rPr>
                <w:noProof/>
                <w:webHidden/>
                <w:sz w:val="22"/>
                <w:szCs w:val="22"/>
              </w:rPr>
              <w:fldChar w:fldCharType="begin"/>
            </w:r>
            <w:r w:rsidR="00D00B9E" w:rsidRPr="0091490A">
              <w:rPr>
                <w:noProof/>
                <w:webHidden/>
                <w:sz w:val="22"/>
                <w:szCs w:val="22"/>
              </w:rPr>
              <w:instrText xml:space="preserve"> PAGEREF _Toc236777622 \h </w:instrText>
            </w:r>
            <w:r w:rsidR="00D00B9E" w:rsidRPr="0091490A">
              <w:rPr>
                <w:noProof/>
                <w:webHidden/>
                <w:sz w:val="22"/>
                <w:szCs w:val="22"/>
              </w:rPr>
            </w:r>
            <w:r w:rsidR="00D00B9E" w:rsidRPr="0091490A">
              <w:rPr>
                <w:noProof/>
                <w:webHidden/>
                <w:sz w:val="22"/>
                <w:szCs w:val="22"/>
              </w:rPr>
              <w:fldChar w:fldCharType="separate"/>
            </w:r>
            <w:r w:rsidR="00D00B9E" w:rsidRPr="0091490A">
              <w:rPr>
                <w:noProof/>
                <w:webHidden/>
                <w:sz w:val="22"/>
                <w:szCs w:val="22"/>
              </w:rPr>
              <w:t>3</w:t>
            </w:r>
            <w:r w:rsidR="00D00B9E" w:rsidRPr="0091490A">
              <w:rPr>
                <w:noProof/>
                <w:webHidden/>
                <w:sz w:val="22"/>
                <w:szCs w:val="22"/>
              </w:rPr>
              <w:fldChar w:fldCharType="end"/>
            </w:r>
          </w:hyperlink>
        </w:p>
        <w:p w14:paraId="68A68EA3" w14:textId="47A1D939"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23" w:history="1">
            <w:r w:rsidRPr="0091490A">
              <w:rPr>
                <w:rStyle w:val="Hyperlink"/>
                <w:noProof/>
                <w:sz w:val="22"/>
                <w:szCs w:val="22"/>
              </w:rPr>
              <w:t>2 SDG 3: Good Health and Wellbeing on a Global Scale.</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_Toc236777623 \h </w:instrText>
            </w:r>
            <w:r w:rsidRPr="0091490A">
              <w:rPr>
                <w:noProof/>
                <w:webHidden/>
                <w:sz w:val="22"/>
                <w:szCs w:val="22"/>
              </w:rPr>
            </w:r>
            <w:r w:rsidRPr="0091490A">
              <w:rPr>
                <w:noProof/>
                <w:webHidden/>
                <w:sz w:val="22"/>
                <w:szCs w:val="22"/>
              </w:rPr>
              <w:fldChar w:fldCharType="separate"/>
            </w:r>
            <w:r w:rsidRPr="0091490A">
              <w:rPr>
                <w:noProof/>
                <w:webHidden/>
                <w:sz w:val="22"/>
                <w:szCs w:val="22"/>
              </w:rPr>
              <w:t>3</w:t>
            </w:r>
            <w:r w:rsidRPr="0091490A">
              <w:rPr>
                <w:noProof/>
                <w:webHidden/>
                <w:sz w:val="22"/>
                <w:szCs w:val="22"/>
              </w:rPr>
              <w:fldChar w:fldCharType="end"/>
            </w:r>
          </w:hyperlink>
        </w:p>
        <w:p w14:paraId="58BAE359" w14:textId="428E6FF1"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24" w:history="1">
            <w:r w:rsidRPr="0091490A">
              <w:rPr>
                <w:rStyle w:val="Hyperlink"/>
                <w:noProof/>
                <w:sz w:val="22"/>
                <w:szCs w:val="22"/>
              </w:rPr>
              <w:t>2.1 Key Components of SDG 3</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_Toc236777624 \h </w:instrText>
            </w:r>
            <w:r w:rsidRPr="0091490A">
              <w:rPr>
                <w:noProof/>
                <w:webHidden/>
                <w:sz w:val="22"/>
                <w:szCs w:val="22"/>
              </w:rPr>
            </w:r>
            <w:r w:rsidRPr="0091490A">
              <w:rPr>
                <w:noProof/>
                <w:webHidden/>
                <w:sz w:val="22"/>
                <w:szCs w:val="22"/>
              </w:rPr>
              <w:fldChar w:fldCharType="separate"/>
            </w:r>
            <w:r w:rsidRPr="0091490A">
              <w:rPr>
                <w:noProof/>
                <w:webHidden/>
                <w:sz w:val="22"/>
                <w:szCs w:val="22"/>
              </w:rPr>
              <w:t>3</w:t>
            </w:r>
            <w:r w:rsidRPr="0091490A">
              <w:rPr>
                <w:noProof/>
                <w:webHidden/>
                <w:sz w:val="22"/>
                <w:szCs w:val="22"/>
              </w:rPr>
              <w:fldChar w:fldCharType="end"/>
            </w:r>
          </w:hyperlink>
        </w:p>
        <w:p w14:paraId="14B0BFE6" w14:textId="7D8556E8"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25" w:history="1">
            <w:r w:rsidRPr="0091490A">
              <w:rPr>
                <w:rStyle w:val="Hyperlink"/>
                <w:noProof/>
                <w:sz w:val="22"/>
                <w:szCs w:val="22"/>
              </w:rPr>
              <w:t>2.2 The Impact of SDG 3 on Health and Well-Being</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_Toc236777625 \h </w:instrText>
            </w:r>
            <w:r w:rsidRPr="0091490A">
              <w:rPr>
                <w:noProof/>
                <w:webHidden/>
                <w:sz w:val="22"/>
                <w:szCs w:val="22"/>
              </w:rPr>
            </w:r>
            <w:r w:rsidRPr="0091490A">
              <w:rPr>
                <w:noProof/>
                <w:webHidden/>
                <w:sz w:val="22"/>
                <w:szCs w:val="22"/>
              </w:rPr>
              <w:fldChar w:fldCharType="separate"/>
            </w:r>
            <w:r w:rsidRPr="0091490A">
              <w:rPr>
                <w:noProof/>
                <w:webHidden/>
                <w:sz w:val="22"/>
                <w:szCs w:val="22"/>
              </w:rPr>
              <w:t>4</w:t>
            </w:r>
            <w:r w:rsidRPr="0091490A">
              <w:rPr>
                <w:noProof/>
                <w:webHidden/>
                <w:sz w:val="22"/>
                <w:szCs w:val="22"/>
              </w:rPr>
              <w:fldChar w:fldCharType="end"/>
            </w:r>
          </w:hyperlink>
        </w:p>
        <w:p w14:paraId="5BBEA9FA" w14:textId="3B9A96F7"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26" w:history="1">
            <w:r w:rsidRPr="0091490A">
              <w:rPr>
                <w:rStyle w:val="Hyperlink"/>
                <w:noProof/>
                <w:sz w:val="22"/>
                <w:szCs w:val="22"/>
              </w:rPr>
              <w:t>3 SDG 4: Quality Education and Its Link to Health.</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_Toc236777626 \h </w:instrText>
            </w:r>
            <w:r w:rsidRPr="0091490A">
              <w:rPr>
                <w:noProof/>
                <w:webHidden/>
                <w:sz w:val="22"/>
                <w:szCs w:val="22"/>
              </w:rPr>
            </w:r>
            <w:r w:rsidRPr="0091490A">
              <w:rPr>
                <w:noProof/>
                <w:webHidden/>
                <w:sz w:val="22"/>
                <w:szCs w:val="22"/>
              </w:rPr>
              <w:fldChar w:fldCharType="separate"/>
            </w:r>
            <w:r w:rsidRPr="0091490A">
              <w:rPr>
                <w:noProof/>
                <w:webHidden/>
                <w:sz w:val="22"/>
                <w:szCs w:val="22"/>
              </w:rPr>
              <w:t>4</w:t>
            </w:r>
            <w:r w:rsidRPr="0091490A">
              <w:rPr>
                <w:noProof/>
                <w:webHidden/>
                <w:sz w:val="22"/>
                <w:szCs w:val="22"/>
              </w:rPr>
              <w:fldChar w:fldCharType="end"/>
            </w:r>
          </w:hyperlink>
        </w:p>
        <w:p w14:paraId="3C8BCA57" w14:textId="3A374132"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27" w:history="1">
            <w:r w:rsidRPr="0091490A">
              <w:rPr>
                <w:rStyle w:val="Hyperlink"/>
                <w:noProof/>
                <w:sz w:val="22"/>
                <w:szCs w:val="22"/>
              </w:rPr>
              <w:t>3.1 Key Components of SDG 4</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_Toc236777627 \h </w:instrText>
            </w:r>
            <w:r w:rsidRPr="0091490A">
              <w:rPr>
                <w:noProof/>
                <w:webHidden/>
                <w:sz w:val="22"/>
                <w:szCs w:val="22"/>
              </w:rPr>
            </w:r>
            <w:r w:rsidRPr="0091490A">
              <w:rPr>
                <w:noProof/>
                <w:webHidden/>
                <w:sz w:val="22"/>
                <w:szCs w:val="22"/>
              </w:rPr>
              <w:fldChar w:fldCharType="separate"/>
            </w:r>
            <w:r w:rsidRPr="0091490A">
              <w:rPr>
                <w:noProof/>
                <w:webHidden/>
                <w:sz w:val="22"/>
                <w:szCs w:val="22"/>
              </w:rPr>
              <w:t>4</w:t>
            </w:r>
            <w:r w:rsidRPr="0091490A">
              <w:rPr>
                <w:noProof/>
                <w:webHidden/>
                <w:sz w:val="22"/>
                <w:szCs w:val="22"/>
              </w:rPr>
              <w:fldChar w:fldCharType="end"/>
            </w:r>
          </w:hyperlink>
        </w:p>
        <w:p w14:paraId="59DE425F" w14:textId="73565643"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28" w:history="1">
            <w:r w:rsidRPr="0091490A">
              <w:rPr>
                <w:rStyle w:val="Hyperlink"/>
                <w:noProof/>
                <w:sz w:val="22"/>
                <w:szCs w:val="22"/>
              </w:rPr>
              <w:t>3.2 The Impact of SDG 4 on Education</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_Toc236777628 \h </w:instrText>
            </w:r>
            <w:r w:rsidRPr="0091490A">
              <w:rPr>
                <w:noProof/>
                <w:webHidden/>
                <w:sz w:val="22"/>
                <w:szCs w:val="22"/>
              </w:rPr>
            </w:r>
            <w:r w:rsidRPr="0091490A">
              <w:rPr>
                <w:noProof/>
                <w:webHidden/>
                <w:sz w:val="22"/>
                <w:szCs w:val="22"/>
              </w:rPr>
              <w:fldChar w:fldCharType="separate"/>
            </w:r>
            <w:r w:rsidRPr="0091490A">
              <w:rPr>
                <w:noProof/>
                <w:webHidden/>
                <w:sz w:val="22"/>
                <w:szCs w:val="22"/>
              </w:rPr>
              <w:t>5</w:t>
            </w:r>
            <w:r w:rsidRPr="0091490A">
              <w:rPr>
                <w:noProof/>
                <w:webHidden/>
                <w:sz w:val="22"/>
                <w:szCs w:val="22"/>
              </w:rPr>
              <w:fldChar w:fldCharType="end"/>
            </w:r>
          </w:hyperlink>
        </w:p>
        <w:p w14:paraId="3EA51D63" w14:textId="500AFEDE"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29" w:history="1">
            <w:r w:rsidRPr="0091490A">
              <w:rPr>
                <w:rStyle w:val="Hyperlink"/>
                <w:noProof/>
                <w:sz w:val="22"/>
                <w:szCs w:val="22"/>
              </w:rPr>
              <w:t>4 National Wellbeing and Sustainable Development Initiatives</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_Toc236777629 \h </w:instrText>
            </w:r>
            <w:r w:rsidRPr="0091490A">
              <w:rPr>
                <w:noProof/>
                <w:webHidden/>
                <w:sz w:val="22"/>
                <w:szCs w:val="22"/>
              </w:rPr>
            </w:r>
            <w:r w:rsidRPr="0091490A">
              <w:rPr>
                <w:noProof/>
                <w:webHidden/>
                <w:sz w:val="22"/>
                <w:szCs w:val="22"/>
              </w:rPr>
              <w:fldChar w:fldCharType="separate"/>
            </w:r>
            <w:r w:rsidRPr="0091490A">
              <w:rPr>
                <w:noProof/>
                <w:webHidden/>
                <w:sz w:val="22"/>
                <w:szCs w:val="22"/>
              </w:rPr>
              <w:t>6</w:t>
            </w:r>
            <w:r w:rsidRPr="0091490A">
              <w:rPr>
                <w:noProof/>
                <w:webHidden/>
                <w:sz w:val="22"/>
                <w:szCs w:val="22"/>
              </w:rPr>
              <w:fldChar w:fldCharType="end"/>
            </w:r>
          </w:hyperlink>
        </w:p>
        <w:p w14:paraId="5F6547DD" w14:textId="4EB4DBF7"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30" w:history="1">
            <w:r w:rsidRPr="0091490A">
              <w:rPr>
                <w:rStyle w:val="Hyperlink"/>
                <w:noProof/>
                <w:sz w:val="22"/>
                <w:szCs w:val="22"/>
              </w:rPr>
              <w:t>4.1 NHS Long Term Plan</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_Toc236777630 \h </w:instrText>
            </w:r>
            <w:r w:rsidRPr="0091490A">
              <w:rPr>
                <w:noProof/>
                <w:webHidden/>
                <w:sz w:val="22"/>
                <w:szCs w:val="22"/>
              </w:rPr>
            </w:r>
            <w:r w:rsidRPr="0091490A">
              <w:rPr>
                <w:noProof/>
                <w:webHidden/>
                <w:sz w:val="22"/>
                <w:szCs w:val="22"/>
              </w:rPr>
              <w:fldChar w:fldCharType="separate"/>
            </w:r>
            <w:r w:rsidRPr="0091490A">
              <w:rPr>
                <w:noProof/>
                <w:webHidden/>
                <w:sz w:val="22"/>
                <w:szCs w:val="22"/>
              </w:rPr>
              <w:t>6</w:t>
            </w:r>
            <w:r w:rsidRPr="0091490A">
              <w:rPr>
                <w:noProof/>
                <w:webHidden/>
                <w:sz w:val="22"/>
                <w:szCs w:val="22"/>
              </w:rPr>
              <w:fldChar w:fldCharType="end"/>
            </w:r>
          </w:hyperlink>
        </w:p>
        <w:p w14:paraId="4B82CE83" w14:textId="1AA5C43D"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31" w:history="1">
            <w:r w:rsidRPr="0091490A">
              <w:rPr>
                <w:rStyle w:val="Hyperlink"/>
                <w:noProof/>
                <w:sz w:val="22"/>
                <w:szCs w:val="22"/>
              </w:rPr>
              <w:t>5 Local Wellbeing and Sustainable Development Initiatives</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_Toc236777631 \h </w:instrText>
            </w:r>
            <w:r w:rsidRPr="0091490A">
              <w:rPr>
                <w:noProof/>
                <w:webHidden/>
                <w:sz w:val="22"/>
                <w:szCs w:val="22"/>
              </w:rPr>
            </w:r>
            <w:r w:rsidRPr="0091490A">
              <w:rPr>
                <w:noProof/>
                <w:webHidden/>
                <w:sz w:val="22"/>
                <w:szCs w:val="22"/>
              </w:rPr>
              <w:fldChar w:fldCharType="separate"/>
            </w:r>
            <w:r w:rsidRPr="0091490A">
              <w:rPr>
                <w:noProof/>
                <w:webHidden/>
                <w:sz w:val="22"/>
                <w:szCs w:val="22"/>
              </w:rPr>
              <w:t>7</w:t>
            </w:r>
            <w:r w:rsidRPr="0091490A">
              <w:rPr>
                <w:noProof/>
                <w:webHidden/>
                <w:sz w:val="22"/>
                <w:szCs w:val="22"/>
              </w:rPr>
              <w:fldChar w:fldCharType="end"/>
            </w:r>
          </w:hyperlink>
        </w:p>
        <w:p w14:paraId="743960A3" w14:textId="3B7FCAE0"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32" w:history="1">
            <w:r w:rsidRPr="0091490A">
              <w:rPr>
                <w:rStyle w:val="Hyperlink"/>
                <w:noProof/>
                <w:sz w:val="22"/>
                <w:szCs w:val="22"/>
              </w:rPr>
              <w:t>5.2 London's Skills Programme</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_Toc236777632 \h </w:instrText>
            </w:r>
            <w:r w:rsidRPr="0091490A">
              <w:rPr>
                <w:noProof/>
                <w:webHidden/>
                <w:sz w:val="22"/>
                <w:szCs w:val="22"/>
              </w:rPr>
            </w:r>
            <w:r w:rsidRPr="0091490A">
              <w:rPr>
                <w:noProof/>
                <w:webHidden/>
                <w:sz w:val="22"/>
                <w:szCs w:val="22"/>
              </w:rPr>
              <w:fldChar w:fldCharType="separate"/>
            </w:r>
            <w:r w:rsidRPr="0091490A">
              <w:rPr>
                <w:noProof/>
                <w:webHidden/>
                <w:sz w:val="22"/>
                <w:szCs w:val="22"/>
              </w:rPr>
              <w:t>8</w:t>
            </w:r>
            <w:r w:rsidRPr="0091490A">
              <w:rPr>
                <w:noProof/>
                <w:webHidden/>
                <w:sz w:val="22"/>
                <w:szCs w:val="22"/>
              </w:rPr>
              <w:fldChar w:fldCharType="end"/>
            </w:r>
          </w:hyperlink>
        </w:p>
        <w:p w14:paraId="583D4061" w14:textId="256DDB98"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33" w:history="1">
            <w:r w:rsidRPr="0091490A">
              <w:rPr>
                <w:rStyle w:val="Hyperlink"/>
                <w:noProof/>
                <w:sz w:val="22"/>
                <w:szCs w:val="22"/>
              </w:rPr>
              <w:t>6 Conclusion</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_Toc236777633 \h </w:instrText>
            </w:r>
            <w:r w:rsidRPr="0091490A">
              <w:rPr>
                <w:noProof/>
                <w:webHidden/>
                <w:sz w:val="22"/>
                <w:szCs w:val="22"/>
              </w:rPr>
            </w:r>
            <w:r w:rsidRPr="0091490A">
              <w:rPr>
                <w:noProof/>
                <w:webHidden/>
                <w:sz w:val="22"/>
                <w:szCs w:val="22"/>
              </w:rPr>
              <w:fldChar w:fldCharType="separate"/>
            </w:r>
            <w:r w:rsidRPr="0091490A">
              <w:rPr>
                <w:noProof/>
                <w:webHidden/>
                <w:sz w:val="22"/>
                <w:szCs w:val="22"/>
              </w:rPr>
              <w:t>8</w:t>
            </w:r>
            <w:r w:rsidRPr="0091490A">
              <w:rPr>
                <w:noProof/>
                <w:webHidden/>
                <w:sz w:val="22"/>
                <w:szCs w:val="22"/>
              </w:rPr>
              <w:fldChar w:fldCharType="end"/>
            </w:r>
          </w:hyperlink>
        </w:p>
        <w:p w14:paraId="40DBAA1F" w14:textId="1EE2DA28" w:rsidR="00D00B9E" w:rsidRPr="0091490A" w:rsidRDefault="00D00B9E">
          <w:pPr>
            <w:pStyle w:val="TOC1"/>
            <w:rPr>
              <w:rFonts w:asciiTheme="minorHAnsi" w:eastAsiaTheme="minorEastAsia" w:hAnsiTheme="minorHAnsi" w:cstheme="minorBidi"/>
              <w:noProof/>
              <w:kern w:val="2"/>
              <w:sz w:val="22"/>
              <w:szCs w:val="22"/>
              <w14:ligatures w14:val="standardContextual"/>
            </w:rPr>
          </w:pPr>
          <w:hyperlink w:anchor="_Toc236777634" w:history="1">
            <w:r w:rsidRPr="0091490A">
              <w:rPr>
                <w:rStyle w:val="Hyperlink"/>
                <w:noProof/>
                <w:sz w:val="22"/>
                <w:szCs w:val="22"/>
              </w:rPr>
              <w:t>Reference List</w:t>
            </w:r>
            <w:r w:rsidRPr="0091490A">
              <w:rPr>
                <w:noProof/>
                <w:webHidden/>
                <w:sz w:val="22"/>
                <w:szCs w:val="22"/>
              </w:rPr>
              <w:tab/>
            </w:r>
            <w:r w:rsidRPr="0091490A">
              <w:rPr>
                <w:noProof/>
                <w:webHidden/>
                <w:sz w:val="22"/>
                <w:szCs w:val="22"/>
              </w:rPr>
              <w:fldChar w:fldCharType="begin"/>
            </w:r>
            <w:r w:rsidRPr="0091490A">
              <w:rPr>
                <w:noProof/>
                <w:webHidden/>
                <w:sz w:val="22"/>
                <w:szCs w:val="22"/>
              </w:rPr>
              <w:instrText xml:space="preserve"> PAGEREF _Toc236777634 \h </w:instrText>
            </w:r>
            <w:r w:rsidRPr="0091490A">
              <w:rPr>
                <w:noProof/>
                <w:webHidden/>
                <w:sz w:val="22"/>
                <w:szCs w:val="22"/>
              </w:rPr>
            </w:r>
            <w:r w:rsidRPr="0091490A">
              <w:rPr>
                <w:noProof/>
                <w:webHidden/>
                <w:sz w:val="22"/>
                <w:szCs w:val="22"/>
              </w:rPr>
              <w:fldChar w:fldCharType="separate"/>
            </w:r>
            <w:r w:rsidRPr="0091490A">
              <w:rPr>
                <w:noProof/>
                <w:webHidden/>
                <w:sz w:val="22"/>
                <w:szCs w:val="22"/>
              </w:rPr>
              <w:t>9</w:t>
            </w:r>
            <w:r w:rsidRPr="0091490A">
              <w:rPr>
                <w:noProof/>
                <w:webHidden/>
                <w:sz w:val="22"/>
                <w:szCs w:val="22"/>
              </w:rPr>
              <w:fldChar w:fldCharType="end"/>
            </w:r>
          </w:hyperlink>
        </w:p>
        <w:p w14:paraId="5CAA55F2" w14:textId="461A3BC8" w:rsidR="0003047A" w:rsidRDefault="0003047A" w:rsidP="00A55AE7">
          <w:pPr>
            <w:spacing w:line="360" w:lineRule="auto"/>
          </w:pPr>
          <w:r w:rsidRPr="0091490A">
            <w:rPr>
              <w:b/>
              <w:bCs/>
              <w:noProof/>
              <w:sz w:val="22"/>
              <w:szCs w:val="22"/>
            </w:rPr>
            <w:fldChar w:fldCharType="end"/>
          </w:r>
        </w:p>
      </w:sdtContent>
    </w:sdt>
    <w:p w14:paraId="54168EE1" w14:textId="77777777" w:rsidR="002329F0" w:rsidRDefault="002329F0">
      <w:pPr>
        <w:spacing w:after="80"/>
        <w:jc w:val="center"/>
        <w:rPr>
          <w:b/>
          <w:bCs/>
          <w:sz w:val="30"/>
          <w:szCs w:val="30"/>
        </w:rPr>
      </w:pPr>
    </w:p>
    <w:p w14:paraId="030B0B59" w14:textId="77777777" w:rsidR="002329F0" w:rsidRDefault="002329F0">
      <w:pPr>
        <w:spacing w:after="80"/>
        <w:jc w:val="center"/>
        <w:rPr>
          <w:b/>
          <w:bCs/>
          <w:sz w:val="30"/>
          <w:szCs w:val="30"/>
        </w:rPr>
      </w:pPr>
    </w:p>
    <w:p w14:paraId="0F437B93" w14:textId="77777777" w:rsidR="002329F0" w:rsidRDefault="002329F0">
      <w:pPr>
        <w:spacing w:after="80"/>
        <w:jc w:val="center"/>
        <w:rPr>
          <w:b/>
          <w:bCs/>
          <w:sz w:val="30"/>
          <w:szCs w:val="30"/>
        </w:rPr>
      </w:pPr>
    </w:p>
    <w:p w14:paraId="3188EA88" w14:textId="77777777" w:rsidR="002329F0" w:rsidRDefault="002329F0">
      <w:pPr>
        <w:spacing w:after="80"/>
        <w:jc w:val="center"/>
        <w:rPr>
          <w:b/>
          <w:bCs/>
          <w:sz w:val="30"/>
          <w:szCs w:val="30"/>
        </w:rPr>
      </w:pPr>
    </w:p>
    <w:p w14:paraId="72D37B13" w14:textId="77777777" w:rsidR="002329F0" w:rsidRDefault="002329F0">
      <w:pPr>
        <w:spacing w:after="80"/>
        <w:jc w:val="center"/>
        <w:rPr>
          <w:b/>
          <w:bCs/>
          <w:sz w:val="30"/>
          <w:szCs w:val="30"/>
        </w:rPr>
      </w:pPr>
    </w:p>
    <w:p w14:paraId="5836CD50" w14:textId="77777777" w:rsidR="002329F0" w:rsidRDefault="002329F0">
      <w:pPr>
        <w:spacing w:after="80"/>
        <w:jc w:val="center"/>
        <w:rPr>
          <w:b/>
          <w:bCs/>
          <w:sz w:val="30"/>
          <w:szCs w:val="30"/>
        </w:rPr>
      </w:pPr>
    </w:p>
    <w:p w14:paraId="51E299DA" w14:textId="77777777" w:rsidR="002329F0" w:rsidRDefault="002329F0">
      <w:pPr>
        <w:spacing w:after="80"/>
        <w:jc w:val="center"/>
        <w:rPr>
          <w:b/>
          <w:bCs/>
          <w:sz w:val="30"/>
          <w:szCs w:val="30"/>
        </w:rPr>
      </w:pPr>
    </w:p>
    <w:p w14:paraId="7A11F2FB" w14:textId="77777777" w:rsidR="002329F0" w:rsidRDefault="002329F0">
      <w:pPr>
        <w:spacing w:after="80"/>
        <w:jc w:val="center"/>
        <w:rPr>
          <w:b/>
          <w:bCs/>
          <w:sz w:val="30"/>
          <w:szCs w:val="30"/>
        </w:rPr>
      </w:pPr>
    </w:p>
    <w:p w14:paraId="23EFC556" w14:textId="77777777" w:rsidR="002329F0" w:rsidRDefault="002329F0">
      <w:pPr>
        <w:spacing w:after="80"/>
        <w:jc w:val="center"/>
        <w:rPr>
          <w:b/>
          <w:bCs/>
          <w:sz w:val="30"/>
          <w:szCs w:val="30"/>
        </w:rPr>
      </w:pPr>
    </w:p>
    <w:p w14:paraId="7A168539" w14:textId="77777777" w:rsidR="002329F0" w:rsidRDefault="002329F0">
      <w:pPr>
        <w:spacing w:after="80"/>
        <w:jc w:val="center"/>
        <w:rPr>
          <w:b/>
          <w:bCs/>
          <w:sz w:val="30"/>
          <w:szCs w:val="30"/>
        </w:rPr>
      </w:pPr>
    </w:p>
    <w:p w14:paraId="5A92347F" w14:textId="77777777" w:rsidR="002329F0" w:rsidRDefault="002329F0">
      <w:pPr>
        <w:spacing w:after="80"/>
        <w:jc w:val="center"/>
        <w:rPr>
          <w:b/>
          <w:bCs/>
          <w:sz w:val="30"/>
          <w:szCs w:val="30"/>
        </w:rPr>
      </w:pPr>
    </w:p>
    <w:p w14:paraId="0DE550C2" w14:textId="77777777" w:rsidR="002329F0" w:rsidRDefault="002329F0">
      <w:pPr>
        <w:spacing w:after="80"/>
        <w:jc w:val="center"/>
        <w:rPr>
          <w:b/>
          <w:bCs/>
          <w:sz w:val="30"/>
          <w:szCs w:val="30"/>
        </w:rPr>
      </w:pPr>
    </w:p>
    <w:p w14:paraId="1295195C" w14:textId="77777777" w:rsidR="002329F0" w:rsidRDefault="002329F0">
      <w:pPr>
        <w:spacing w:after="80"/>
        <w:jc w:val="center"/>
        <w:rPr>
          <w:b/>
          <w:bCs/>
          <w:sz w:val="30"/>
          <w:szCs w:val="30"/>
        </w:rPr>
      </w:pPr>
    </w:p>
    <w:p w14:paraId="28FB096D" w14:textId="77777777" w:rsidR="00096938" w:rsidRDefault="00096938" w:rsidP="00A55AE7">
      <w:pPr>
        <w:spacing w:after="80"/>
        <w:rPr>
          <w:b/>
          <w:bCs/>
          <w:sz w:val="30"/>
          <w:szCs w:val="30"/>
        </w:rPr>
      </w:pPr>
    </w:p>
    <w:p w14:paraId="2202A142" w14:textId="10E2D332" w:rsidR="00C61CC4" w:rsidRPr="00FD20BD" w:rsidRDefault="0008091D" w:rsidP="00FD20BD">
      <w:pPr>
        <w:pStyle w:val="Heading1"/>
        <w:spacing w:line="360" w:lineRule="auto"/>
        <w:rPr>
          <w:sz w:val="22"/>
          <w:szCs w:val="22"/>
        </w:rPr>
      </w:pPr>
      <w:bookmarkStart w:id="0" w:name="_Toc236777622"/>
      <w:r w:rsidRPr="00FD20BD">
        <w:rPr>
          <w:sz w:val="22"/>
          <w:szCs w:val="22"/>
        </w:rPr>
        <w:lastRenderedPageBreak/>
        <w:t>Introduction</w:t>
      </w:r>
      <w:bookmarkEnd w:id="0"/>
      <w:r w:rsidR="00333BC9" w:rsidRPr="00FD20BD">
        <w:rPr>
          <w:sz w:val="22"/>
          <w:szCs w:val="22"/>
        </w:rPr>
        <w:t xml:space="preserve"> </w:t>
      </w:r>
    </w:p>
    <w:p w14:paraId="41BE9F2C" w14:textId="15F85649" w:rsidR="00B11362" w:rsidRPr="00FD20BD" w:rsidRDefault="008B113B" w:rsidP="00FD20BD">
      <w:pPr>
        <w:spacing w:line="360" w:lineRule="auto"/>
        <w:jc w:val="both"/>
        <w:rPr>
          <w:sz w:val="22"/>
          <w:szCs w:val="22"/>
        </w:rPr>
      </w:pPr>
      <w:r w:rsidRPr="00FD20BD">
        <w:rPr>
          <w:sz w:val="22"/>
          <w:szCs w:val="22"/>
        </w:rPr>
        <w:t xml:space="preserve">Health and education cannot be considered in isolation. Progress in one cannot be achieved without influencing the other. This report examines two of the United Nations Sustainable Development Goals: SDG 3, Good Health and Well-being, and SDG 4, Quality Education (United Nations, 2023). The 2030 Agenda recognises all seventeen SDGs as interconnected, with health and education central to this framework because progress in other goals depends on populations that are healthy and equipped with </w:t>
      </w:r>
      <w:r w:rsidR="00A82978" w:rsidRPr="00FD20BD">
        <w:rPr>
          <w:sz w:val="22"/>
          <w:szCs w:val="22"/>
        </w:rPr>
        <w:t xml:space="preserve">expertise and abilities for long-term growth </w:t>
      </w:r>
      <w:r w:rsidRPr="00FD20BD">
        <w:rPr>
          <w:sz w:val="22"/>
          <w:szCs w:val="22"/>
        </w:rPr>
        <w:t xml:space="preserve">(UK Government, 2019). </w:t>
      </w:r>
      <w:r w:rsidR="006127E3" w:rsidRPr="00FD20BD">
        <w:rPr>
          <w:sz w:val="22"/>
          <w:szCs w:val="22"/>
        </w:rPr>
        <w:t>Th</w:t>
      </w:r>
      <w:r w:rsidR="00C371DB" w:rsidRPr="00FD20BD">
        <w:rPr>
          <w:sz w:val="22"/>
          <w:szCs w:val="22"/>
        </w:rPr>
        <w:t>e</w:t>
      </w:r>
      <w:r w:rsidR="006127E3" w:rsidRPr="00FD20BD">
        <w:rPr>
          <w:sz w:val="22"/>
          <w:szCs w:val="22"/>
        </w:rPr>
        <w:t xml:space="preserve"> study looks at how SDGs 3 and 4 affect people's lives locally, nationally, and globally.</w:t>
      </w:r>
      <w:r w:rsidR="0004781C" w:rsidRPr="00FD20BD">
        <w:rPr>
          <w:sz w:val="22"/>
          <w:szCs w:val="22"/>
        </w:rPr>
        <w:t xml:space="preserve"> </w:t>
      </w:r>
      <w:r w:rsidRPr="00FD20BD">
        <w:rPr>
          <w:sz w:val="22"/>
          <w:szCs w:val="22"/>
        </w:rPr>
        <w:t xml:space="preserve">It </w:t>
      </w:r>
      <w:r w:rsidR="0004781C" w:rsidRPr="00FD20BD">
        <w:rPr>
          <w:sz w:val="22"/>
          <w:szCs w:val="22"/>
        </w:rPr>
        <w:t>assesses</w:t>
      </w:r>
      <w:r w:rsidRPr="00FD20BD">
        <w:rPr>
          <w:sz w:val="22"/>
          <w:szCs w:val="22"/>
        </w:rPr>
        <w:t xml:space="preserve"> Well-being of Future Generations (Wales) Act 2015 alongside England's NHS Long Term Plan and 10 Year Health Plan to assess their approaches to improving health and well-being. Finally, the report presents recommendations based on current research and government data, with a particular focus on the United Kingdom, specifically Wales and England.</w:t>
      </w:r>
    </w:p>
    <w:p w14:paraId="3771B9EE" w14:textId="77777777" w:rsidR="00096938" w:rsidRPr="00610C8E" w:rsidRDefault="00096938" w:rsidP="00FD20BD">
      <w:pPr>
        <w:spacing w:line="360" w:lineRule="auto"/>
        <w:jc w:val="both"/>
        <w:rPr>
          <w:sz w:val="22"/>
          <w:szCs w:val="22"/>
        </w:rPr>
      </w:pPr>
    </w:p>
    <w:p w14:paraId="4B0B0727" w14:textId="49C462FD" w:rsidR="00096938" w:rsidRPr="00610C8E" w:rsidRDefault="00FB21CE" w:rsidP="00FD20BD">
      <w:pPr>
        <w:pStyle w:val="Heading1"/>
        <w:spacing w:line="360" w:lineRule="auto"/>
        <w:rPr>
          <w:sz w:val="22"/>
          <w:szCs w:val="22"/>
        </w:rPr>
      </w:pPr>
      <w:bookmarkStart w:id="1" w:name="_Toc236777623"/>
      <w:r w:rsidRPr="00610C8E">
        <w:rPr>
          <w:sz w:val="22"/>
          <w:szCs w:val="22"/>
        </w:rPr>
        <w:t xml:space="preserve">2 </w:t>
      </w:r>
      <w:r w:rsidR="0008091D" w:rsidRPr="00610C8E">
        <w:rPr>
          <w:sz w:val="22"/>
          <w:szCs w:val="22"/>
        </w:rPr>
        <w:t>SDG 3: Good Health and Wellbeing on a Global Scale</w:t>
      </w:r>
      <w:r w:rsidR="006157E2" w:rsidRPr="00610C8E">
        <w:rPr>
          <w:sz w:val="22"/>
          <w:szCs w:val="22"/>
        </w:rPr>
        <w:t>.</w:t>
      </w:r>
      <w:bookmarkEnd w:id="1"/>
    </w:p>
    <w:p w14:paraId="42BCCEA3" w14:textId="18D994FC" w:rsidR="00096938" w:rsidRPr="00610C8E" w:rsidRDefault="00E758E4" w:rsidP="00FD20BD">
      <w:pPr>
        <w:pStyle w:val="Heading1"/>
        <w:spacing w:line="360" w:lineRule="auto"/>
        <w:rPr>
          <w:sz w:val="22"/>
          <w:szCs w:val="22"/>
        </w:rPr>
      </w:pPr>
      <w:bookmarkStart w:id="2" w:name="_Toc236777624"/>
      <w:r w:rsidRPr="00610C8E">
        <w:rPr>
          <w:sz w:val="22"/>
          <w:szCs w:val="22"/>
        </w:rPr>
        <w:t>2.1</w:t>
      </w:r>
      <w:r w:rsidR="00FB21CE" w:rsidRPr="00610C8E">
        <w:rPr>
          <w:sz w:val="22"/>
          <w:szCs w:val="22"/>
        </w:rPr>
        <w:t xml:space="preserve"> </w:t>
      </w:r>
      <w:r w:rsidR="00425C5B" w:rsidRPr="00610C8E">
        <w:rPr>
          <w:sz w:val="22"/>
          <w:szCs w:val="22"/>
        </w:rPr>
        <w:t>Key Components of SDG 3</w:t>
      </w:r>
      <w:bookmarkEnd w:id="2"/>
    </w:p>
    <w:p w14:paraId="622F8F01" w14:textId="77777777" w:rsidR="00610C8E" w:rsidRDefault="00610C8E" w:rsidP="00610C8E">
      <w:pPr>
        <w:spacing w:line="360" w:lineRule="auto"/>
        <w:jc w:val="both"/>
        <w:rPr>
          <w:sz w:val="22"/>
          <w:szCs w:val="22"/>
        </w:rPr>
      </w:pPr>
      <w:r w:rsidRPr="00610C8E">
        <w:rPr>
          <w:sz w:val="22"/>
          <w:szCs w:val="22"/>
        </w:rPr>
        <w:t>SDG 3 seeks to guarantee everyone's health and well-being across all generations. (Kieny et al., 2017). Although there are signs of progress, it remains uneven. Despite a decrease from 228 per 100,000 births in 2015 to 197 in 2023, the worldwide maternal death ratio is still over three times greater than the 2030 objective of 70 (Raina et al., 2023). Reaching this target would necessitate a yearly decrease rate of 14.8%, higher than observed in former global trends. Under-five deaths decreased from 6.1 million fatalities in 2015 to 4.9 million by 2024, indicating improvement, although levels remain high (Cao, Liu and Liu, 2025). Neonatal mortality declined by only 11% over the same period, suggesting that the earliest stage of life remains the most challenging period for survival gains. These numbers demonstrate enduring disparities inside and between nations. While fragile and low-income countries continue to incur avoidable mother and child deaths due to labour shortages, inadequate primary healthcare systems, and unequal access to vital services, progress has been focused where health systems are sufficiently funded and maintained. This implies that attaining SDG 3 requires tackling larger structural disparities that affect health outcomes in addition to technological advancements.</w:t>
      </w:r>
    </w:p>
    <w:p w14:paraId="140CB554" w14:textId="77777777" w:rsidR="0095055B" w:rsidRPr="00610C8E" w:rsidRDefault="0095055B" w:rsidP="00610C8E">
      <w:pPr>
        <w:spacing w:line="360" w:lineRule="auto"/>
        <w:jc w:val="both"/>
        <w:rPr>
          <w:sz w:val="22"/>
          <w:szCs w:val="22"/>
        </w:rPr>
      </w:pPr>
    </w:p>
    <w:p w14:paraId="5DB0EF0D" w14:textId="4355ED64" w:rsidR="0000284A" w:rsidRPr="008040E3" w:rsidRDefault="00EF21AD" w:rsidP="00FD20BD">
      <w:pPr>
        <w:spacing w:line="360" w:lineRule="auto"/>
        <w:jc w:val="both"/>
        <w:rPr>
          <w:sz w:val="22"/>
          <w:szCs w:val="22"/>
        </w:rPr>
      </w:pPr>
      <w:r w:rsidRPr="00FD20BD">
        <w:rPr>
          <w:sz w:val="22"/>
          <w:szCs w:val="22"/>
        </w:rPr>
        <w:t xml:space="preserve">A </w:t>
      </w:r>
      <w:r w:rsidR="001642B2" w:rsidRPr="00FD20BD">
        <w:rPr>
          <w:sz w:val="22"/>
          <w:szCs w:val="22"/>
        </w:rPr>
        <w:t>similar</w:t>
      </w:r>
      <w:r w:rsidRPr="00FD20BD">
        <w:rPr>
          <w:sz w:val="22"/>
          <w:szCs w:val="22"/>
        </w:rPr>
        <w:t xml:space="preserve"> pattern is evident</w:t>
      </w:r>
      <w:r w:rsidR="001642B2" w:rsidRPr="00FD20BD">
        <w:rPr>
          <w:sz w:val="22"/>
          <w:szCs w:val="22"/>
        </w:rPr>
        <w:t xml:space="preserve"> in relation to</w:t>
      </w:r>
      <w:r w:rsidR="0008091D" w:rsidRPr="00FD20BD">
        <w:rPr>
          <w:sz w:val="22"/>
          <w:szCs w:val="22"/>
        </w:rPr>
        <w:t xml:space="preserve"> non-communicable diseases. In 2021, 18 million people under 70 died from conditions such as heart disease, cancer and diabetes, accounting </w:t>
      </w:r>
      <w:r w:rsidR="0008091D" w:rsidRPr="00FD20BD">
        <w:rPr>
          <w:sz w:val="22"/>
          <w:szCs w:val="22"/>
        </w:rPr>
        <w:lastRenderedPageBreak/>
        <w:t>for over half of all premature deaths worldwide</w:t>
      </w:r>
      <w:r w:rsidR="007E5768" w:rsidRPr="00FD20BD">
        <w:rPr>
          <w:sz w:val="22"/>
          <w:szCs w:val="22"/>
        </w:rPr>
        <w:t xml:space="preserve"> (World Health Organi</w:t>
      </w:r>
      <w:r w:rsidR="00096938" w:rsidRPr="00FD20BD">
        <w:rPr>
          <w:sz w:val="22"/>
          <w:szCs w:val="22"/>
        </w:rPr>
        <w:t>s</w:t>
      </w:r>
      <w:r w:rsidR="007E5768" w:rsidRPr="00FD20BD">
        <w:rPr>
          <w:sz w:val="22"/>
          <w:szCs w:val="22"/>
        </w:rPr>
        <w:t>ation, 2024)</w:t>
      </w:r>
      <w:r w:rsidR="00B50756" w:rsidRPr="00FD20BD">
        <w:rPr>
          <w:sz w:val="22"/>
          <w:szCs w:val="22"/>
        </w:rPr>
        <w:t>.</w:t>
      </w:r>
      <w:r w:rsidR="0008091D" w:rsidRPr="00FD20BD">
        <w:rPr>
          <w:sz w:val="22"/>
          <w:szCs w:val="22"/>
        </w:rPr>
        <w:t xml:space="preserve"> That works out to one premature death every two seconds, a statistic that should make any health planner pause</w:t>
      </w:r>
      <w:r w:rsidR="00814379" w:rsidRPr="00FD20BD">
        <w:rPr>
          <w:sz w:val="22"/>
          <w:szCs w:val="22"/>
        </w:rPr>
        <w:t>.</w:t>
      </w:r>
      <w:r w:rsidR="0008091D" w:rsidRPr="00FD20BD">
        <w:rPr>
          <w:sz w:val="22"/>
          <w:szCs w:val="22"/>
        </w:rPr>
        <w:t xml:space="preserve">  Infectious disease also remains stubborn. Tuberculosis returned as</w:t>
      </w:r>
      <w:r w:rsidR="00C22A1F" w:rsidRPr="00FD20BD">
        <w:rPr>
          <w:sz w:val="22"/>
          <w:szCs w:val="22"/>
        </w:rPr>
        <w:t xml:space="preserve"> possibly the most common infectious agent-related cause of death worldwide in 2023 </w:t>
      </w:r>
      <w:r w:rsidR="0008091D" w:rsidRPr="00FD20BD">
        <w:rPr>
          <w:sz w:val="22"/>
          <w:szCs w:val="22"/>
        </w:rPr>
        <w:t xml:space="preserve">and malaria cases </w:t>
      </w:r>
      <w:r w:rsidR="0008091D" w:rsidRPr="008040E3">
        <w:rPr>
          <w:sz w:val="22"/>
          <w:szCs w:val="22"/>
        </w:rPr>
        <w:t xml:space="preserve">continued to rise, with an estimated 282 million cases recorded worldwide in 2024 </w:t>
      </w:r>
      <w:r w:rsidR="0067047D" w:rsidRPr="008040E3">
        <w:rPr>
          <w:sz w:val="22"/>
          <w:szCs w:val="22"/>
        </w:rPr>
        <w:t>(Nations, 2025).</w:t>
      </w:r>
    </w:p>
    <w:p w14:paraId="582676C9" w14:textId="7001EA82" w:rsidR="00502B90" w:rsidRPr="008040E3" w:rsidRDefault="00502B90" w:rsidP="00FD20BD">
      <w:pPr>
        <w:pStyle w:val="Heading1"/>
        <w:spacing w:line="360" w:lineRule="auto"/>
        <w:rPr>
          <w:sz w:val="22"/>
          <w:szCs w:val="22"/>
        </w:rPr>
      </w:pPr>
      <w:bookmarkStart w:id="3" w:name="_Toc236777625"/>
      <w:r w:rsidRPr="008040E3">
        <w:rPr>
          <w:sz w:val="22"/>
          <w:szCs w:val="22"/>
        </w:rPr>
        <w:t xml:space="preserve">2.2 </w:t>
      </w:r>
      <w:r w:rsidR="00383C1B" w:rsidRPr="008040E3">
        <w:rPr>
          <w:sz w:val="22"/>
          <w:szCs w:val="22"/>
        </w:rPr>
        <w:t>The Impact of SDG 3 on Health and Well-Being</w:t>
      </w:r>
      <w:bookmarkEnd w:id="3"/>
    </w:p>
    <w:p w14:paraId="3630EB15" w14:textId="77777777" w:rsidR="00126472" w:rsidRPr="008040E3" w:rsidRDefault="00126472" w:rsidP="00126472">
      <w:pPr>
        <w:spacing w:line="360" w:lineRule="auto"/>
        <w:jc w:val="both"/>
        <w:rPr>
          <w:sz w:val="22"/>
          <w:szCs w:val="22"/>
        </w:rPr>
      </w:pPr>
      <w:r w:rsidRPr="008040E3">
        <w:rPr>
          <w:sz w:val="22"/>
          <w:szCs w:val="22"/>
        </w:rPr>
        <w:t>Universal health coverage tells a similar story of slow progress. Around 25% of the world's population is expected to still face financial hardship from healthcare costs by 2030 if current trends continue (Group, 2025). In 2019 alone, 344 million individuals experienced severe poverty or were forced into it because of personal medical expenses (Organisation and Bank, 2023). The World Health Organisation's Global Action Plan for Healthy Lives and Well-being, launched in 2019 by thirteen agencies, aimed to speed up collaboration on health-related SDGs. An independent evaluation in 2024 found the plan had not delivered as intended, and the initiative closed in 2025 (World Health Organisation, 2024). This matters for our understanding of policy: good intentions do not guarantee good outcomes.</w:t>
      </w:r>
    </w:p>
    <w:p w14:paraId="0DB758ED" w14:textId="77777777" w:rsidR="00126472" w:rsidRPr="00220AEC" w:rsidRDefault="00126472" w:rsidP="00126472">
      <w:pPr>
        <w:spacing w:line="360" w:lineRule="auto"/>
        <w:jc w:val="both"/>
        <w:rPr>
          <w:sz w:val="22"/>
          <w:szCs w:val="22"/>
        </w:rPr>
      </w:pPr>
      <w:r w:rsidRPr="008040E3">
        <w:rPr>
          <w:sz w:val="22"/>
          <w:szCs w:val="22"/>
        </w:rPr>
        <w:t xml:space="preserve"> The UK continues to see growing health disparities despite having a universal healthcare system through the NHS, demonstrating that universal coverage by itself does not ensure equitable health outcomes (McKee et al., 2021). Therefore, translating national health policies into quantifiable improvements in population health requires strong responsibility, consistent investment, and efficient cross-sector coordination. Translating international pledges into s</w:t>
      </w:r>
      <w:r w:rsidRPr="00220AEC">
        <w:rPr>
          <w:sz w:val="22"/>
          <w:szCs w:val="22"/>
        </w:rPr>
        <w:t>uccessful national implementation will be crucial for future progress toward SDG 3, especially in nations with the highest disease burden and weakest health systems.</w:t>
      </w:r>
    </w:p>
    <w:p w14:paraId="42B604A4" w14:textId="2B13347D" w:rsidR="00C61CC4" w:rsidRPr="00220AEC" w:rsidRDefault="00FB21CE" w:rsidP="00FD20BD">
      <w:pPr>
        <w:pStyle w:val="Heading1"/>
        <w:spacing w:line="360" w:lineRule="auto"/>
        <w:rPr>
          <w:sz w:val="22"/>
          <w:szCs w:val="22"/>
        </w:rPr>
      </w:pPr>
      <w:bookmarkStart w:id="4" w:name="_Toc236777626"/>
      <w:r w:rsidRPr="00220AEC">
        <w:rPr>
          <w:sz w:val="22"/>
          <w:szCs w:val="22"/>
        </w:rPr>
        <w:t xml:space="preserve">3 </w:t>
      </w:r>
      <w:r w:rsidR="0008091D" w:rsidRPr="00220AEC">
        <w:rPr>
          <w:sz w:val="22"/>
          <w:szCs w:val="22"/>
        </w:rPr>
        <w:t>SDG 4: Quality Education and Its Link to Health</w:t>
      </w:r>
      <w:r w:rsidR="00AF15F9" w:rsidRPr="00220AEC">
        <w:rPr>
          <w:sz w:val="22"/>
          <w:szCs w:val="22"/>
        </w:rPr>
        <w:t>.</w:t>
      </w:r>
      <w:bookmarkEnd w:id="4"/>
    </w:p>
    <w:p w14:paraId="2C018BE5" w14:textId="1B44F838" w:rsidR="00E25123" w:rsidRPr="00220AEC" w:rsidRDefault="0045345D" w:rsidP="00FD20BD">
      <w:pPr>
        <w:pStyle w:val="Heading1"/>
        <w:spacing w:line="360" w:lineRule="auto"/>
        <w:rPr>
          <w:sz w:val="22"/>
          <w:szCs w:val="22"/>
        </w:rPr>
      </w:pPr>
      <w:bookmarkStart w:id="5" w:name="_Toc236777627"/>
      <w:r w:rsidRPr="00220AEC">
        <w:rPr>
          <w:sz w:val="22"/>
          <w:szCs w:val="22"/>
        </w:rPr>
        <w:t>3.1</w:t>
      </w:r>
      <w:r w:rsidR="00E02165" w:rsidRPr="00220AEC">
        <w:rPr>
          <w:sz w:val="22"/>
          <w:szCs w:val="22"/>
        </w:rPr>
        <w:t xml:space="preserve"> </w:t>
      </w:r>
      <w:r w:rsidRPr="00220AEC">
        <w:rPr>
          <w:sz w:val="22"/>
          <w:szCs w:val="22"/>
        </w:rPr>
        <w:t xml:space="preserve">Key Components of SDG </w:t>
      </w:r>
      <w:r w:rsidR="00E02165" w:rsidRPr="00220AEC">
        <w:rPr>
          <w:sz w:val="22"/>
          <w:szCs w:val="22"/>
        </w:rPr>
        <w:t>4</w:t>
      </w:r>
      <w:bookmarkEnd w:id="5"/>
    </w:p>
    <w:p w14:paraId="5696A822" w14:textId="77777777" w:rsidR="00220AEC" w:rsidRPr="00220AEC" w:rsidRDefault="00220AEC" w:rsidP="00220AEC">
      <w:pPr>
        <w:spacing w:line="360" w:lineRule="auto"/>
        <w:jc w:val="both"/>
        <w:rPr>
          <w:sz w:val="22"/>
          <w:szCs w:val="22"/>
        </w:rPr>
      </w:pPr>
      <w:r w:rsidRPr="00220AEC">
        <w:rPr>
          <w:sz w:val="22"/>
          <w:szCs w:val="22"/>
        </w:rPr>
        <w:t xml:space="preserve">Although SDG 4 commits the world to inclusive, fair, quality education and lifelong learning for all, it is profoundly linked to health because education impacts health literacy, health behaviours and long-term wellbeing (Carvalho et al., 2024). Health literacy directly and indirectly impacts school grades, attendance and early school-leaving (Knisel et al., 2020). Poor schooling limits future health choices, income and access to care. The World Health Organisation regards health literacy as a tool that enhances governance, decreases inequality and helps provide universal health care across the 2030 Agenda, not just SDG 3 (Fortune et al., 2018). Education also helps individuals develop critical thinking abilities, enabling them to detect misinformation, make educated decisions about their welfare and connect more </w:t>
      </w:r>
      <w:r w:rsidRPr="00220AEC">
        <w:rPr>
          <w:sz w:val="22"/>
          <w:szCs w:val="22"/>
        </w:rPr>
        <w:lastRenderedPageBreak/>
        <w:t>effectively with healthcare services. These skills become increasingly vital in a world where digital health information is freely available.</w:t>
      </w:r>
    </w:p>
    <w:p w14:paraId="786E4D1B" w14:textId="409A564D" w:rsidR="00C66EA9" w:rsidRPr="0064184F" w:rsidRDefault="00502B90" w:rsidP="00FD20BD">
      <w:pPr>
        <w:pStyle w:val="Heading1"/>
        <w:spacing w:line="360" w:lineRule="auto"/>
        <w:rPr>
          <w:sz w:val="22"/>
          <w:szCs w:val="22"/>
        </w:rPr>
      </w:pPr>
      <w:bookmarkStart w:id="6" w:name="_Toc236777628"/>
      <w:r w:rsidRPr="0064184F">
        <w:rPr>
          <w:sz w:val="22"/>
          <w:szCs w:val="22"/>
        </w:rPr>
        <w:t xml:space="preserve">3.2 The Impact of SDG </w:t>
      </w:r>
      <w:r w:rsidR="00416A0A" w:rsidRPr="0064184F">
        <w:rPr>
          <w:sz w:val="22"/>
          <w:szCs w:val="22"/>
        </w:rPr>
        <w:t>4</w:t>
      </w:r>
      <w:r w:rsidRPr="0064184F">
        <w:rPr>
          <w:sz w:val="22"/>
          <w:szCs w:val="22"/>
        </w:rPr>
        <w:t xml:space="preserve"> on E</w:t>
      </w:r>
      <w:r w:rsidR="00416A0A" w:rsidRPr="0064184F">
        <w:rPr>
          <w:sz w:val="22"/>
          <w:szCs w:val="22"/>
        </w:rPr>
        <w:t>ducation</w:t>
      </w:r>
      <w:bookmarkEnd w:id="6"/>
    </w:p>
    <w:p w14:paraId="0EA90E95" w14:textId="77777777" w:rsidR="0064184F" w:rsidRPr="0064184F" w:rsidRDefault="0064184F" w:rsidP="0064184F">
      <w:pPr>
        <w:spacing w:after="160" w:line="360" w:lineRule="auto"/>
        <w:jc w:val="both"/>
        <w:rPr>
          <w:sz w:val="22"/>
          <w:szCs w:val="22"/>
        </w:rPr>
      </w:pPr>
      <w:r w:rsidRPr="0064184F">
        <w:rPr>
          <w:sz w:val="22"/>
          <w:szCs w:val="22"/>
        </w:rPr>
        <w:t>Educational interruption during the COVID-19 epidemic proved this link clearly. Analysis by the World Bank and partner agencies indicated that schoolchildren lost, on average, a full year's worth of learning during the pandemic (Patrinos, Vegas and Carter-Rau, 2022). Before the COVID-19 pandemic, progress towards SDG 4 improved access to education globally, although inequalities remained between and within countries. The pandemic also exposed gaps between communities, with children from impoverished homes experiencing greater challenges to online learning due to inadequate internet access, digital devices and supportive learning environments (Alban Conto et al., 2021). These educational failures are likely to increase health inequalities unless focused interventions are maintained.</w:t>
      </w:r>
    </w:p>
    <w:p w14:paraId="06A11B49" w14:textId="77777777" w:rsidR="0064184F" w:rsidRPr="0064184F" w:rsidRDefault="0064184F" w:rsidP="0064184F">
      <w:pPr>
        <w:spacing w:line="360" w:lineRule="auto"/>
        <w:jc w:val="both"/>
        <w:rPr>
          <w:sz w:val="22"/>
          <w:szCs w:val="22"/>
        </w:rPr>
      </w:pPr>
      <w:r w:rsidRPr="0064184F">
        <w:rPr>
          <w:sz w:val="22"/>
          <w:szCs w:val="22"/>
        </w:rPr>
        <w:t>Similar educational disparities in the UK were revealed by the COVID-19 epidemic, with underprivileged students suffering more learning loss due to unequal access to digital technology, internet connectivity, and appropriate home learning environments (Baker et al., 2020). These differences highlight the significance of SDG 4 in the UK because enhancing educational opportunities and access is directly related to lowering long-term health inequalities.</w:t>
      </w:r>
    </w:p>
    <w:p w14:paraId="6DA078FD" w14:textId="77777777" w:rsidR="0064184F" w:rsidRPr="0064184F" w:rsidRDefault="0064184F" w:rsidP="0064184F">
      <w:pPr>
        <w:spacing w:after="160" w:line="360" w:lineRule="auto"/>
        <w:jc w:val="both"/>
        <w:rPr>
          <w:sz w:val="22"/>
          <w:szCs w:val="22"/>
        </w:rPr>
      </w:pPr>
      <w:r w:rsidRPr="0064184F">
        <w:rPr>
          <w:sz w:val="22"/>
          <w:szCs w:val="22"/>
        </w:rPr>
        <w:t>Nutrition provides another important link between SDG 4 and health. School food and nutrition programmes support educational outcomes because hungry children are less able to concentrate and learn effectively, while poor nutrition can affect long-term development (Wall et al., 2022). Adequate nutrition during childhood is also associated with improved cognitive development and school participation (Roberts, 2022). This creates a cycle: poor nutrition limits learning, reduced educational achievement affects future income opportunities, and low income can contribute to poorer nutrition. These interdependencies demonstrate that health and education outcomes cannot be addressed separately. A school nutrition policy is therefore also a health policy. Schools also provide an important setting for health promotion through immunisation programmes, mental health support, physical education and healthy lifestyle education (</w:t>
      </w:r>
      <w:proofErr w:type="spellStart"/>
      <w:r w:rsidRPr="0064184F">
        <w:rPr>
          <w:sz w:val="22"/>
          <w:szCs w:val="22"/>
        </w:rPr>
        <w:t>Pulimeno</w:t>
      </w:r>
      <w:proofErr w:type="spellEnd"/>
      <w:r w:rsidRPr="0064184F">
        <w:rPr>
          <w:sz w:val="22"/>
          <w:szCs w:val="22"/>
        </w:rPr>
        <w:t xml:space="preserve"> et al., 2020). Integrating health promotion into education systems can improve learning outcomes while reducing preventable illness and supporting long-term wellbeing. Therefore, funding high-quality education is both a public health approach that contributes to healthier and more resilient societies and an educational imperative. Improving population health and accomplishing the broader Sustainable Development Goals depend on achieving SDG 4.</w:t>
      </w:r>
    </w:p>
    <w:p w14:paraId="0F631973" w14:textId="5271AB43" w:rsidR="00830B1E" w:rsidRPr="00FD20BD" w:rsidRDefault="00F90806" w:rsidP="00FD20BD">
      <w:pPr>
        <w:pStyle w:val="Heading1"/>
        <w:spacing w:line="360" w:lineRule="auto"/>
        <w:rPr>
          <w:sz w:val="22"/>
          <w:szCs w:val="22"/>
        </w:rPr>
      </w:pPr>
      <w:bookmarkStart w:id="7" w:name="_Toc236777629"/>
      <w:r w:rsidRPr="00FD20BD">
        <w:rPr>
          <w:sz w:val="22"/>
          <w:szCs w:val="22"/>
        </w:rPr>
        <w:lastRenderedPageBreak/>
        <w:t xml:space="preserve">4 </w:t>
      </w:r>
      <w:r w:rsidR="004373E6" w:rsidRPr="00FD20BD">
        <w:rPr>
          <w:sz w:val="22"/>
          <w:szCs w:val="22"/>
        </w:rPr>
        <w:t>National Wellbeing and Sustainable Development Initiatives</w:t>
      </w:r>
      <w:bookmarkEnd w:id="7"/>
    </w:p>
    <w:p w14:paraId="326F8792" w14:textId="77777777" w:rsidR="00A557B1" w:rsidRDefault="004373E6" w:rsidP="00FD20BD">
      <w:pPr>
        <w:spacing w:line="360" w:lineRule="auto"/>
        <w:jc w:val="both"/>
        <w:rPr>
          <w:sz w:val="22"/>
          <w:szCs w:val="22"/>
        </w:rPr>
      </w:pPr>
      <w:r w:rsidRPr="00FD20BD">
        <w:rPr>
          <w:sz w:val="22"/>
          <w:szCs w:val="22"/>
        </w:rPr>
        <w:t xml:space="preserve"> </w:t>
      </w:r>
      <w:r w:rsidR="00A557B1" w:rsidRPr="00FD20BD">
        <w:rPr>
          <w:sz w:val="22"/>
          <w:szCs w:val="22"/>
        </w:rPr>
        <w:t>Several national initiatives have sought to address health inequalities and wellbeing across the UK, including the Well-being of Future Generations (Wales) Act 2015 and England's NHS Long Term Plan.</w:t>
      </w:r>
    </w:p>
    <w:p w14:paraId="2293F2E6" w14:textId="77777777" w:rsidR="0010431A" w:rsidRPr="00FD20BD" w:rsidRDefault="0010431A" w:rsidP="00FD20BD">
      <w:pPr>
        <w:spacing w:line="360" w:lineRule="auto"/>
        <w:jc w:val="both"/>
        <w:rPr>
          <w:sz w:val="22"/>
          <w:szCs w:val="22"/>
        </w:rPr>
      </w:pPr>
    </w:p>
    <w:p w14:paraId="2558E588" w14:textId="77777777" w:rsidR="0010431A" w:rsidRPr="0010431A" w:rsidRDefault="0010431A" w:rsidP="0010431A">
      <w:pPr>
        <w:spacing w:line="360" w:lineRule="auto"/>
        <w:jc w:val="both"/>
        <w:rPr>
          <w:sz w:val="22"/>
          <w:szCs w:val="22"/>
        </w:rPr>
      </w:pPr>
      <w:r w:rsidRPr="0010431A">
        <w:rPr>
          <w:b/>
          <w:bCs/>
          <w:sz w:val="22"/>
          <w:szCs w:val="22"/>
        </w:rPr>
        <w:t>The Well-being of Future Generations (Wales) Act 2015</w:t>
      </w:r>
      <w:r w:rsidRPr="0010431A">
        <w:rPr>
          <w:sz w:val="22"/>
          <w:szCs w:val="22"/>
        </w:rPr>
        <w:t xml:space="preserve"> places a legal duty on 44 public bodies, including NHS health boards and local authorities, to achieve seven well-being goals and provides a national framework for sustainable development (Davies, 2016). The Act operates through five principles: long-term thinking, prevention, integration, collaboration, and involvement. It establishes measurable objectives, including improving healthy life expectancy, reducing inequalities between advantaged and disadvantaged communities, addressing mental wellbeing disparities, and increasing participation in education, employment, or training among young people (Wilson, 2025). These aims align with Sustainable Development Goals (SDGs) 3, 4, and 10 by integrating health, education, and inequality reduction.</w:t>
      </w:r>
    </w:p>
    <w:p w14:paraId="5E6A47E7" w14:textId="77777777" w:rsidR="0010431A" w:rsidRPr="0010431A" w:rsidRDefault="0010431A" w:rsidP="0010431A">
      <w:pPr>
        <w:spacing w:line="360" w:lineRule="auto"/>
        <w:jc w:val="both"/>
        <w:rPr>
          <w:sz w:val="22"/>
          <w:szCs w:val="22"/>
        </w:rPr>
      </w:pPr>
    </w:p>
    <w:p w14:paraId="2E555D48" w14:textId="77777777" w:rsidR="0010431A" w:rsidRPr="0010431A" w:rsidRDefault="0010431A" w:rsidP="0010431A">
      <w:pPr>
        <w:spacing w:line="360" w:lineRule="auto"/>
        <w:jc w:val="both"/>
        <w:rPr>
          <w:sz w:val="22"/>
          <w:szCs w:val="22"/>
        </w:rPr>
      </w:pPr>
      <w:r w:rsidRPr="0010431A">
        <w:rPr>
          <w:sz w:val="22"/>
          <w:szCs w:val="22"/>
        </w:rPr>
        <w:t>Evidence of the Act’s effectiveness is mixed. The Organisation for Economic Cooperation and Development (OECD) recognised its success in embedding long-term approaches within Welsh public sector decision-making and identified it as an innovative sustainability model (Regional governance and public investment in Wales, United Kingdom, 2024). However, the Future Generations Commissioner’s Report (2025) highlights inconsistent implementation across public bodies, with limited progress in areas such as Real Living Wage accreditation (</w:t>
      </w:r>
      <w:proofErr w:type="spellStart"/>
      <w:r w:rsidRPr="0010431A">
        <w:rPr>
          <w:sz w:val="22"/>
          <w:szCs w:val="22"/>
        </w:rPr>
        <w:t>Arsyllfa</w:t>
      </w:r>
      <w:proofErr w:type="spellEnd"/>
      <w:r w:rsidRPr="0010431A">
        <w:rPr>
          <w:sz w:val="22"/>
          <w:szCs w:val="22"/>
        </w:rPr>
        <w:t xml:space="preserve"> Cymru, 2025). This suggests that while the legislative framework is strong, translating policy ambitions into measurable outcomes remains challenging. Furthermore, the Act’s long-term focus makes immediate improvements in health and social indicators difficult to evaluate.</w:t>
      </w:r>
    </w:p>
    <w:p w14:paraId="6AC455CC" w14:textId="77777777" w:rsidR="0010431A" w:rsidRPr="0010431A" w:rsidRDefault="0010431A" w:rsidP="0010431A">
      <w:pPr>
        <w:pStyle w:val="Heading1"/>
        <w:spacing w:line="360" w:lineRule="auto"/>
        <w:rPr>
          <w:sz w:val="22"/>
          <w:szCs w:val="22"/>
        </w:rPr>
      </w:pPr>
      <w:bookmarkStart w:id="8" w:name="_Toc236777630"/>
      <w:r w:rsidRPr="0010431A">
        <w:rPr>
          <w:sz w:val="22"/>
          <w:szCs w:val="22"/>
        </w:rPr>
        <w:t>4.1 NHS Long Term Plan</w:t>
      </w:r>
      <w:bookmarkEnd w:id="8"/>
    </w:p>
    <w:p w14:paraId="3F2B9E7D" w14:textId="77777777" w:rsidR="0010431A" w:rsidRPr="0010431A" w:rsidRDefault="0010431A" w:rsidP="0010431A">
      <w:pPr>
        <w:spacing w:line="360" w:lineRule="auto"/>
        <w:jc w:val="both"/>
        <w:rPr>
          <w:sz w:val="22"/>
          <w:szCs w:val="22"/>
        </w:rPr>
      </w:pPr>
      <w:r w:rsidRPr="0010431A">
        <w:rPr>
          <w:sz w:val="22"/>
          <w:szCs w:val="22"/>
        </w:rPr>
        <w:t xml:space="preserve">England has pursued a different approach through the NHS Long Term Plan (2019) and the 10-Year Health Plan (2025), which aim to reduce health inequalities through targeted investment and improved access to services (Department of Health and Social Care, 2025). Increased transparency, including publishing waiting-time data by deprivation and ethnicity, supports identification of inequality patterns (Spinos et al., 2026). Investment in areas with lower life expectancy, such as coastal and former industrial communities, aims to reduce the wider economic burden of ill health (England, 2025). However, evidence from Marmot indicates that life expectancy improvements have stalled, with widening inequalities among </w:t>
      </w:r>
      <w:r w:rsidRPr="0010431A">
        <w:rPr>
          <w:sz w:val="22"/>
          <w:szCs w:val="22"/>
        </w:rPr>
        <w:lastRenderedPageBreak/>
        <w:t>deprived populations, demonstrating the continued influence of wider determinants such as housing, employment, and poverty (Corris et al., 2020).</w:t>
      </w:r>
    </w:p>
    <w:p w14:paraId="076C012C" w14:textId="77777777" w:rsidR="0010431A" w:rsidRPr="0010431A" w:rsidRDefault="0010431A" w:rsidP="0010431A">
      <w:pPr>
        <w:spacing w:line="360" w:lineRule="auto"/>
        <w:jc w:val="both"/>
        <w:rPr>
          <w:sz w:val="22"/>
          <w:szCs w:val="22"/>
        </w:rPr>
      </w:pPr>
    </w:p>
    <w:p w14:paraId="689684C9" w14:textId="19429F57" w:rsidR="008F367D" w:rsidRDefault="0010431A" w:rsidP="00FD20BD">
      <w:pPr>
        <w:spacing w:line="360" w:lineRule="auto"/>
        <w:jc w:val="both"/>
        <w:rPr>
          <w:sz w:val="22"/>
          <w:szCs w:val="22"/>
        </w:rPr>
      </w:pPr>
      <w:r w:rsidRPr="0010431A">
        <w:rPr>
          <w:sz w:val="22"/>
          <w:szCs w:val="22"/>
        </w:rPr>
        <w:t>Overall, both initiatives demonstrate stronger policy commitment to reducing inequalities, but neither has yet achieved substantial improvements in health outcomes. Their effectiveness depends on sustained funding, workforce capacity, effective partnership working, and consistent implementation. Future policy should prioritise disadvantaged communities through integrated health, education, and social care approaches, supported by measurable accountability frameworks and shared best practice (</w:t>
      </w:r>
      <w:proofErr w:type="spellStart"/>
      <w:r w:rsidRPr="0010431A">
        <w:rPr>
          <w:sz w:val="22"/>
          <w:szCs w:val="22"/>
        </w:rPr>
        <w:t>Petiwala</w:t>
      </w:r>
      <w:proofErr w:type="spellEnd"/>
      <w:r w:rsidRPr="0010431A">
        <w:rPr>
          <w:sz w:val="22"/>
          <w:szCs w:val="22"/>
        </w:rPr>
        <w:t xml:space="preserve"> et al., 2021). Addressing broader social determinants remains essential, as reducing inequalities requires action beyond healthcare provision alone (Corris et al., 2020).</w:t>
      </w:r>
    </w:p>
    <w:p w14:paraId="46CEAF5E" w14:textId="72392C89" w:rsidR="00FD20BD" w:rsidRPr="00FD20BD" w:rsidRDefault="005C2F67" w:rsidP="00FD20BD">
      <w:pPr>
        <w:pStyle w:val="Heading1"/>
        <w:spacing w:line="360" w:lineRule="auto"/>
        <w:rPr>
          <w:sz w:val="22"/>
          <w:szCs w:val="22"/>
        </w:rPr>
      </w:pPr>
      <w:bookmarkStart w:id="9" w:name="_Toc236777631"/>
      <w:r w:rsidRPr="00FD20BD">
        <w:rPr>
          <w:sz w:val="22"/>
          <w:szCs w:val="22"/>
        </w:rPr>
        <w:t xml:space="preserve">5 </w:t>
      </w:r>
      <w:r w:rsidR="002C3090" w:rsidRPr="00FD20BD">
        <w:rPr>
          <w:sz w:val="22"/>
          <w:szCs w:val="22"/>
        </w:rPr>
        <w:t>Local Wellbeing and Sustainable Development Initiatives</w:t>
      </w:r>
      <w:bookmarkEnd w:id="9"/>
      <w:r w:rsidR="002C3090" w:rsidRPr="00FD20BD">
        <w:rPr>
          <w:sz w:val="22"/>
          <w:szCs w:val="22"/>
        </w:rPr>
        <w:t xml:space="preserve"> </w:t>
      </w:r>
    </w:p>
    <w:p w14:paraId="3C8AD54E" w14:textId="03895242" w:rsidR="001454D2" w:rsidRPr="00FD20BD" w:rsidRDefault="003307FB" w:rsidP="00FD20BD">
      <w:pPr>
        <w:spacing w:line="360" w:lineRule="auto"/>
        <w:jc w:val="both"/>
        <w:rPr>
          <w:b/>
          <w:bCs/>
          <w:sz w:val="22"/>
          <w:szCs w:val="22"/>
        </w:rPr>
      </w:pPr>
      <w:r w:rsidRPr="00FD20BD">
        <w:rPr>
          <w:b/>
          <w:bCs/>
          <w:sz w:val="22"/>
          <w:szCs w:val="22"/>
        </w:rPr>
        <w:t xml:space="preserve">5.1 </w:t>
      </w:r>
      <w:r w:rsidR="00A151A4" w:rsidRPr="00FD20BD">
        <w:rPr>
          <w:b/>
          <w:bCs/>
          <w:sz w:val="22"/>
          <w:szCs w:val="22"/>
        </w:rPr>
        <w:t>Marmot Places: Tackling the Social Determinants of Health</w:t>
      </w:r>
    </w:p>
    <w:p w14:paraId="34A6E647" w14:textId="77777777" w:rsidR="00DE33D5" w:rsidRPr="00FD20BD" w:rsidRDefault="00DE33D5" w:rsidP="00FD20BD">
      <w:pPr>
        <w:spacing w:line="360" w:lineRule="auto"/>
        <w:jc w:val="both"/>
        <w:rPr>
          <w:b/>
          <w:bCs/>
          <w:sz w:val="22"/>
          <w:szCs w:val="22"/>
        </w:rPr>
      </w:pPr>
    </w:p>
    <w:p w14:paraId="2D23D6DA" w14:textId="77777777" w:rsidR="00DE33D5" w:rsidRPr="00DE33D5" w:rsidRDefault="00DE33D5" w:rsidP="00DE33D5">
      <w:pPr>
        <w:spacing w:line="360" w:lineRule="auto"/>
        <w:jc w:val="both"/>
        <w:rPr>
          <w:sz w:val="22"/>
          <w:szCs w:val="22"/>
        </w:rPr>
      </w:pPr>
      <w:r w:rsidRPr="00DE33D5">
        <w:rPr>
          <w:sz w:val="22"/>
          <w:szCs w:val="22"/>
        </w:rPr>
        <w:t xml:space="preserve">One of the UK local initiatives is the Marmot Places programme, coordinated by the UCL Institute of Health Equity (Institute of Health Equity, 2021). Local authorities voluntarily commit to embedding the social determinants of health, including housing, employment, and education, into decision-making, with over 50 areas across England, Wales, and Scotland now designated as Marmot Places. Coventry was the first city to adopt the approach in 2013, and the model has expanded to towns, cities, and combined authorities, including Luton, which became a Marmot Town in partnership with the Institute of Health Equity to reduce avoidable health inequalities, and Liverpool City Region, which adopted Marmot City Region status in 2025 to embed Marmot principles across devolved responsibilities, including transport and housing decisions </w:t>
      </w:r>
      <w:r w:rsidRPr="00450F7E">
        <w:rPr>
          <w:sz w:val="22"/>
          <w:szCs w:val="22"/>
        </w:rPr>
        <w:t>(Hook, n.d.).</w:t>
      </w:r>
    </w:p>
    <w:p w14:paraId="52F64056" w14:textId="77777777" w:rsidR="00DE33D5" w:rsidRPr="00DE33D5" w:rsidRDefault="00DE33D5" w:rsidP="00DE33D5">
      <w:pPr>
        <w:spacing w:line="360" w:lineRule="auto"/>
        <w:jc w:val="both"/>
        <w:rPr>
          <w:sz w:val="22"/>
          <w:szCs w:val="22"/>
        </w:rPr>
      </w:pPr>
    </w:p>
    <w:p w14:paraId="1B460E51" w14:textId="3EEFCBA3" w:rsidR="00DE33D5" w:rsidRPr="008F7AE4" w:rsidRDefault="00DE33D5" w:rsidP="00DE33D5">
      <w:pPr>
        <w:spacing w:line="360" w:lineRule="auto"/>
        <w:jc w:val="both"/>
        <w:rPr>
          <w:sz w:val="22"/>
          <w:szCs w:val="22"/>
        </w:rPr>
      </w:pPr>
      <w:r w:rsidRPr="00DE33D5">
        <w:rPr>
          <w:sz w:val="22"/>
          <w:szCs w:val="22"/>
        </w:rPr>
        <w:t xml:space="preserve">Evidence from local evaluations suggests the approach strengthens cross-sector working, </w:t>
      </w:r>
      <w:r w:rsidR="000B10FA" w:rsidRPr="00DE33D5">
        <w:rPr>
          <w:sz w:val="22"/>
          <w:szCs w:val="22"/>
        </w:rPr>
        <w:t>like</w:t>
      </w:r>
      <w:r w:rsidRPr="00DE33D5">
        <w:rPr>
          <w:sz w:val="22"/>
          <w:szCs w:val="22"/>
        </w:rPr>
        <w:t xml:space="preserve"> the Welsh model, but faces comparable constraints</w:t>
      </w:r>
      <w:r w:rsidR="00E1157B">
        <w:rPr>
          <w:sz w:val="22"/>
          <w:szCs w:val="22"/>
        </w:rPr>
        <w:t xml:space="preserve"> </w:t>
      </w:r>
      <w:r w:rsidR="00E1157B" w:rsidRPr="00E1157B">
        <w:rPr>
          <w:sz w:val="22"/>
          <w:szCs w:val="22"/>
        </w:rPr>
        <w:t>(</w:t>
      </w:r>
      <w:proofErr w:type="spellStart"/>
      <w:r w:rsidR="00E1157B" w:rsidRPr="00E1157B">
        <w:rPr>
          <w:sz w:val="22"/>
          <w:szCs w:val="22"/>
        </w:rPr>
        <w:t>Alderwick</w:t>
      </w:r>
      <w:proofErr w:type="spellEnd"/>
      <w:r w:rsidR="00E1157B" w:rsidRPr="00E1157B">
        <w:rPr>
          <w:sz w:val="22"/>
          <w:szCs w:val="22"/>
        </w:rPr>
        <w:t>, Hutchings and Mays, 2024)</w:t>
      </w:r>
      <w:r w:rsidRPr="00DE33D5">
        <w:rPr>
          <w:sz w:val="22"/>
          <w:szCs w:val="22"/>
        </w:rPr>
        <w:t>. The Luton case study found implementation required stronger governance and accountability, wider stakeholder involvement beyond local authorities and healthcare sectors, and integration of health inequalities into workforce development, indicating that early gains remain fragile without sustained institutional commitment</w:t>
      </w:r>
      <w:r w:rsidR="002D5B41">
        <w:rPr>
          <w:sz w:val="22"/>
          <w:szCs w:val="22"/>
        </w:rPr>
        <w:t xml:space="preserve"> </w:t>
      </w:r>
      <w:r w:rsidR="002D5B41" w:rsidRPr="002D5B41">
        <w:rPr>
          <w:sz w:val="22"/>
          <w:szCs w:val="22"/>
        </w:rPr>
        <w:t>(Institute of Health Equity, 2021)</w:t>
      </w:r>
      <w:r w:rsidRPr="00DE33D5">
        <w:rPr>
          <w:sz w:val="22"/>
          <w:szCs w:val="22"/>
        </w:rPr>
        <w:t>. More broadly, the Local Government Association has warned that widening health inequalities have been linked to an average reduction in local authority spending power of 34 per cent, highlighting that local leadership alone cannot counteract constrained public finances</w:t>
      </w:r>
      <w:r w:rsidR="005D769C">
        <w:rPr>
          <w:sz w:val="22"/>
          <w:szCs w:val="22"/>
        </w:rPr>
        <w:t xml:space="preserve"> </w:t>
      </w:r>
      <w:r w:rsidR="005D769C" w:rsidRPr="005D769C">
        <w:rPr>
          <w:sz w:val="22"/>
          <w:szCs w:val="22"/>
        </w:rPr>
        <w:t>(Tompson et al., 2024)</w:t>
      </w:r>
      <w:r w:rsidR="00881BAF">
        <w:rPr>
          <w:sz w:val="22"/>
          <w:szCs w:val="22"/>
        </w:rPr>
        <w:t xml:space="preserve">. </w:t>
      </w:r>
      <w:r w:rsidRPr="00DE33D5">
        <w:rPr>
          <w:sz w:val="22"/>
          <w:szCs w:val="22"/>
        </w:rPr>
        <w:t>This reflects patterns across Welsh and English initiatives</w:t>
      </w:r>
      <w:r w:rsidR="0084282F">
        <w:rPr>
          <w:sz w:val="22"/>
          <w:szCs w:val="22"/>
        </w:rPr>
        <w:t>,</w:t>
      </w:r>
      <w:r w:rsidRPr="00DE33D5">
        <w:rPr>
          <w:sz w:val="22"/>
          <w:szCs w:val="22"/>
        </w:rPr>
        <w:t xml:space="preserve"> </w:t>
      </w:r>
      <w:r w:rsidR="00450F7E" w:rsidRPr="00DE33D5">
        <w:rPr>
          <w:sz w:val="22"/>
          <w:szCs w:val="22"/>
        </w:rPr>
        <w:t>locally led</w:t>
      </w:r>
      <w:r w:rsidRPr="00DE33D5">
        <w:rPr>
          <w:sz w:val="22"/>
          <w:szCs w:val="22"/>
        </w:rPr>
        <w:t xml:space="preserve"> </w:t>
      </w:r>
      <w:r w:rsidRPr="00DE33D5">
        <w:rPr>
          <w:sz w:val="22"/>
          <w:szCs w:val="22"/>
        </w:rPr>
        <w:lastRenderedPageBreak/>
        <w:t>models can influence culture and practice, but structural funding and resource limitations continue to restrict their ability to reduce inequality gaps.</w:t>
      </w:r>
      <w:r w:rsidR="00D2574D">
        <w:rPr>
          <w:sz w:val="22"/>
          <w:szCs w:val="22"/>
        </w:rPr>
        <w:t xml:space="preserve"> </w:t>
      </w:r>
    </w:p>
    <w:p w14:paraId="56324823" w14:textId="5CBF4A47" w:rsidR="003307FB" w:rsidRPr="00FD20BD" w:rsidRDefault="00A6721C" w:rsidP="00FD20BD">
      <w:pPr>
        <w:pStyle w:val="Heading1"/>
        <w:spacing w:line="360" w:lineRule="auto"/>
        <w:rPr>
          <w:sz w:val="22"/>
          <w:szCs w:val="22"/>
        </w:rPr>
      </w:pPr>
      <w:bookmarkStart w:id="10" w:name="_Toc236777632"/>
      <w:r w:rsidRPr="00FD20BD">
        <w:rPr>
          <w:sz w:val="22"/>
          <w:szCs w:val="22"/>
        </w:rPr>
        <w:t xml:space="preserve">5.2 </w:t>
      </w:r>
      <w:r w:rsidR="003307FB" w:rsidRPr="00FD20BD">
        <w:rPr>
          <w:sz w:val="22"/>
          <w:szCs w:val="22"/>
        </w:rPr>
        <w:t>London's Skills</w:t>
      </w:r>
      <w:r w:rsidRPr="00FD20BD">
        <w:rPr>
          <w:sz w:val="22"/>
          <w:szCs w:val="22"/>
        </w:rPr>
        <w:t xml:space="preserve"> Programme</w:t>
      </w:r>
      <w:bookmarkEnd w:id="10"/>
    </w:p>
    <w:p w14:paraId="5618AFB2" w14:textId="4CC439A2" w:rsidR="00394EAE" w:rsidRPr="00394EAE" w:rsidRDefault="00394EAE" w:rsidP="00394EAE">
      <w:pPr>
        <w:spacing w:line="360" w:lineRule="auto"/>
        <w:jc w:val="both"/>
        <w:rPr>
          <w:sz w:val="22"/>
          <w:szCs w:val="22"/>
        </w:rPr>
      </w:pPr>
      <w:r w:rsidRPr="00394EAE">
        <w:rPr>
          <w:sz w:val="22"/>
          <w:szCs w:val="22"/>
        </w:rPr>
        <w:t xml:space="preserve">A further London-based initiative aligned with SDG4 is the Mayor of London’s Skills for Londoners strategy, launched in 2018 following devolved control of the Adult Education Budget to expand lifelong learning access </w:t>
      </w:r>
      <w:r w:rsidR="00F05F71" w:rsidRPr="00F05F71">
        <w:rPr>
          <w:sz w:val="22"/>
          <w:szCs w:val="22"/>
        </w:rPr>
        <w:t>(London City Hall, 2022)</w:t>
      </w:r>
      <w:r w:rsidR="00D109B7">
        <w:rPr>
          <w:sz w:val="22"/>
          <w:szCs w:val="22"/>
        </w:rPr>
        <w:t xml:space="preserve">. </w:t>
      </w:r>
      <w:r w:rsidRPr="00394EAE">
        <w:rPr>
          <w:sz w:val="22"/>
          <w:szCs w:val="22"/>
        </w:rPr>
        <w:t>It introduced needs-based funding to support disadvantaged learners regardless of location</w:t>
      </w:r>
      <w:r w:rsidR="00DE5A73">
        <w:rPr>
          <w:sz w:val="22"/>
          <w:szCs w:val="22"/>
        </w:rPr>
        <w:t>.</w:t>
      </w:r>
      <w:r w:rsidRPr="00394EAE">
        <w:rPr>
          <w:sz w:val="22"/>
          <w:szCs w:val="22"/>
        </w:rPr>
        <w:t xml:space="preserve"> This developed into the £147.2 million Inclusive Talent Strategy, jointly led with London Councils, supporting disabled people, refugees, older workers, and ethnic minorities to address labour market </w:t>
      </w:r>
      <w:r w:rsidR="00D53DC9" w:rsidRPr="00394EAE">
        <w:rPr>
          <w:sz w:val="22"/>
          <w:szCs w:val="22"/>
        </w:rPr>
        <w:t xml:space="preserve">inequalities </w:t>
      </w:r>
      <w:r w:rsidR="00D53DC9">
        <w:rPr>
          <w:sz w:val="22"/>
          <w:szCs w:val="22"/>
        </w:rPr>
        <w:t>(</w:t>
      </w:r>
      <w:r w:rsidR="00DE5DE1" w:rsidRPr="00DE5DE1">
        <w:rPr>
          <w:sz w:val="22"/>
          <w:szCs w:val="22"/>
        </w:rPr>
        <w:t>London Councils, 2025)</w:t>
      </w:r>
      <w:r w:rsidR="00DE5DE1">
        <w:rPr>
          <w:sz w:val="22"/>
          <w:szCs w:val="22"/>
        </w:rPr>
        <w:t xml:space="preserve">. </w:t>
      </w:r>
      <w:r w:rsidRPr="00394EAE">
        <w:rPr>
          <w:sz w:val="22"/>
          <w:szCs w:val="22"/>
        </w:rPr>
        <w:t>However, ongoing literacy and numeracy gaps indicate that effective implementation, employer involvement, and coordination remain essential.</w:t>
      </w:r>
    </w:p>
    <w:p w14:paraId="0C191B61" w14:textId="78EFD5C7" w:rsidR="00394EAE" w:rsidRPr="00394EAE" w:rsidRDefault="009E0DD0" w:rsidP="00394EAE">
      <w:pPr>
        <w:spacing w:line="360" w:lineRule="auto"/>
        <w:jc w:val="both"/>
        <w:rPr>
          <w:sz w:val="22"/>
          <w:szCs w:val="22"/>
        </w:rPr>
      </w:pPr>
      <w:r w:rsidRPr="009E0DD0">
        <w:rPr>
          <w:sz w:val="22"/>
          <w:szCs w:val="22"/>
        </w:rPr>
        <w:t>To enhance the effectiveness of the Skills for Londoners strategy, continued investment should prioritise targeted literacy and numeracy programmes, stronger employer partnerships, and improved cross-sector coordination to ensure disadvantaged groups achieve sustainable access to education and employment opportunities</w:t>
      </w:r>
      <w:r w:rsidR="005203CF">
        <w:rPr>
          <w:sz w:val="22"/>
          <w:szCs w:val="22"/>
        </w:rPr>
        <w:t xml:space="preserve"> </w:t>
      </w:r>
      <w:r w:rsidR="005203CF" w:rsidRPr="005203CF">
        <w:rPr>
          <w:sz w:val="22"/>
          <w:szCs w:val="22"/>
        </w:rPr>
        <w:t>(Ginsburg, 2022)</w:t>
      </w:r>
      <w:r w:rsidRPr="009E0DD0">
        <w:rPr>
          <w:sz w:val="22"/>
          <w:szCs w:val="22"/>
        </w:rPr>
        <w:t>.</w:t>
      </w:r>
    </w:p>
    <w:p w14:paraId="624F4DD2" w14:textId="0DF1C591" w:rsidR="00C61CC4" w:rsidRPr="00FD20BD" w:rsidRDefault="00FE5EE2" w:rsidP="00FD20BD">
      <w:pPr>
        <w:pStyle w:val="Heading1"/>
        <w:spacing w:line="360" w:lineRule="auto"/>
        <w:rPr>
          <w:sz w:val="22"/>
          <w:szCs w:val="22"/>
        </w:rPr>
      </w:pPr>
      <w:bookmarkStart w:id="11" w:name="_Toc236777633"/>
      <w:r w:rsidRPr="00FD20BD">
        <w:rPr>
          <w:sz w:val="22"/>
          <w:szCs w:val="22"/>
        </w:rPr>
        <w:t xml:space="preserve">6 </w:t>
      </w:r>
      <w:r w:rsidR="0008091D" w:rsidRPr="00FD20BD">
        <w:rPr>
          <w:sz w:val="22"/>
          <w:szCs w:val="22"/>
        </w:rPr>
        <w:t>Conclusion</w:t>
      </w:r>
      <w:bookmarkEnd w:id="11"/>
    </w:p>
    <w:p w14:paraId="502E6CEC" w14:textId="785C35C1" w:rsidR="00A17420" w:rsidRDefault="001A3DAC" w:rsidP="00FD20BD">
      <w:pPr>
        <w:spacing w:line="360" w:lineRule="auto"/>
        <w:jc w:val="both"/>
        <w:rPr>
          <w:sz w:val="22"/>
          <w:szCs w:val="22"/>
        </w:rPr>
      </w:pPr>
      <w:r w:rsidRPr="00FD20BD">
        <w:rPr>
          <w:sz w:val="22"/>
          <w:szCs w:val="22"/>
        </w:rPr>
        <w:t>SDGs 3 and 4 are not different programs. They both reflect the same outcome: a population that is sufficiently healthy to study and educated enough to remain healthy. Global evidence shows significant but inconsistent success, with reductions in maternal and child mortality accompanied by ongoing obstacles in reaching universal health coverage and regaining educational deficits. National policies in England and Wales reflect great ambition through legislation, investment, and enhanced accountability, yet evidence from the Marmot Review and the Future Generations Commissioner suggests that health inequities continue. Finally, long-term growth will depend on effective local implementation, in which health boards, schools, and councils collaborate to address community needs. Strengthening partnerships, preventive, and equitable resource allocation is the most practical method to improve health and education results before 2030.</w:t>
      </w:r>
    </w:p>
    <w:p w14:paraId="69EC65CD" w14:textId="77777777" w:rsidR="00F80AA6" w:rsidRDefault="00F80AA6" w:rsidP="00FD20BD">
      <w:pPr>
        <w:spacing w:line="360" w:lineRule="auto"/>
        <w:jc w:val="both"/>
        <w:rPr>
          <w:sz w:val="22"/>
          <w:szCs w:val="22"/>
        </w:rPr>
      </w:pPr>
    </w:p>
    <w:p w14:paraId="008B25CC" w14:textId="77777777" w:rsidR="00F80AA6" w:rsidRDefault="00F80AA6" w:rsidP="00FD20BD">
      <w:pPr>
        <w:spacing w:line="360" w:lineRule="auto"/>
        <w:jc w:val="both"/>
        <w:rPr>
          <w:sz w:val="22"/>
          <w:szCs w:val="22"/>
        </w:rPr>
      </w:pPr>
    </w:p>
    <w:p w14:paraId="7B550951" w14:textId="77777777" w:rsidR="008063E9" w:rsidRDefault="008063E9" w:rsidP="00FB01E6">
      <w:pPr>
        <w:pStyle w:val="Heading1"/>
        <w:rPr>
          <w:sz w:val="22"/>
          <w:szCs w:val="22"/>
        </w:rPr>
      </w:pPr>
    </w:p>
    <w:p w14:paraId="04154C7A" w14:textId="77777777" w:rsidR="008063E9" w:rsidRDefault="008063E9" w:rsidP="00FB01E6">
      <w:pPr>
        <w:pStyle w:val="Heading1"/>
        <w:rPr>
          <w:sz w:val="22"/>
          <w:szCs w:val="22"/>
        </w:rPr>
      </w:pPr>
    </w:p>
    <w:p w14:paraId="051E7A0A" w14:textId="77777777" w:rsidR="00EC3020" w:rsidRDefault="00EC3020" w:rsidP="00FB01E6">
      <w:pPr>
        <w:pStyle w:val="Heading1"/>
        <w:rPr>
          <w:sz w:val="22"/>
          <w:szCs w:val="22"/>
        </w:rPr>
      </w:pPr>
    </w:p>
    <w:p w14:paraId="3F84EADD" w14:textId="00B6EFE9" w:rsidR="00C61CC4" w:rsidRPr="00F60F16" w:rsidRDefault="0008091D" w:rsidP="00FB01E6">
      <w:pPr>
        <w:pStyle w:val="Heading1"/>
        <w:rPr>
          <w:sz w:val="22"/>
          <w:szCs w:val="22"/>
        </w:rPr>
      </w:pPr>
      <w:bookmarkStart w:id="12" w:name="_Toc236777634"/>
      <w:r w:rsidRPr="00F60F16">
        <w:rPr>
          <w:sz w:val="22"/>
          <w:szCs w:val="22"/>
        </w:rPr>
        <w:lastRenderedPageBreak/>
        <w:t>Reference List</w:t>
      </w:r>
      <w:bookmarkEnd w:id="12"/>
    </w:p>
    <w:p w14:paraId="5BA11E25" w14:textId="0060EB0A" w:rsidR="00F93E4B" w:rsidRPr="00F93E4B" w:rsidRDefault="00F93E4B" w:rsidP="006B0236">
      <w:pPr>
        <w:spacing w:after="160" w:line="360" w:lineRule="auto"/>
        <w:rPr>
          <w:sz w:val="22"/>
          <w:szCs w:val="22"/>
        </w:rPr>
      </w:pPr>
      <w:r w:rsidRPr="00F93E4B">
        <w:rPr>
          <w:sz w:val="22"/>
          <w:szCs w:val="22"/>
        </w:rPr>
        <w:t xml:space="preserve">Alban Conto, C., </w:t>
      </w:r>
      <w:proofErr w:type="spellStart"/>
      <w:r w:rsidRPr="00F93E4B">
        <w:rPr>
          <w:sz w:val="22"/>
          <w:szCs w:val="22"/>
        </w:rPr>
        <w:t>Akseer</w:t>
      </w:r>
      <w:proofErr w:type="spellEnd"/>
      <w:r w:rsidRPr="00F93E4B">
        <w:rPr>
          <w:sz w:val="22"/>
          <w:szCs w:val="22"/>
        </w:rPr>
        <w:t xml:space="preserve">, S., Dreesen, T., Kamei, A., </w:t>
      </w:r>
      <w:proofErr w:type="spellStart"/>
      <w:r w:rsidRPr="00F93E4B">
        <w:rPr>
          <w:sz w:val="22"/>
          <w:szCs w:val="22"/>
        </w:rPr>
        <w:t>Mizunoya</w:t>
      </w:r>
      <w:proofErr w:type="spellEnd"/>
      <w:r w:rsidRPr="00F93E4B">
        <w:rPr>
          <w:sz w:val="22"/>
          <w:szCs w:val="22"/>
        </w:rPr>
        <w:t xml:space="preserve">, S. and </w:t>
      </w:r>
      <w:proofErr w:type="spellStart"/>
      <w:r w:rsidRPr="00F93E4B">
        <w:rPr>
          <w:sz w:val="22"/>
          <w:szCs w:val="22"/>
        </w:rPr>
        <w:t>Rigole</w:t>
      </w:r>
      <w:proofErr w:type="spellEnd"/>
      <w:r w:rsidRPr="00F93E4B">
        <w:rPr>
          <w:sz w:val="22"/>
          <w:szCs w:val="22"/>
        </w:rPr>
        <w:t xml:space="preserve">, A. (2021) ‘Potential effects of covid-19 school closures on foundational skills and country responses for mitigating learning loss; </w:t>
      </w:r>
      <w:r w:rsidRPr="00F93E4B">
        <w:rPr>
          <w:i/>
          <w:iCs/>
          <w:sz w:val="22"/>
          <w:szCs w:val="22"/>
        </w:rPr>
        <w:t>International Journal of Educational Development</w:t>
      </w:r>
      <w:r w:rsidRPr="00F93E4B">
        <w:rPr>
          <w:sz w:val="22"/>
          <w:szCs w:val="22"/>
        </w:rPr>
        <w:t>, 87, p.102434.</w:t>
      </w:r>
      <w:r w:rsidR="00CF5848">
        <w:rPr>
          <w:sz w:val="22"/>
          <w:szCs w:val="22"/>
        </w:rPr>
        <w:t xml:space="preserve"> </w:t>
      </w:r>
      <w:r w:rsidRPr="00F93E4B">
        <w:rPr>
          <w:sz w:val="22"/>
          <w:szCs w:val="22"/>
        </w:rPr>
        <w:t xml:space="preserve">Available at </w:t>
      </w:r>
      <w:hyperlink r:id="rId10" w:history="1">
        <w:r w:rsidRPr="00F93E4B">
          <w:rPr>
            <w:rStyle w:val="Hyperlink"/>
            <w:sz w:val="22"/>
            <w:szCs w:val="22"/>
          </w:rPr>
          <w:t>https://doi:10.1016/j.ijedudev.2021.102434</w:t>
        </w:r>
      </w:hyperlink>
      <w:r w:rsidRPr="00F93E4B">
        <w:rPr>
          <w:sz w:val="22"/>
          <w:szCs w:val="22"/>
        </w:rPr>
        <w:t xml:space="preserve">.      </w:t>
      </w:r>
    </w:p>
    <w:p w14:paraId="4F0E668E" w14:textId="77777777" w:rsidR="00F93E4B" w:rsidRPr="00F93E4B" w:rsidRDefault="00F93E4B" w:rsidP="00321DE3">
      <w:pPr>
        <w:spacing w:after="160" w:line="360" w:lineRule="auto"/>
        <w:rPr>
          <w:sz w:val="22"/>
          <w:szCs w:val="22"/>
        </w:rPr>
      </w:pPr>
      <w:proofErr w:type="spellStart"/>
      <w:r w:rsidRPr="00F93E4B">
        <w:rPr>
          <w:sz w:val="22"/>
          <w:szCs w:val="22"/>
        </w:rPr>
        <w:t>Alderwick</w:t>
      </w:r>
      <w:proofErr w:type="spellEnd"/>
      <w:r w:rsidRPr="00F93E4B">
        <w:rPr>
          <w:sz w:val="22"/>
          <w:szCs w:val="22"/>
        </w:rPr>
        <w:t xml:space="preserve">, H., Hutchings, A. and Mays, N. (2024) Cross-sector collaboration to reduce health inequalities: A qualitative study of local collaboration between health care, social services, and other sectors under health system reforms in </w:t>
      </w:r>
      <w:proofErr w:type="spellStart"/>
      <w:r w:rsidRPr="00F93E4B">
        <w:rPr>
          <w:sz w:val="22"/>
          <w:szCs w:val="22"/>
        </w:rPr>
        <w:t>england</w:t>
      </w:r>
      <w:proofErr w:type="spellEnd"/>
      <w:r w:rsidRPr="00F93E4B">
        <w:rPr>
          <w:sz w:val="22"/>
          <w:szCs w:val="22"/>
        </w:rPr>
        <w:t xml:space="preserve">. </w:t>
      </w:r>
      <w:r w:rsidRPr="00F93E4B">
        <w:rPr>
          <w:i/>
          <w:iCs/>
          <w:sz w:val="22"/>
          <w:szCs w:val="22"/>
        </w:rPr>
        <w:t xml:space="preserve">BMC Public </w:t>
      </w:r>
      <w:proofErr w:type="gramStart"/>
      <w:r w:rsidRPr="00F93E4B">
        <w:rPr>
          <w:i/>
          <w:iCs/>
          <w:sz w:val="22"/>
          <w:szCs w:val="22"/>
        </w:rPr>
        <w:t>Health</w:t>
      </w:r>
      <w:r w:rsidRPr="00F93E4B">
        <w:rPr>
          <w:sz w:val="22"/>
          <w:szCs w:val="22"/>
        </w:rPr>
        <w:t>,  24</w:t>
      </w:r>
      <w:proofErr w:type="gramEnd"/>
      <w:r w:rsidRPr="00F93E4B">
        <w:rPr>
          <w:sz w:val="22"/>
          <w:szCs w:val="22"/>
        </w:rPr>
        <w:t xml:space="preserve">(1), pp.1–19. Available at: </w:t>
      </w:r>
      <w:hyperlink r:id="rId11" w:history="1">
        <w:r w:rsidRPr="00F93E4B">
          <w:rPr>
            <w:rStyle w:val="Hyperlink"/>
            <w:sz w:val="22"/>
            <w:szCs w:val="22"/>
          </w:rPr>
          <w:t>https://bmcpublichealth.biomedcentral.com/articles/10.1186/s12889-024-20089-5</w:t>
        </w:r>
      </w:hyperlink>
      <w:r w:rsidRPr="00F93E4B">
        <w:rPr>
          <w:sz w:val="22"/>
          <w:szCs w:val="22"/>
        </w:rPr>
        <w:t xml:space="preserve">  (Accessed 4 August 2026).</w:t>
      </w:r>
    </w:p>
    <w:p w14:paraId="76812BC0" w14:textId="77777777" w:rsidR="00F93E4B" w:rsidRDefault="00F93E4B" w:rsidP="006B0236">
      <w:pPr>
        <w:spacing w:after="160" w:line="360" w:lineRule="auto"/>
        <w:rPr>
          <w:sz w:val="22"/>
          <w:szCs w:val="22"/>
        </w:rPr>
      </w:pPr>
      <w:proofErr w:type="spellStart"/>
      <w:r w:rsidRPr="00F93E4B">
        <w:rPr>
          <w:sz w:val="22"/>
          <w:szCs w:val="22"/>
        </w:rPr>
        <w:t>Arsyllfa</w:t>
      </w:r>
      <w:proofErr w:type="spellEnd"/>
      <w:r w:rsidRPr="00F93E4B">
        <w:rPr>
          <w:sz w:val="22"/>
          <w:szCs w:val="22"/>
        </w:rPr>
        <w:t xml:space="preserve"> Cymru (2025) </w:t>
      </w:r>
      <w:r w:rsidRPr="00F93E4B">
        <w:rPr>
          <w:i/>
          <w:iCs/>
          <w:sz w:val="22"/>
          <w:szCs w:val="22"/>
        </w:rPr>
        <w:t xml:space="preserve">Future generations report 2025 launched - </w:t>
      </w:r>
      <w:proofErr w:type="spellStart"/>
      <w:r w:rsidRPr="00F93E4B">
        <w:rPr>
          <w:i/>
          <w:iCs/>
          <w:sz w:val="22"/>
          <w:szCs w:val="22"/>
        </w:rPr>
        <w:t>arsyllfa</w:t>
      </w:r>
      <w:proofErr w:type="spellEnd"/>
      <w:r w:rsidRPr="00F93E4B">
        <w:rPr>
          <w:i/>
          <w:iCs/>
          <w:sz w:val="22"/>
          <w:szCs w:val="22"/>
        </w:rPr>
        <w:t xml:space="preserve"> - supporting the </w:t>
      </w:r>
      <w:proofErr w:type="spellStart"/>
      <w:r w:rsidRPr="00F93E4B">
        <w:rPr>
          <w:i/>
          <w:iCs/>
          <w:sz w:val="22"/>
          <w:szCs w:val="22"/>
        </w:rPr>
        <w:t>welsh</w:t>
      </w:r>
      <w:proofErr w:type="spellEnd"/>
      <w:r w:rsidRPr="00F93E4B">
        <w:rPr>
          <w:i/>
          <w:iCs/>
          <w:sz w:val="22"/>
          <w:szCs w:val="22"/>
        </w:rPr>
        <w:t xml:space="preserve"> rural economy</w:t>
      </w:r>
      <w:r w:rsidRPr="00F93E4B">
        <w:rPr>
          <w:sz w:val="22"/>
          <w:szCs w:val="22"/>
        </w:rPr>
        <w:t xml:space="preserve">.  </w:t>
      </w:r>
      <w:proofErr w:type="spellStart"/>
      <w:r w:rsidRPr="00F93E4B">
        <w:rPr>
          <w:sz w:val="22"/>
          <w:szCs w:val="22"/>
        </w:rPr>
        <w:t>Arsyllfa</w:t>
      </w:r>
      <w:proofErr w:type="spellEnd"/>
      <w:r w:rsidRPr="00F93E4B">
        <w:rPr>
          <w:sz w:val="22"/>
          <w:szCs w:val="22"/>
        </w:rPr>
        <w:t xml:space="preserve">. Available at: </w:t>
      </w:r>
      <w:hyperlink r:id="rId12" w:history="1">
        <w:r w:rsidRPr="00F93E4B">
          <w:rPr>
            <w:rStyle w:val="Hyperlink"/>
            <w:sz w:val="22"/>
            <w:szCs w:val="22"/>
          </w:rPr>
          <w:t>https://arsyllfa.cymru/future-generations-report-2025-launched/</w:t>
        </w:r>
      </w:hyperlink>
      <w:r w:rsidRPr="00F93E4B">
        <w:rPr>
          <w:sz w:val="22"/>
          <w:szCs w:val="22"/>
        </w:rPr>
        <w:t xml:space="preserve">  (Accessed 21 July 2026).</w:t>
      </w:r>
    </w:p>
    <w:p w14:paraId="4C537362" w14:textId="59CE13F9" w:rsidR="00A447C7" w:rsidRPr="00F93E4B" w:rsidRDefault="00A447C7" w:rsidP="006B0236">
      <w:pPr>
        <w:spacing w:after="160" w:line="360" w:lineRule="auto"/>
        <w:rPr>
          <w:sz w:val="22"/>
          <w:szCs w:val="22"/>
        </w:rPr>
      </w:pPr>
      <w:r w:rsidRPr="00A447C7">
        <w:rPr>
          <w:sz w:val="22"/>
          <w:szCs w:val="22"/>
        </w:rPr>
        <w:t xml:space="preserve">Baker, C., Hutton, G., Christie, L. and Wright, S. (2020) </w:t>
      </w:r>
      <w:r w:rsidR="0059222B">
        <w:rPr>
          <w:sz w:val="22"/>
          <w:szCs w:val="22"/>
        </w:rPr>
        <w:t>‘</w:t>
      </w:r>
      <w:r w:rsidRPr="00A447C7">
        <w:rPr>
          <w:sz w:val="22"/>
          <w:szCs w:val="22"/>
        </w:rPr>
        <w:t>COVID-19 and the digital divide</w:t>
      </w:r>
      <w:r w:rsidR="0059222B">
        <w:rPr>
          <w:sz w:val="22"/>
          <w:szCs w:val="22"/>
        </w:rPr>
        <w:t>;</w:t>
      </w:r>
      <w:r w:rsidRPr="00A447C7">
        <w:rPr>
          <w:sz w:val="22"/>
          <w:szCs w:val="22"/>
        </w:rPr>
        <w:t xml:space="preserve"> </w:t>
      </w:r>
      <w:r w:rsidRPr="00A447C7">
        <w:rPr>
          <w:i/>
          <w:iCs/>
          <w:sz w:val="22"/>
          <w:szCs w:val="22"/>
        </w:rPr>
        <w:t>UK Parliament</w:t>
      </w:r>
      <w:r w:rsidRPr="00A447C7">
        <w:rPr>
          <w:sz w:val="22"/>
          <w:szCs w:val="22"/>
        </w:rPr>
        <w:t xml:space="preserve">. </w:t>
      </w:r>
      <w:r w:rsidR="00E80510">
        <w:rPr>
          <w:sz w:val="22"/>
          <w:szCs w:val="22"/>
        </w:rPr>
        <w:t xml:space="preserve">Available at: </w:t>
      </w:r>
      <w:hyperlink r:id="rId13" w:history="1">
        <w:r w:rsidR="00E80510" w:rsidRPr="00AD4DD0">
          <w:rPr>
            <w:rStyle w:val="Hyperlink"/>
            <w:sz w:val="22"/>
            <w:szCs w:val="22"/>
          </w:rPr>
          <w:t>https://</w:t>
        </w:r>
        <w:r w:rsidR="00E80510" w:rsidRPr="00AD4DD0">
          <w:rPr>
            <w:rStyle w:val="Hyperlink"/>
            <w:sz w:val="22"/>
            <w:szCs w:val="22"/>
          </w:rPr>
          <w:t>doi:https://doi.org/10.58248/RR56</w:t>
        </w:r>
      </w:hyperlink>
      <w:r w:rsidRPr="00A447C7">
        <w:rPr>
          <w:sz w:val="22"/>
          <w:szCs w:val="22"/>
        </w:rPr>
        <w:t>.</w:t>
      </w:r>
      <w:r w:rsidR="00E80510">
        <w:rPr>
          <w:sz w:val="22"/>
          <w:szCs w:val="22"/>
        </w:rPr>
        <w:t xml:space="preserve"> </w:t>
      </w:r>
    </w:p>
    <w:p w14:paraId="5478609B" w14:textId="77777777" w:rsidR="00F93E4B" w:rsidRPr="00F93E4B" w:rsidRDefault="00F93E4B" w:rsidP="006B0236">
      <w:pPr>
        <w:spacing w:after="200" w:line="360" w:lineRule="auto"/>
        <w:rPr>
          <w:sz w:val="22"/>
          <w:szCs w:val="22"/>
        </w:rPr>
      </w:pPr>
      <w:r w:rsidRPr="00F93E4B">
        <w:rPr>
          <w:sz w:val="22"/>
          <w:szCs w:val="22"/>
        </w:rPr>
        <w:t xml:space="preserve">Cao, G., Liu, J. and Liu, M. (2025) ‘Countdown 2030: Trends in neonatal mortality between 1990 and 2023 with projections towards Sustainable Development Goal target 3.2 at the global, regional, and national levels; </w:t>
      </w:r>
      <w:r w:rsidRPr="00F93E4B">
        <w:rPr>
          <w:i/>
          <w:iCs/>
          <w:sz w:val="22"/>
          <w:szCs w:val="22"/>
        </w:rPr>
        <w:t>International Journal of Surgery (London, England)</w:t>
      </w:r>
      <w:r w:rsidRPr="00F93E4B">
        <w:rPr>
          <w:sz w:val="22"/>
          <w:szCs w:val="22"/>
        </w:rPr>
        <w:t xml:space="preserve">. Available at: </w:t>
      </w:r>
      <w:hyperlink r:id="rId14" w:history="1">
        <w:r w:rsidRPr="00F93E4B">
          <w:rPr>
            <w:rStyle w:val="Hyperlink"/>
            <w:sz w:val="22"/>
            <w:szCs w:val="22"/>
          </w:rPr>
          <w:t>https://doi.org/10.1097/JS9.0000000000003131</w:t>
        </w:r>
      </w:hyperlink>
      <w:r w:rsidRPr="00F93E4B">
        <w:rPr>
          <w:sz w:val="22"/>
          <w:szCs w:val="22"/>
        </w:rPr>
        <w:t>.</w:t>
      </w:r>
    </w:p>
    <w:p w14:paraId="291EFDE4" w14:textId="77777777" w:rsidR="00F93E4B" w:rsidRPr="00F93E4B" w:rsidRDefault="00F93E4B" w:rsidP="006B0236">
      <w:pPr>
        <w:spacing w:after="160" w:line="360" w:lineRule="auto"/>
        <w:ind w:left="720" w:hanging="720"/>
        <w:rPr>
          <w:sz w:val="22"/>
          <w:szCs w:val="22"/>
        </w:rPr>
      </w:pPr>
      <w:r w:rsidRPr="00F93E4B">
        <w:rPr>
          <w:sz w:val="22"/>
          <w:szCs w:val="22"/>
        </w:rPr>
        <w:t xml:space="preserve">Carvalho, L., Almeida, D., </w:t>
      </w:r>
      <w:proofErr w:type="spellStart"/>
      <w:r w:rsidRPr="00F93E4B">
        <w:rPr>
          <w:sz w:val="22"/>
          <w:szCs w:val="22"/>
        </w:rPr>
        <w:t>Loures</w:t>
      </w:r>
      <w:proofErr w:type="spellEnd"/>
      <w:r w:rsidRPr="00F93E4B">
        <w:rPr>
          <w:sz w:val="22"/>
          <w:szCs w:val="22"/>
        </w:rPr>
        <w:t xml:space="preserve">, A., Ferreira, P. and </w:t>
      </w:r>
      <w:proofErr w:type="spellStart"/>
      <w:r w:rsidRPr="00F93E4B">
        <w:rPr>
          <w:sz w:val="22"/>
          <w:szCs w:val="22"/>
        </w:rPr>
        <w:t>Rebola</w:t>
      </w:r>
      <w:proofErr w:type="spellEnd"/>
      <w:r w:rsidRPr="00F93E4B">
        <w:rPr>
          <w:sz w:val="22"/>
          <w:szCs w:val="22"/>
        </w:rPr>
        <w:t xml:space="preserve">, F. (2024) ‘Quality education for all: A fuzzy set analysis of sustainable development goal compliance; </w:t>
      </w:r>
      <w:r w:rsidRPr="00F93E4B">
        <w:rPr>
          <w:i/>
          <w:iCs/>
          <w:sz w:val="22"/>
          <w:szCs w:val="22"/>
        </w:rPr>
        <w:t>Sustainability</w:t>
      </w:r>
      <w:r w:rsidRPr="00F93E4B">
        <w:rPr>
          <w:sz w:val="22"/>
          <w:szCs w:val="22"/>
        </w:rPr>
        <w:t xml:space="preserve">, 16(12), p.5218.Available at: </w:t>
      </w:r>
      <w:hyperlink r:id="rId15" w:history="1">
        <w:r w:rsidRPr="00F93E4B">
          <w:rPr>
            <w:rStyle w:val="Hyperlink"/>
            <w:sz w:val="22"/>
            <w:szCs w:val="22"/>
          </w:rPr>
          <w:t>https://doi:10.3390/su16125218</w:t>
        </w:r>
      </w:hyperlink>
      <w:r w:rsidRPr="00F93E4B">
        <w:rPr>
          <w:sz w:val="22"/>
          <w:szCs w:val="22"/>
        </w:rPr>
        <w:t xml:space="preserve">.    </w:t>
      </w:r>
    </w:p>
    <w:p w14:paraId="24FED6AB" w14:textId="77777777" w:rsidR="00F93E4B" w:rsidRPr="00F93E4B" w:rsidRDefault="00F93E4B" w:rsidP="006B0236">
      <w:pPr>
        <w:spacing w:after="160" w:line="360" w:lineRule="auto"/>
        <w:ind w:left="720" w:hanging="720"/>
        <w:rPr>
          <w:sz w:val="22"/>
          <w:szCs w:val="22"/>
        </w:rPr>
      </w:pPr>
      <w:r w:rsidRPr="00F93E4B">
        <w:rPr>
          <w:sz w:val="22"/>
          <w:szCs w:val="22"/>
        </w:rPr>
        <w:t xml:space="preserve">Corris, V. </w:t>
      </w:r>
      <w:r w:rsidRPr="00F93E4B">
        <w:rPr>
          <w:i/>
          <w:iCs/>
          <w:sz w:val="22"/>
          <w:szCs w:val="22"/>
        </w:rPr>
        <w:t>et al.</w:t>
      </w:r>
      <w:r w:rsidRPr="00F93E4B">
        <w:rPr>
          <w:sz w:val="22"/>
          <w:szCs w:val="22"/>
        </w:rPr>
        <w:t xml:space="preserve"> (2020) ‘Health inequalities are worsening in the Northeast of England; </w:t>
      </w:r>
      <w:r w:rsidRPr="00F93E4B">
        <w:rPr>
          <w:i/>
          <w:iCs/>
          <w:sz w:val="22"/>
          <w:szCs w:val="22"/>
        </w:rPr>
        <w:t>British medical bulletin</w:t>
      </w:r>
      <w:r w:rsidRPr="00F93E4B">
        <w:rPr>
          <w:sz w:val="22"/>
          <w:szCs w:val="22"/>
        </w:rPr>
        <w:t xml:space="preserve">, 134(1), pp. 63–72. Available at: </w:t>
      </w:r>
      <w:hyperlink r:id="rId16" w:history="1">
        <w:r w:rsidRPr="00F93E4B">
          <w:rPr>
            <w:rStyle w:val="Hyperlink"/>
            <w:sz w:val="22"/>
            <w:szCs w:val="22"/>
          </w:rPr>
          <w:t>https://doi.org/10.1093/bmb/ldaa008</w:t>
        </w:r>
      </w:hyperlink>
      <w:r w:rsidRPr="00F93E4B">
        <w:rPr>
          <w:sz w:val="22"/>
          <w:szCs w:val="22"/>
        </w:rPr>
        <w:t xml:space="preserve">. </w:t>
      </w:r>
    </w:p>
    <w:p w14:paraId="5F7E127F" w14:textId="77777777" w:rsidR="00F93E4B" w:rsidRPr="00F93E4B" w:rsidRDefault="00F93E4B" w:rsidP="006B0236">
      <w:pPr>
        <w:spacing w:after="160" w:line="360" w:lineRule="auto"/>
        <w:ind w:left="720" w:hanging="720"/>
        <w:rPr>
          <w:sz w:val="22"/>
          <w:szCs w:val="22"/>
        </w:rPr>
      </w:pPr>
      <w:r w:rsidRPr="00F93E4B">
        <w:rPr>
          <w:sz w:val="22"/>
          <w:szCs w:val="22"/>
        </w:rPr>
        <w:t xml:space="preserve">Davies, H. (2016) ‘The well-being of future generations (Wales) act 2015; </w:t>
      </w:r>
      <w:r w:rsidRPr="00F93E4B">
        <w:rPr>
          <w:i/>
          <w:iCs/>
          <w:sz w:val="22"/>
          <w:szCs w:val="22"/>
        </w:rPr>
        <w:t>Environmental Law Review</w:t>
      </w:r>
      <w:r w:rsidRPr="00F93E4B">
        <w:rPr>
          <w:sz w:val="22"/>
          <w:szCs w:val="22"/>
        </w:rPr>
        <w:t xml:space="preserve">, 18(1), pp.41–56. Available at </w:t>
      </w:r>
      <w:hyperlink r:id="rId17" w:history="1">
        <w:r w:rsidRPr="00F93E4B">
          <w:rPr>
            <w:rStyle w:val="Hyperlink"/>
            <w:sz w:val="22"/>
            <w:szCs w:val="22"/>
          </w:rPr>
          <w:t>https://doi:10.1177/1461452916631889</w:t>
        </w:r>
      </w:hyperlink>
      <w:r w:rsidRPr="00F93E4B">
        <w:rPr>
          <w:sz w:val="22"/>
          <w:szCs w:val="22"/>
        </w:rPr>
        <w:t xml:space="preserve">.    </w:t>
      </w:r>
    </w:p>
    <w:p w14:paraId="02986AB5" w14:textId="77777777" w:rsidR="00F93E4B" w:rsidRPr="00F93E4B" w:rsidRDefault="00F93E4B" w:rsidP="006B0236">
      <w:pPr>
        <w:spacing w:after="160" w:line="360" w:lineRule="auto"/>
        <w:ind w:left="720" w:hanging="720"/>
        <w:rPr>
          <w:sz w:val="22"/>
          <w:szCs w:val="22"/>
        </w:rPr>
      </w:pPr>
      <w:r w:rsidRPr="00F93E4B">
        <w:rPr>
          <w:sz w:val="22"/>
          <w:szCs w:val="22"/>
        </w:rPr>
        <w:t xml:space="preserve">Department of Health and Social Care (2025) </w:t>
      </w:r>
      <w:r w:rsidRPr="00F93E4B">
        <w:rPr>
          <w:i/>
          <w:iCs/>
          <w:sz w:val="22"/>
          <w:szCs w:val="22"/>
        </w:rPr>
        <w:t xml:space="preserve">Fit for the future: 10 Year health plan for </w:t>
      </w:r>
      <w:proofErr w:type="spellStart"/>
      <w:r w:rsidRPr="00F93E4B">
        <w:rPr>
          <w:i/>
          <w:iCs/>
          <w:sz w:val="22"/>
          <w:szCs w:val="22"/>
        </w:rPr>
        <w:t>england</w:t>
      </w:r>
      <w:proofErr w:type="spellEnd"/>
      <w:r w:rsidRPr="00F93E4B">
        <w:rPr>
          <w:i/>
          <w:iCs/>
          <w:sz w:val="22"/>
          <w:szCs w:val="22"/>
        </w:rPr>
        <w:t xml:space="preserve"> - executive summary</w:t>
      </w:r>
      <w:r w:rsidRPr="00F93E4B">
        <w:rPr>
          <w:sz w:val="22"/>
          <w:szCs w:val="22"/>
        </w:rPr>
        <w:t xml:space="preserve">.  Available at: </w:t>
      </w:r>
      <w:hyperlink r:id="rId18" w:history="1">
        <w:r w:rsidRPr="00F93E4B">
          <w:rPr>
            <w:rStyle w:val="Hyperlink"/>
            <w:sz w:val="22"/>
            <w:szCs w:val="22"/>
          </w:rPr>
          <w:t>https://www.gov.uk/government/publications/10-year-health-plan-for-england-fit-for-the-future/fit-for-the-future-10-year-health-plan-for-england-executive-summary</w:t>
        </w:r>
      </w:hyperlink>
      <w:r w:rsidRPr="00F93E4B">
        <w:rPr>
          <w:sz w:val="22"/>
          <w:szCs w:val="22"/>
        </w:rPr>
        <w:t xml:space="preserve">  (Accessed 21 July 2026).</w:t>
      </w:r>
    </w:p>
    <w:p w14:paraId="2C4249B1" w14:textId="77777777" w:rsidR="00F93E4B" w:rsidRPr="00F93E4B" w:rsidRDefault="00F93E4B" w:rsidP="006B0236">
      <w:pPr>
        <w:spacing w:after="160" w:line="360" w:lineRule="auto"/>
        <w:ind w:left="720" w:hanging="720"/>
        <w:rPr>
          <w:sz w:val="22"/>
          <w:szCs w:val="22"/>
        </w:rPr>
      </w:pPr>
      <w:r w:rsidRPr="00F93E4B">
        <w:rPr>
          <w:sz w:val="22"/>
          <w:szCs w:val="22"/>
        </w:rPr>
        <w:lastRenderedPageBreak/>
        <w:t xml:space="preserve">England, N. (2025) </w:t>
      </w:r>
      <w:r w:rsidRPr="00F93E4B">
        <w:rPr>
          <w:i/>
          <w:iCs/>
          <w:sz w:val="22"/>
          <w:szCs w:val="22"/>
        </w:rPr>
        <w:t xml:space="preserve">NHS </w:t>
      </w:r>
      <w:proofErr w:type="spellStart"/>
      <w:r w:rsidRPr="00F93E4B">
        <w:rPr>
          <w:i/>
          <w:iCs/>
          <w:sz w:val="22"/>
          <w:szCs w:val="22"/>
        </w:rPr>
        <w:t>england</w:t>
      </w:r>
      <w:proofErr w:type="spellEnd"/>
      <w:r w:rsidRPr="00F93E4B">
        <w:rPr>
          <w:i/>
          <w:iCs/>
          <w:sz w:val="22"/>
          <w:szCs w:val="22"/>
        </w:rPr>
        <w:t> » NHS publishes waiting list breakdowns to tackle health inequalities</w:t>
      </w:r>
      <w:r w:rsidRPr="00F93E4B">
        <w:rPr>
          <w:sz w:val="22"/>
          <w:szCs w:val="22"/>
        </w:rPr>
        <w:t xml:space="preserve">. </w:t>
      </w:r>
      <w:r w:rsidRPr="00F93E4B">
        <w:rPr>
          <w:i/>
          <w:iCs/>
          <w:sz w:val="22"/>
          <w:szCs w:val="22"/>
        </w:rPr>
        <w:t>England.nhs.uk</w:t>
      </w:r>
      <w:r w:rsidRPr="00F93E4B">
        <w:rPr>
          <w:sz w:val="22"/>
          <w:szCs w:val="22"/>
        </w:rPr>
        <w:t xml:space="preserve">. Available at: </w:t>
      </w:r>
      <w:hyperlink r:id="rId19" w:history="1">
        <w:r w:rsidRPr="00F93E4B">
          <w:rPr>
            <w:rStyle w:val="Hyperlink"/>
            <w:sz w:val="22"/>
            <w:szCs w:val="22"/>
          </w:rPr>
          <w:t>https://www.england.nhs.uk/2025/07/nhs-publishes-waiting-list-breakdowns-to-tackle-health-inequalities/</w:t>
        </w:r>
      </w:hyperlink>
      <w:r w:rsidRPr="00F93E4B">
        <w:rPr>
          <w:sz w:val="22"/>
          <w:szCs w:val="22"/>
        </w:rPr>
        <w:t xml:space="preserve">  (Accessed 21 July 2026).</w:t>
      </w:r>
    </w:p>
    <w:p w14:paraId="0611DE07" w14:textId="44C8AF23" w:rsidR="00F93E4B" w:rsidRPr="00F93E4B" w:rsidRDefault="00F93E4B" w:rsidP="006B0236">
      <w:pPr>
        <w:spacing w:after="160" w:line="360" w:lineRule="auto"/>
        <w:ind w:left="720" w:hanging="720"/>
        <w:rPr>
          <w:sz w:val="22"/>
          <w:szCs w:val="22"/>
        </w:rPr>
      </w:pPr>
      <w:r w:rsidRPr="00F93E4B">
        <w:rPr>
          <w:sz w:val="22"/>
          <w:szCs w:val="22"/>
        </w:rPr>
        <w:t xml:space="preserve">Fortune, K., Becerra-Posada, F., Buss, P., Galvão, L.A.C., Contreras, A., Murphy, M., Rogger, C., Keahon, G.E. and de Francisco, A. (2018) ‘Health promotion and the agenda for sustainable development, WHO region of the Americas; </w:t>
      </w:r>
      <w:r w:rsidRPr="00F93E4B">
        <w:rPr>
          <w:i/>
          <w:iCs/>
          <w:sz w:val="22"/>
          <w:szCs w:val="22"/>
        </w:rPr>
        <w:t>Bulletin of the world health organization</w:t>
      </w:r>
      <w:r w:rsidRPr="00F93E4B">
        <w:rPr>
          <w:sz w:val="22"/>
          <w:szCs w:val="22"/>
        </w:rPr>
        <w:t>, 96(9), pp.621–626. Available at</w:t>
      </w:r>
      <w:r w:rsidR="00CE37AA">
        <w:rPr>
          <w:sz w:val="22"/>
          <w:szCs w:val="22"/>
        </w:rPr>
        <w:t>:</w:t>
      </w:r>
      <w:r w:rsidRPr="00F93E4B">
        <w:rPr>
          <w:sz w:val="22"/>
          <w:szCs w:val="22"/>
        </w:rPr>
        <w:t xml:space="preserve"> </w:t>
      </w:r>
      <w:hyperlink r:id="rId20" w:history="1">
        <w:r w:rsidRPr="00F93E4B">
          <w:rPr>
            <w:rStyle w:val="Hyperlink"/>
            <w:sz w:val="22"/>
            <w:szCs w:val="22"/>
          </w:rPr>
          <w:t>https://doi:10.2471/blt.17.204404</w:t>
        </w:r>
      </w:hyperlink>
      <w:r w:rsidRPr="00F93E4B">
        <w:rPr>
          <w:sz w:val="22"/>
          <w:szCs w:val="22"/>
        </w:rPr>
        <w:t xml:space="preserve">. </w:t>
      </w:r>
    </w:p>
    <w:p w14:paraId="767F6B09" w14:textId="77777777" w:rsidR="00F93E4B" w:rsidRPr="00F93E4B" w:rsidRDefault="00F93E4B" w:rsidP="00C60735">
      <w:pPr>
        <w:spacing w:after="160" w:line="360" w:lineRule="auto"/>
        <w:ind w:left="720" w:hanging="720"/>
        <w:rPr>
          <w:sz w:val="22"/>
          <w:szCs w:val="22"/>
        </w:rPr>
      </w:pPr>
      <w:r w:rsidRPr="00F93E4B">
        <w:rPr>
          <w:sz w:val="22"/>
          <w:szCs w:val="22"/>
        </w:rPr>
        <w:t xml:space="preserve">Ginsburg, L. (2022) ‘Mathematical word problems in adult education: What the research says; </w:t>
      </w:r>
      <w:r w:rsidRPr="00F93E4B">
        <w:rPr>
          <w:i/>
          <w:iCs/>
          <w:sz w:val="22"/>
          <w:szCs w:val="22"/>
        </w:rPr>
        <w:t>Adult Literacy Education: The International Journal of Literacy, Language, and Numeracy</w:t>
      </w:r>
      <w:r w:rsidRPr="00F93E4B">
        <w:rPr>
          <w:sz w:val="22"/>
          <w:szCs w:val="22"/>
        </w:rPr>
        <w:t xml:space="preserve">, 4(3), pp.66–72. Available at: </w:t>
      </w:r>
      <w:hyperlink r:id="rId21" w:history="1">
        <w:r w:rsidRPr="00F93E4B">
          <w:rPr>
            <w:rStyle w:val="Hyperlink"/>
            <w:sz w:val="22"/>
            <w:szCs w:val="22"/>
          </w:rPr>
          <w:t>https://doi:10.35847/lginsburg.4.3.66</w:t>
        </w:r>
      </w:hyperlink>
      <w:r w:rsidRPr="00F93E4B">
        <w:rPr>
          <w:sz w:val="22"/>
          <w:szCs w:val="22"/>
        </w:rPr>
        <w:t xml:space="preserve">. </w:t>
      </w:r>
    </w:p>
    <w:p w14:paraId="113A36D4" w14:textId="77777777" w:rsidR="00F93E4B" w:rsidRPr="00F93E4B" w:rsidRDefault="00F93E4B" w:rsidP="00C60735">
      <w:pPr>
        <w:spacing w:after="160" w:line="360" w:lineRule="auto"/>
        <w:rPr>
          <w:sz w:val="22"/>
          <w:szCs w:val="22"/>
        </w:rPr>
      </w:pPr>
      <w:r w:rsidRPr="00F93E4B">
        <w:rPr>
          <w:sz w:val="22"/>
          <w:szCs w:val="22"/>
        </w:rPr>
        <w:t xml:space="preserve">Group, W.B. (2025) </w:t>
      </w:r>
      <w:r w:rsidRPr="00F93E4B">
        <w:rPr>
          <w:i/>
          <w:iCs/>
          <w:sz w:val="22"/>
          <w:szCs w:val="22"/>
        </w:rPr>
        <w:t>Tracking Universal Health Coverage (UHC): 2025 Global Monitoring Report</w:t>
      </w:r>
      <w:r w:rsidRPr="00F93E4B">
        <w:rPr>
          <w:sz w:val="22"/>
          <w:szCs w:val="22"/>
        </w:rPr>
        <w:t xml:space="preserve">. World Bank. Available at: </w:t>
      </w:r>
      <w:hyperlink r:id="rId22" w:history="1">
        <w:r w:rsidRPr="00F93E4B">
          <w:rPr>
            <w:rStyle w:val="Hyperlink"/>
            <w:sz w:val="22"/>
            <w:szCs w:val="22"/>
          </w:rPr>
          <w:t>https://www.worldbank.org/en/topic/universalhealthcoverage/publication/2025-global-monitoring-report-gmr</w:t>
        </w:r>
      </w:hyperlink>
      <w:r w:rsidRPr="00F93E4B">
        <w:rPr>
          <w:sz w:val="22"/>
          <w:szCs w:val="22"/>
        </w:rPr>
        <w:t xml:space="preserve">  (Accessed 13 July 2026).</w:t>
      </w:r>
    </w:p>
    <w:p w14:paraId="01560E8E" w14:textId="77777777" w:rsidR="00F93E4B" w:rsidRPr="00F93E4B" w:rsidRDefault="00F93E4B" w:rsidP="00BA7003">
      <w:pPr>
        <w:spacing w:after="160" w:line="360" w:lineRule="auto"/>
        <w:ind w:left="720" w:hanging="720"/>
        <w:rPr>
          <w:sz w:val="22"/>
          <w:szCs w:val="22"/>
        </w:rPr>
      </w:pPr>
      <w:r w:rsidRPr="00F93E4B">
        <w:rPr>
          <w:sz w:val="22"/>
          <w:szCs w:val="22"/>
        </w:rPr>
        <w:t xml:space="preserve">Hook, A. (n.d.) </w:t>
      </w:r>
      <w:r w:rsidRPr="00F93E4B">
        <w:rPr>
          <w:i/>
          <w:iCs/>
          <w:sz w:val="22"/>
          <w:szCs w:val="22"/>
        </w:rPr>
        <w:t>Coventry, a marmot city - the story so far</w:t>
      </w:r>
      <w:r w:rsidRPr="00F93E4B">
        <w:rPr>
          <w:sz w:val="22"/>
          <w:szCs w:val="22"/>
        </w:rPr>
        <w:t xml:space="preserve">. </w:t>
      </w:r>
      <w:r w:rsidRPr="00F93E4B">
        <w:rPr>
          <w:i/>
          <w:iCs/>
          <w:sz w:val="22"/>
          <w:szCs w:val="22"/>
        </w:rPr>
        <w:t>Coventry City Council</w:t>
      </w:r>
      <w:r w:rsidRPr="00F93E4B">
        <w:rPr>
          <w:sz w:val="22"/>
          <w:szCs w:val="22"/>
        </w:rPr>
        <w:t xml:space="preserve">. Available at: </w:t>
      </w:r>
      <w:hyperlink r:id="rId23" w:history="1">
        <w:r w:rsidRPr="00F93E4B">
          <w:rPr>
            <w:rStyle w:val="Hyperlink"/>
            <w:sz w:val="22"/>
            <w:szCs w:val="22"/>
          </w:rPr>
          <w:t>https://www.coventry.gov.uk/marmot-monitoring-tool/coventry-marmot-city-story-far</w:t>
        </w:r>
      </w:hyperlink>
      <w:r w:rsidRPr="00F93E4B">
        <w:rPr>
          <w:sz w:val="22"/>
          <w:szCs w:val="22"/>
        </w:rPr>
        <w:t xml:space="preserve">  (Accessed 4 August 2026).</w:t>
      </w:r>
    </w:p>
    <w:p w14:paraId="5D78FF27" w14:textId="77777777" w:rsidR="00F93E4B" w:rsidRPr="00F93E4B" w:rsidRDefault="00F93E4B" w:rsidP="008D39C6">
      <w:pPr>
        <w:spacing w:after="160" w:line="360" w:lineRule="auto"/>
        <w:ind w:left="720" w:hanging="720"/>
        <w:rPr>
          <w:sz w:val="22"/>
          <w:szCs w:val="22"/>
        </w:rPr>
      </w:pPr>
      <w:r w:rsidRPr="00F93E4B">
        <w:rPr>
          <w:sz w:val="22"/>
          <w:szCs w:val="22"/>
        </w:rPr>
        <w:t xml:space="preserve">Institute of Health Equity (2021) </w:t>
      </w:r>
      <w:r w:rsidRPr="00F93E4B">
        <w:rPr>
          <w:i/>
          <w:iCs/>
          <w:sz w:val="22"/>
          <w:szCs w:val="22"/>
        </w:rPr>
        <w:t>Marmot places - institute of health equity</w:t>
      </w:r>
      <w:r w:rsidRPr="00F93E4B">
        <w:rPr>
          <w:sz w:val="22"/>
          <w:szCs w:val="22"/>
        </w:rPr>
        <w:t xml:space="preserve">. </w:t>
      </w:r>
      <w:r w:rsidRPr="00F93E4B">
        <w:rPr>
          <w:i/>
          <w:iCs/>
          <w:sz w:val="22"/>
          <w:szCs w:val="22"/>
        </w:rPr>
        <w:t>Institute of Health Equity</w:t>
      </w:r>
      <w:r w:rsidRPr="00F93E4B">
        <w:rPr>
          <w:sz w:val="22"/>
          <w:szCs w:val="22"/>
        </w:rPr>
        <w:t xml:space="preserve">. Available at: </w:t>
      </w:r>
      <w:hyperlink r:id="rId24" w:history="1">
        <w:r w:rsidRPr="00F93E4B">
          <w:rPr>
            <w:rStyle w:val="Hyperlink"/>
            <w:sz w:val="22"/>
            <w:szCs w:val="22"/>
          </w:rPr>
          <w:t>https://www.instituteofhealthequity.org/taking-action/marmot-places</w:t>
        </w:r>
      </w:hyperlink>
      <w:r w:rsidRPr="00F93E4B">
        <w:rPr>
          <w:sz w:val="22"/>
          <w:szCs w:val="22"/>
        </w:rPr>
        <w:t xml:space="preserve">  (Accessed 4 August 2026).</w:t>
      </w:r>
    </w:p>
    <w:p w14:paraId="05E16366" w14:textId="77777777" w:rsidR="00F93E4B" w:rsidRPr="00F93E4B" w:rsidRDefault="00F93E4B" w:rsidP="006B0236">
      <w:pPr>
        <w:spacing w:after="200" w:line="360" w:lineRule="auto"/>
        <w:rPr>
          <w:sz w:val="22"/>
          <w:szCs w:val="22"/>
        </w:rPr>
      </w:pPr>
      <w:r w:rsidRPr="00F93E4B">
        <w:rPr>
          <w:sz w:val="22"/>
          <w:szCs w:val="22"/>
        </w:rPr>
        <w:t xml:space="preserve">Kieny, M.P. </w:t>
      </w:r>
      <w:r w:rsidRPr="00F93E4B">
        <w:rPr>
          <w:i/>
          <w:iCs/>
          <w:sz w:val="22"/>
          <w:szCs w:val="22"/>
        </w:rPr>
        <w:t>et al.</w:t>
      </w:r>
      <w:r w:rsidRPr="00F93E4B">
        <w:rPr>
          <w:sz w:val="22"/>
          <w:szCs w:val="22"/>
        </w:rPr>
        <w:t xml:space="preserve"> (2017) ‘Strengthening health systems for universal health coverage and sustainable development; </w:t>
      </w:r>
      <w:r w:rsidRPr="00F93E4B">
        <w:rPr>
          <w:i/>
          <w:iCs/>
          <w:sz w:val="22"/>
          <w:szCs w:val="22"/>
        </w:rPr>
        <w:t>Bulletin of the World Health Organization</w:t>
      </w:r>
      <w:r w:rsidRPr="00F93E4B">
        <w:rPr>
          <w:sz w:val="22"/>
          <w:szCs w:val="22"/>
        </w:rPr>
        <w:t xml:space="preserve">, 95(7), pp. 537–539. Available at: </w:t>
      </w:r>
      <w:hyperlink r:id="rId25" w:history="1">
        <w:r w:rsidRPr="00F93E4B">
          <w:rPr>
            <w:rStyle w:val="Hyperlink"/>
            <w:sz w:val="22"/>
            <w:szCs w:val="22"/>
          </w:rPr>
          <w:t>https://doi.org/10.2471/BLT.16.187476</w:t>
        </w:r>
      </w:hyperlink>
      <w:r w:rsidRPr="00F93E4B">
        <w:rPr>
          <w:sz w:val="22"/>
          <w:szCs w:val="22"/>
        </w:rPr>
        <w:t xml:space="preserve">. </w:t>
      </w:r>
    </w:p>
    <w:p w14:paraId="32AEF208" w14:textId="59BECBFA" w:rsidR="00F93E4B" w:rsidRPr="00F93E4B" w:rsidRDefault="00F93E4B" w:rsidP="006B0236">
      <w:pPr>
        <w:spacing w:after="160" w:line="360" w:lineRule="auto"/>
        <w:ind w:left="720" w:hanging="720"/>
        <w:rPr>
          <w:sz w:val="22"/>
          <w:szCs w:val="22"/>
        </w:rPr>
      </w:pPr>
      <w:r w:rsidRPr="00F93E4B">
        <w:rPr>
          <w:sz w:val="22"/>
          <w:szCs w:val="22"/>
        </w:rPr>
        <w:t xml:space="preserve">Knisel, E., </w:t>
      </w:r>
      <w:proofErr w:type="spellStart"/>
      <w:r w:rsidRPr="00F93E4B">
        <w:rPr>
          <w:sz w:val="22"/>
          <w:szCs w:val="22"/>
        </w:rPr>
        <w:t>Rupprich</w:t>
      </w:r>
      <w:proofErr w:type="spellEnd"/>
      <w:r w:rsidRPr="00F93E4B">
        <w:rPr>
          <w:sz w:val="22"/>
          <w:szCs w:val="22"/>
        </w:rPr>
        <w:t xml:space="preserve">, H., </w:t>
      </w:r>
      <w:proofErr w:type="spellStart"/>
      <w:r w:rsidRPr="00F93E4B">
        <w:rPr>
          <w:sz w:val="22"/>
          <w:szCs w:val="22"/>
        </w:rPr>
        <w:t>Wunram</w:t>
      </w:r>
      <w:proofErr w:type="spellEnd"/>
      <w:r w:rsidRPr="00F93E4B">
        <w:rPr>
          <w:sz w:val="22"/>
          <w:szCs w:val="22"/>
        </w:rPr>
        <w:t xml:space="preserve">, A., Bremer, M. and </w:t>
      </w:r>
      <w:proofErr w:type="spellStart"/>
      <w:r w:rsidRPr="00F93E4B">
        <w:rPr>
          <w:sz w:val="22"/>
          <w:szCs w:val="22"/>
        </w:rPr>
        <w:t>Desaive</w:t>
      </w:r>
      <w:proofErr w:type="spellEnd"/>
      <w:r w:rsidRPr="00F93E4B">
        <w:rPr>
          <w:sz w:val="22"/>
          <w:szCs w:val="22"/>
        </w:rPr>
        <w:t xml:space="preserve">, C. (2020) ‘Promotion of Elementary school students’ health literacy; </w:t>
      </w:r>
      <w:r w:rsidRPr="00F93E4B">
        <w:rPr>
          <w:i/>
          <w:iCs/>
          <w:sz w:val="22"/>
          <w:szCs w:val="22"/>
        </w:rPr>
        <w:t>International journal of Environmental research and public health</w:t>
      </w:r>
      <w:r w:rsidRPr="00F93E4B">
        <w:rPr>
          <w:sz w:val="22"/>
          <w:szCs w:val="22"/>
        </w:rPr>
        <w:t>, 17(24), p.9560. Available at</w:t>
      </w:r>
      <w:r w:rsidR="00903DFD">
        <w:rPr>
          <w:sz w:val="22"/>
          <w:szCs w:val="22"/>
        </w:rPr>
        <w:t>:</w:t>
      </w:r>
      <w:r w:rsidRPr="00F93E4B">
        <w:rPr>
          <w:sz w:val="22"/>
          <w:szCs w:val="22"/>
        </w:rPr>
        <w:t xml:space="preserve"> </w:t>
      </w:r>
      <w:hyperlink r:id="rId26" w:history="1">
        <w:r w:rsidRPr="00F93E4B">
          <w:rPr>
            <w:rStyle w:val="Hyperlink"/>
            <w:sz w:val="22"/>
            <w:szCs w:val="22"/>
          </w:rPr>
          <w:t>https://doi:10.3390/ijerph17249560</w:t>
        </w:r>
      </w:hyperlink>
      <w:r w:rsidRPr="00F93E4B">
        <w:rPr>
          <w:sz w:val="22"/>
          <w:szCs w:val="22"/>
        </w:rPr>
        <w:t xml:space="preserve">. </w:t>
      </w:r>
    </w:p>
    <w:p w14:paraId="7C87FCA9" w14:textId="77777777" w:rsidR="00F93E4B" w:rsidRPr="00F93E4B" w:rsidRDefault="00F93E4B" w:rsidP="00F259C8">
      <w:pPr>
        <w:spacing w:after="160" w:line="360" w:lineRule="auto"/>
        <w:ind w:left="720" w:hanging="720"/>
        <w:rPr>
          <w:sz w:val="22"/>
          <w:szCs w:val="22"/>
        </w:rPr>
      </w:pPr>
      <w:r w:rsidRPr="00F93E4B">
        <w:rPr>
          <w:sz w:val="22"/>
          <w:szCs w:val="22"/>
        </w:rPr>
        <w:t xml:space="preserve">London City Hall. (2022) </w:t>
      </w:r>
      <w:r w:rsidRPr="00F93E4B">
        <w:rPr>
          <w:i/>
          <w:iCs/>
          <w:sz w:val="22"/>
          <w:szCs w:val="22"/>
        </w:rPr>
        <w:t xml:space="preserve">Skills for </w:t>
      </w:r>
      <w:proofErr w:type="spellStart"/>
      <w:r w:rsidRPr="00F93E4B">
        <w:rPr>
          <w:i/>
          <w:iCs/>
          <w:sz w:val="22"/>
          <w:szCs w:val="22"/>
        </w:rPr>
        <w:t>londoners</w:t>
      </w:r>
      <w:proofErr w:type="spellEnd"/>
      <w:r w:rsidRPr="00F93E4B">
        <w:rPr>
          <w:i/>
          <w:iCs/>
          <w:sz w:val="22"/>
          <w:szCs w:val="22"/>
        </w:rPr>
        <w:t xml:space="preserve"> strategy 2018</w:t>
      </w:r>
      <w:r w:rsidRPr="00F93E4B">
        <w:rPr>
          <w:sz w:val="22"/>
          <w:szCs w:val="22"/>
        </w:rPr>
        <w:t xml:space="preserve">. Available at: </w:t>
      </w:r>
      <w:hyperlink r:id="rId27" w:history="1">
        <w:r w:rsidRPr="00F93E4B">
          <w:rPr>
            <w:rStyle w:val="Hyperlink"/>
            <w:sz w:val="22"/>
            <w:szCs w:val="22"/>
          </w:rPr>
          <w:t>https://www.london.gov.uk/business-and-economy-publications/skills-londoners-strategy-2018</w:t>
        </w:r>
      </w:hyperlink>
      <w:r w:rsidRPr="00F93E4B">
        <w:rPr>
          <w:sz w:val="22"/>
          <w:szCs w:val="22"/>
        </w:rPr>
        <w:t xml:space="preserve">  (Accessed 4 August 2026).</w:t>
      </w:r>
    </w:p>
    <w:p w14:paraId="07F4E4D8" w14:textId="77777777" w:rsidR="00F93E4B" w:rsidRDefault="00F93E4B" w:rsidP="00BD3101">
      <w:pPr>
        <w:spacing w:after="160" w:line="360" w:lineRule="auto"/>
        <w:ind w:left="720" w:hanging="720"/>
        <w:rPr>
          <w:sz w:val="22"/>
          <w:szCs w:val="22"/>
        </w:rPr>
      </w:pPr>
      <w:r w:rsidRPr="00F93E4B">
        <w:rPr>
          <w:sz w:val="22"/>
          <w:szCs w:val="22"/>
        </w:rPr>
        <w:lastRenderedPageBreak/>
        <w:t xml:space="preserve">London Councils (2025) </w:t>
      </w:r>
      <w:r w:rsidRPr="00F93E4B">
        <w:rPr>
          <w:i/>
          <w:iCs/>
          <w:sz w:val="22"/>
          <w:szCs w:val="22"/>
        </w:rPr>
        <w:t xml:space="preserve">London leaders launch inclusive talent strategy to kickstart a skills revolution and support more </w:t>
      </w:r>
      <w:proofErr w:type="spellStart"/>
      <w:r w:rsidRPr="00F93E4B">
        <w:rPr>
          <w:i/>
          <w:iCs/>
          <w:sz w:val="22"/>
          <w:szCs w:val="22"/>
        </w:rPr>
        <w:t>londoners</w:t>
      </w:r>
      <w:proofErr w:type="spellEnd"/>
      <w:r w:rsidRPr="00F93E4B">
        <w:rPr>
          <w:i/>
          <w:iCs/>
          <w:sz w:val="22"/>
          <w:szCs w:val="22"/>
        </w:rPr>
        <w:t xml:space="preserve"> into work</w:t>
      </w:r>
      <w:r w:rsidRPr="00F93E4B">
        <w:rPr>
          <w:sz w:val="22"/>
          <w:szCs w:val="22"/>
        </w:rPr>
        <w:t xml:space="preserve">. Available at: </w:t>
      </w:r>
      <w:hyperlink r:id="rId28" w:history="1">
        <w:r w:rsidRPr="00F93E4B">
          <w:rPr>
            <w:rStyle w:val="Hyperlink"/>
            <w:sz w:val="22"/>
            <w:szCs w:val="22"/>
          </w:rPr>
          <w:t>https://www.londoncouncils.gov.uk/news-and-press-releases/2025/london-leaders-launch-inclusive-talent-strategy-kickstart-skills</w:t>
        </w:r>
      </w:hyperlink>
      <w:r w:rsidRPr="00F93E4B">
        <w:rPr>
          <w:sz w:val="22"/>
          <w:szCs w:val="22"/>
        </w:rPr>
        <w:t xml:space="preserve">  (Accessed 4 August 2026).</w:t>
      </w:r>
    </w:p>
    <w:p w14:paraId="3F106F1E" w14:textId="4942E81A" w:rsidR="00406615" w:rsidRPr="00406615" w:rsidRDefault="00406615" w:rsidP="00406615">
      <w:pPr>
        <w:spacing w:after="160" w:line="360" w:lineRule="auto"/>
        <w:ind w:left="720" w:hanging="720"/>
        <w:rPr>
          <w:sz w:val="22"/>
          <w:szCs w:val="22"/>
        </w:rPr>
      </w:pPr>
      <w:r w:rsidRPr="00406615">
        <w:rPr>
          <w:sz w:val="22"/>
          <w:szCs w:val="22"/>
        </w:rPr>
        <w:t xml:space="preserve">McKee, M., Dunnell, K., Anderson, M., </w:t>
      </w:r>
      <w:proofErr w:type="spellStart"/>
      <w:r w:rsidRPr="00406615">
        <w:rPr>
          <w:sz w:val="22"/>
          <w:szCs w:val="22"/>
        </w:rPr>
        <w:t>Brayne</w:t>
      </w:r>
      <w:proofErr w:type="spellEnd"/>
      <w:r w:rsidRPr="00406615">
        <w:rPr>
          <w:sz w:val="22"/>
          <w:szCs w:val="22"/>
        </w:rPr>
        <w:t xml:space="preserve">, C., Charlesworth, A., Johnston-Webber, C., Knapp, M., McGuire, A., Newton, J.N., Taylor, D. and Watt, R.G. (2021). The changing health needs of the UK population. </w:t>
      </w:r>
      <w:r w:rsidRPr="00406615">
        <w:rPr>
          <w:i/>
          <w:iCs/>
          <w:sz w:val="22"/>
          <w:szCs w:val="22"/>
        </w:rPr>
        <w:t>The Lancet</w:t>
      </w:r>
      <w:r w:rsidRPr="00406615">
        <w:rPr>
          <w:sz w:val="22"/>
          <w:szCs w:val="22"/>
        </w:rPr>
        <w:t>, 397(10288), pp.1979–1991.</w:t>
      </w:r>
      <w:r w:rsidR="005F1C2B">
        <w:rPr>
          <w:sz w:val="22"/>
          <w:szCs w:val="22"/>
        </w:rPr>
        <w:t xml:space="preserve"> </w:t>
      </w:r>
      <w:r w:rsidR="008940AA">
        <w:rPr>
          <w:sz w:val="22"/>
          <w:szCs w:val="22"/>
        </w:rPr>
        <w:t xml:space="preserve"> </w:t>
      </w:r>
    </w:p>
    <w:p w14:paraId="58FBF946" w14:textId="77777777" w:rsidR="00F93E4B" w:rsidRPr="00F93E4B" w:rsidRDefault="00F93E4B" w:rsidP="006B0236">
      <w:pPr>
        <w:spacing w:after="160" w:line="360" w:lineRule="auto"/>
        <w:rPr>
          <w:sz w:val="22"/>
          <w:szCs w:val="22"/>
        </w:rPr>
      </w:pPr>
      <w:r w:rsidRPr="00F93E4B">
        <w:rPr>
          <w:sz w:val="22"/>
          <w:szCs w:val="22"/>
        </w:rPr>
        <w:t xml:space="preserve">Nations, U. (2025) </w:t>
      </w:r>
      <w:r w:rsidRPr="00F93E4B">
        <w:rPr>
          <w:i/>
          <w:iCs/>
          <w:sz w:val="22"/>
          <w:szCs w:val="22"/>
        </w:rPr>
        <w:t>— SDG Indicators</w:t>
      </w:r>
      <w:r w:rsidRPr="00F93E4B">
        <w:rPr>
          <w:sz w:val="22"/>
          <w:szCs w:val="22"/>
        </w:rPr>
        <w:t xml:space="preserve">.  Available at: </w:t>
      </w:r>
      <w:hyperlink r:id="rId29" w:history="1">
        <w:r w:rsidRPr="00F93E4B">
          <w:rPr>
            <w:rStyle w:val="Hyperlink"/>
            <w:sz w:val="22"/>
            <w:szCs w:val="22"/>
          </w:rPr>
          <w:t>https://unstats.un.org/sdgs/report/2025/Goal-03/</w:t>
        </w:r>
      </w:hyperlink>
      <w:r w:rsidRPr="00F93E4B">
        <w:rPr>
          <w:sz w:val="22"/>
          <w:szCs w:val="22"/>
        </w:rPr>
        <w:t xml:space="preserve">  (Accessed 13 July 2026).</w:t>
      </w:r>
    </w:p>
    <w:p w14:paraId="5596E538" w14:textId="77777777" w:rsidR="00F93E4B" w:rsidRPr="00F93E4B" w:rsidRDefault="00F93E4B" w:rsidP="006B0236">
      <w:pPr>
        <w:spacing w:after="160" w:line="360" w:lineRule="auto"/>
        <w:ind w:left="720" w:hanging="720"/>
        <w:rPr>
          <w:sz w:val="22"/>
          <w:szCs w:val="22"/>
        </w:rPr>
      </w:pPr>
      <w:r w:rsidRPr="00F93E4B">
        <w:rPr>
          <w:sz w:val="22"/>
          <w:szCs w:val="22"/>
        </w:rPr>
        <w:t xml:space="preserve">Organization, W.H. and Bank, W. (2023) </w:t>
      </w:r>
      <w:r w:rsidRPr="00F93E4B">
        <w:rPr>
          <w:i/>
          <w:iCs/>
          <w:sz w:val="22"/>
          <w:szCs w:val="22"/>
        </w:rPr>
        <w:t>Tracking Universal Health Coverage: 2023 Global Monitoring Report</w:t>
      </w:r>
      <w:r w:rsidRPr="00F93E4B">
        <w:rPr>
          <w:sz w:val="22"/>
          <w:szCs w:val="22"/>
        </w:rPr>
        <w:t xml:space="preserve">. </w:t>
      </w:r>
      <w:r w:rsidRPr="00F93E4B">
        <w:rPr>
          <w:i/>
          <w:iCs/>
          <w:sz w:val="22"/>
          <w:szCs w:val="22"/>
        </w:rPr>
        <w:t>Openknowledge.worldbank.org</w:t>
      </w:r>
      <w:r w:rsidRPr="00F93E4B">
        <w:rPr>
          <w:sz w:val="22"/>
          <w:szCs w:val="22"/>
        </w:rPr>
        <w:t xml:space="preserve">. Washington, DC: World Bank. Available at: </w:t>
      </w:r>
      <w:hyperlink r:id="rId30" w:history="1">
        <w:r w:rsidRPr="00F93E4B">
          <w:rPr>
            <w:rStyle w:val="Hyperlink"/>
            <w:sz w:val="22"/>
            <w:szCs w:val="22"/>
          </w:rPr>
          <w:t>https://openknowledge.worldbank.org/entities/publication/1ced1b12-896e-49f1-ab6f-f1a95325f39b</w:t>
        </w:r>
      </w:hyperlink>
      <w:r w:rsidRPr="00F93E4B">
        <w:rPr>
          <w:sz w:val="22"/>
          <w:szCs w:val="22"/>
        </w:rPr>
        <w:t xml:space="preserve">  (Accessed 13 July 2026).</w:t>
      </w:r>
    </w:p>
    <w:p w14:paraId="18E479AD" w14:textId="08A269BA" w:rsidR="00F93E4B" w:rsidRPr="00F93E4B" w:rsidRDefault="00F93E4B" w:rsidP="006B0236">
      <w:pPr>
        <w:spacing w:after="160" w:line="360" w:lineRule="auto"/>
        <w:ind w:left="720" w:hanging="720"/>
        <w:rPr>
          <w:sz w:val="22"/>
          <w:szCs w:val="22"/>
        </w:rPr>
      </w:pPr>
      <w:r w:rsidRPr="00F93E4B">
        <w:rPr>
          <w:sz w:val="22"/>
          <w:szCs w:val="22"/>
        </w:rPr>
        <w:t xml:space="preserve">Patrinos, H.A., Vegas, E. and Carter-Rau, R. (2022) ‘An analysis of covid-19 student learning loss; </w:t>
      </w:r>
      <w:r w:rsidRPr="00F93E4B">
        <w:rPr>
          <w:i/>
          <w:iCs/>
          <w:sz w:val="22"/>
          <w:szCs w:val="22"/>
        </w:rPr>
        <w:t>Policy Research Working Papers</w:t>
      </w:r>
      <w:r w:rsidRPr="00F93E4B">
        <w:rPr>
          <w:sz w:val="22"/>
          <w:szCs w:val="22"/>
        </w:rPr>
        <w:t>. Available at</w:t>
      </w:r>
      <w:r w:rsidR="00903DFD">
        <w:rPr>
          <w:sz w:val="22"/>
          <w:szCs w:val="22"/>
        </w:rPr>
        <w:t>:</w:t>
      </w:r>
      <w:r w:rsidRPr="00F93E4B">
        <w:rPr>
          <w:sz w:val="22"/>
          <w:szCs w:val="22"/>
        </w:rPr>
        <w:t xml:space="preserve"> </w:t>
      </w:r>
      <w:hyperlink r:id="rId31" w:history="1">
        <w:r w:rsidRPr="00F93E4B">
          <w:rPr>
            <w:rStyle w:val="Hyperlink"/>
            <w:sz w:val="22"/>
            <w:szCs w:val="22"/>
          </w:rPr>
          <w:t>https://doi:10.1596/1813-9450-10033</w:t>
        </w:r>
      </w:hyperlink>
      <w:r w:rsidRPr="00F93E4B">
        <w:rPr>
          <w:sz w:val="22"/>
          <w:szCs w:val="22"/>
        </w:rPr>
        <w:t xml:space="preserve">. </w:t>
      </w:r>
    </w:p>
    <w:p w14:paraId="101C9DA5" w14:textId="77777777" w:rsidR="00F93E4B" w:rsidRPr="00F93E4B" w:rsidRDefault="00F93E4B" w:rsidP="006B0236">
      <w:pPr>
        <w:spacing w:after="160" w:line="360" w:lineRule="auto"/>
        <w:ind w:left="720" w:hanging="720"/>
        <w:rPr>
          <w:sz w:val="22"/>
          <w:szCs w:val="22"/>
        </w:rPr>
      </w:pPr>
      <w:proofErr w:type="spellStart"/>
      <w:r w:rsidRPr="00F93E4B">
        <w:rPr>
          <w:sz w:val="22"/>
          <w:szCs w:val="22"/>
        </w:rPr>
        <w:t>Petiwala</w:t>
      </w:r>
      <w:proofErr w:type="spellEnd"/>
      <w:r w:rsidRPr="00F93E4B">
        <w:rPr>
          <w:sz w:val="22"/>
          <w:szCs w:val="22"/>
        </w:rPr>
        <w:t xml:space="preserve">, A. </w:t>
      </w:r>
      <w:r w:rsidRPr="00F93E4B">
        <w:rPr>
          <w:i/>
          <w:iCs/>
          <w:sz w:val="22"/>
          <w:szCs w:val="22"/>
        </w:rPr>
        <w:t>et al.</w:t>
      </w:r>
      <w:r w:rsidRPr="00F93E4B">
        <w:rPr>
          <w:sz w:val="22"/>
          <w:szCs w:val="22"/>
        </w:rPr>
        <w:t xml:space="preserve"> (2021) ‘Community voice in cross-sector alignment: concepts and strategies from a scoping review of the health collaboration literature; </w:t>
      </w:r>
      <w:r w:rsidRPr="00F93E4B">
        <w:rPr>
          <w:i/>
          <w:iCs/>
          <w:sz w:val="22"/>
          <w:szCs w:val="22"/>
        </w:rPr>
        <w:t>BMC public health</w:t>
      </w:r>
      <w:r w:rsidRPr="00F93E4B">
        <w:rPr>
          <w:sz w:val="22"/>
          <w:szCs w:val="22"/>
        </w:rPr>
        <w:t xml:space="preserve">, 21(1). Available at: </w:t>
      </w:r>
      <w:hyperlink r:id="rId32" w:history="1">
        <w:r w:rsidRPr="00F93E4B">
          <w:rPr>
            <w:rStyle w:val="Hyperlink"/>
            <w:sz w:val="22"/>
            <w:szCs w:val="22"/>
          </w:rPr>
          <w:t>https://doi.org/10.1186/s12889-021-10741-9</w:t>
        </w:r>
      </w:hyperlink>
      <w:r w:rsidRPr="00F93E4B">
        <w:rPr>
          <w:sz w:val="22"/>
          <w:szCs w:val="22"/>
        </w:rPr>
        <w:t xml:space="preserve">. </w:t>
      </w:r>
    </w:p>
    <w:p w14:paraId="34D87478" w14:textId="3B6ABB5B" w:rsidR="00F93E4B" w:rsidRPr="00F93E4B" w:rsidRDefault="00F93E4B" w:rsidP="006B0236">
      <w:pPr>
        <w:spacing w:after="160" w:line="360" w:lineRule="auto"/>
        <w:ind w:left="720" w:hanging="720"/>
        <w:rPr>
          <w:sz w:val="22"/>
          <w:szCs w:val="22"/>
        </w:rPr>
      </w:pPr>
      <w:proofErr w:type="spellStart"/>
      <w:r w:rsidRPr="00F93E4B">
        <w:rPr>
          <w:sz w:val="22"/>
          <w:szCs w:val="22"/>
        </w:rPr>
        <w:t>Pulimeno</w:t>
      </w:r>
      <w:proofErr w:type="spellEnd"/>
      <w:r w:rsidRPr="00F93E4B">
        <w:rPr>
          <w:sz w:val="22"/>
          <w:szCs w:val="22"/>
        </w:rPr>
        <w:t xml:space="preserve">, M., Piscitelli, P., </w:t>
      </w:r>
      <w:proofErr w:type="spellStart"/>
      <w:r w:rsidRPr="00F93E4B">
        <w:rPr>
          <w:sz w:val="22"/>
          <w:szCs w:val="22"/>
        </w:rPr>
        <w:t>Colazzo</w:t>
      </w:r>
      <w:proofErr w:type="spellEnd"/>
      <w:r w:rsidRPr="00F93E4B">
        <w:rPr>
          <w:sz w:val="22"/>
          <w:szCs w:val="22"/>
        </w:rPr>
        <w:t xml:space="preserve">, S., Colao, A. and Miani, A. (2020) ‘School as ideal setting to promote health and wellbeing among young people; </w:t>
      </w:r>
      <w:r w:rsidRPr="00F93E4B">
        <w:rPr>
          <w:i/>
          <w:iCs/>
          <w:sz w:val="22"/>
          <w:szCs w:val="22"/>
        </w:rPr>
        <w:t>Health Promotion Perspectives</w:t>
      </w:r>
      <w:r w:rsidRPr="00F93E4B">
        <w:rPr>
          <w:sz w:val="22"/>
          <w:szCs w:val="22"/>
        </w:rPr>
        <w:t>, [online] 10(4), pp.316–324. Available at</w:t>
      </w:r>
      <w:r w:rsidR="00903DFD">
        <w:rPr>
          <w:sz w:val="22"/>
          <w:szCs w:val="22"/>
        </w:rPr>
        <w:t>:</w:t>
      </w:r>
      <w:r w:rsidRPr="00F93E4B">
        <w:rPr>
          <w:sz w:val="22"/>
          <w:szCs w:val="22"/>
        </w:rPr>
        <w:t xml:space="preserve"> </w:t>
      </w:r>
      <w:hyperlink r:id="rId33" w:history="1">
        <w:r w:rsidRPr="00F93E4B">
          <w:rPr>
            <w:rStyle w:val="Hyperlink"/>
            <w:sz w:val="22"/>
            <w:szCs w:val="22"/>
          </w:rPr>
          <w:t>https://doi:10.34172/hpp.2020.50</w:t>
        </w:r>
      </w:hyperlink>
      <w:r w:rsidRPr="00F93E4B">
        <w:rPr>
          <w:sz w:val="22"/>
          <w:szCs w:val="22"/>
        </w:rPr>
        <w:t xml:space="preserve">. </w:t>
      </w:r>
    </w:p>
    <w:p w14:paraId="6EF8FBE7" w14:textId="6935F58D" w:rsidR="00F93E4B" w:rsidRPr="00F93E4B" w:rsidRDefault="00F93E4B" w:rsidP="006B0236">
      <w:pPr>
        <w:spacing w:after="200" w:line="360" w:lineRule="auto"/>
        <w:rPr>
          <w:sz w:val="22"/>
          <w:szCs w:val="22"/>
        </w:rPr>
      </w:pPr>
      <w:r w:rsidRPr="00F93E4B">
        <w:rPr>
          <w:sz w:val="22"/>
          <w:szCs w:val="22"/>
        </w:rPr>
        <w:t xml:space="preserve">Raina, N., Khanna, R.K., Gupta, S., Jayathilaka, C.A., Mehta, R. and Behera, S. (2023) ‘Progress in achieving SDG targets for mortality reduction among mothers, newborns, and children in the WHO South-East Asia Region’, </w:t>
      </w:r>
      <w:r w:rsidRPr="00F93E4B">
        <w:rPr>
          <w:i/>
          <w:iCs/>
          <w:sz w:val="22"/>
          <w:szCs w:val="22"/>
        </w:rPr>
        <w:t>The Lancet Regional Health – Europe</w:t>
      </w:r>
      <w:r w:rsidRPr="00F93E4B">
        <w:rPr>
          <w:sz w:val="22"/>
          <w:szCs w:val="22"/>
        </w:rPr>
        <w:t xml:space="preserve">, 18, p. 100307. </w:t>
      </w:r>
      <w:proofErr w:type="spellStart"/>
      <w:r w:rsidR="00903DFD">
        <w:rPr>
          <w:sz w:val="22"/>
          <w:szCs w:val="22"/>
        </w:rPr>
        <w:t>Avaailable</w:t>
      </w:r>
      <w:proofErr w:type="spellEnd"/>
      <w:r w:rsidR="00903DFD">
        <w:rPr>
          <w:sz w:val="22"/>
          <w:szCs w:val="22"/>
        </w:rPr>
        <w:t xml:space="preserve"> at: </w:t>
      </w:r>
      <w:hyperlink r:id="rId34" w:history="1">
        <w:r w:rsidR="00903DFD" w:rsidRPr="00AD4DD0">
          <w:rPr>
            <w:rStyle w:val="Hyperlink"/>
            <w:sz w:val="22"/>
            <w:szCs w:val="22"/>
          </w:rPr>
          <w:t>https://doi.org/10.1016/j.lansea.2023.100307</w:t>
        </w:r>
      </w:hyperlink>
      <w:r w:rsidRPr="00F93E4B">
        <w:rPr>
          <w:sz w:val="22"/>
          <w:szCs w:val="22"/>
        </w:rPr>
        <w:t xml:space="preserve">    </w:t>
      </w:r>
    </w:p>
    <w:p w14:paraId="60E4C4BA" w14:textId="77777777" w:rsidR="00F93E4B" w:rsidRPr="00F93E4B" w:rsidRDefault="00F93E4B" w:rsidP="006B0236">
      <w:pPr>
        <w:spacing w:after="160" w:line="360" w:lineRule="auto"/>
        <w:ind w:left="720" w:hanging="720"/>
        <w:rPr>
          <w:sz w:val="22"/>
          <w:szCs w:val="22"/>
        </w:rPr>
      </w:pPr>
      <w:r w:rsidRPr="00F93E4B">
        <w:rPr>
          <w:sz w:val="22"/>
          <w:szCs w:val="22"/>
        </w:rPr>
        <w:t>Regional governance and public investment in Wales, United Kingdom. (2024) ‘</w:t>
      </w:r>
      <w:r w:rsidRPr="00F93E4B">
        <w:rPr>
          <w:i/>
          <w:iCs/>
          <w:sz w:val="22"/>
          <w:szCs w:val="22"/>
        </w:rPr>
        <w:t>OECD Multi-level Governance Studies</w:t>
      </w:r>
      <w:r w:rsidRPr="00F93E4B">
        <w:rPr>
          <w:sz w:val="22"/>
          <w:szCs w:val="22"/>
        </w:rPr>
        <w:t xml:space="preserve">; OECD Publishing. Available at: </w:t>
      </w:r>
      <w:hyperlink r:id="rId35" w:history="1">
        <w:r w:rsidRPr="00F93E4B">
          <w:rPr>
            <w:rStyle w:val="Hyperlink"/>
            <w:sz w:val="22"/>
            <w:szCs w:val="22"/>
          </w:rPr>
          <w:t>https://doi:10.1787/e143e94d-en</w:t>
        </w:r>
      </w:hyperlink>
      <w:r w:rsidRPr="00F93E4B">
        <w:rPr>
          <w:sz w:val="22"/>
          <w:szCs w:val="22"/>
        </w:rPr>
        <w:t xml:space="preserve">. </w:t>
      </w:r>
    </w:p>
    <w:p w14:paraId="435BFE7E" w14:textId="3856EBCC" w:rsidR="00F93E4B" w:rsidRPr="00F93E4B" w:rsidRDefault="00F93E4B" w:rsidP="006B0236">
      <w:pPr>
        <w:spacing w:after="160" w:line="360" w:lineRule="auto"/>
        <w:ind w:left="720" w:hanging="720"/>
        <w:rPr>
          <w:sz w:val="22"/>
          <w:szCs w:val="22"/>
        </w:rPr>
      </w:pPr>
      <w:r w:rsidRPr="00F93E4B">
        <w:rPr>
          <w:sz w:val="22"/>
          <w:szCs w:val="22"/>
        </w:rPr>
        <w:lastRenderedPageBreak/>
        <w:t xml:space="preserve">Roberts, M. (2022) ‘The effects of nutritional interventions on the cognitive development of preschool-age children: A systematic review; </w:t>
      </w:r>
      <w:r w:rsidRPr="00F93E4B">
        <w:rPr>
          <w:i/>
          <w:iCs/>
          <w:sz w:val="22"/>
          <w:szCs w:val="22"/>
        </w:rPr>
        <w:t>Nutrients</w:t>
      </w:r>
      <w:r w:rsidRPr="00F93E4B">
        <w:rPr>
          <w:sz w:val="22"/>
          <w:szCs w:val="22"/>
        </w:rPr>
        <w:t>, 14(3), p.532. Available at</w:t>
      </w:r>
      <w:r w:rsidR="0097149B">
        <w:rPr>
          <w:sz w:val="22"/>
          <w:szCs w:val="22"/>
        </w:rPr>
        <w:t>:</w:t>
      </w:r>
      <w:r w:rsidRPr="00F93E4B">
        <w:rPr>
          <w:sz w:val="22"/>
          <w:szCs w:val="22"/>
        </w:rPr>
        <w:t xml:space="preserve"> </w:t>
      </w:r>
      <w:hyperlink r:id="rId36" w:history="1">
        <w:r w:rsidRPr="00F93E4B">
          <w:rPr>
            <w:rStyle w:val="Hyperlink"/>
            <w:sz w:val="22"/>
            <w:szCs w:val="22"/>
          </w:rPr>
          <w:t>https://doi:10.3390/nu14030532</w:t>
        </w:r>
      </w:hyperlink>
      <w:r w:rsidRPr="00F93E4B">
        <w:rPr>
          <w:sz w:val="22"/>
          <w:szCs w:val="22"/>
        </w:rPr>
        <w:t xml:space="preserve">. </w:t>
      </w:r>
    </w:p>
    <w:p w14:paraId="3B3F0955" w14:textId="77777777" w:rsidR="00F93E4B" w:rsidRPr="00F93E4B" w:rsidRDefault="00F93E4B" w:rsidP="006B0236">
      <w:pPr>
        <w:spacing w:after="160" w:line="360" w:lineRule="auto"/>
        <w:ind w:left="720" w:hanging="720"/>
        <w:rPr>
          <w:sz w:val="22"/>
          <w:szCs w:val="22"/>
        </w:rPr>
      </w:pPr>
      <w:r w:rsidRPr="00F93E4B">
        <w:rPr>
          <w:sz w:val="22"/>
          <w:szCs w:val="22"/>
        </w:rPr>
        <w:t xml:space="preserve">Spinos, D. </w:t>
      </w:r>
      <w:r w:rsidRPr="00F93E4B">
        <w:rPr>
          <w:i/>
          <w:iCs/>
          <w:sz w:val="22"/>
          <w:szCs w:val="22"/>
        </w:rPr>
        <w:t>et al.</w:t>
      </w:r>
      <w:r w:rsidRPr="00F93E4B">
        <w:rPr>
          <w:sz w:val="22"/>
          <w:szCs w:val="22"/>
        </w:rPr>
        <w:t xml:space="preserve"> (2026) ‘Referral to treatment times in the National Health Service of England: A five-year analysis of the impact of the COVID-19 Pandemic and socioeconomic deprivation and future implications for Ear, Nose and Throat service delivery; </w:t>
      </w:r>
      <w:proofErr w:type="spellStart"/>
      <w:r w:rsidRPr="00F93E4B">
        <w:rPr>
          <w:i/>
          <w:iCs/>
          <w:sz w:val="22"/>
          <w:szCs w:val="22"/>
        </w:rPr>
        <w:t>PloS</w:t>
      </w:r>
      <w:proofErr w:type="spellEnd"/>
      <w:r w:rsidRPr="00F93E4B">
        <w:rPr>
          <w:i/>
          <w:iCs/>
          <w:sz w:val="22"/>
          <w:szCs w:val="22"/>
        </w:rPr>
        <w:t xml:space="preserve"> one</w:t>
      </w:r>
      <w:r w:rsidRPr="00F93E4B">
        <w:rPr>
          <w:sz w:val="22"/>
          <w:szCs w:val="22"/>
        </w:rPr>
        <w:t xml:space="preserve">, 21(4), p. e0346596. Available at: </w:t>
      </w:r>
      <w:hyperlink r:id="rId37" w:history="1">
        <w:r w:rsidRPr="00F93E4B">
          <w:rPr>
            <w:rStyle w:val="Hyperlink"/>
            <w:sz w:val="22"/>
            <w:szCs w:val="22"/>
          </w:rPr>
          <w:t>https://doi.org/10.1371/journal.pone.0346596</w:t>
        </w:r>
      </w:hyperlink>
      <w:r w:rsidRPr="00F93E4B">
        <w:rPr>
          <w:sz w:val="22"/>
          <w:szCs w:val="22"/>
        </w:rPr>
        <w:t xml:space="preserve">.  </w:t>
      </w:r>
    </w:p>
    <w:p w14:paraId="7C55C862" w14:textId="77777777" w:rsidR="00F93E4B" w:rsidRPr="00F93E4B" w:rsidRDefault="00F93E4B" w:rsidP="00DC06EF">
      <w:pPr>
        <w:spacing w:after="160" w:line="360" w:lineRule="auto"/>
        <w:ind w:left="720" w:hanging="720"/>
        <w:rPr>
          <w:sz w:val="22"/>
          <w:szCs w:val="22"/>
        </w:rPr>
      </w:pPr>
      <w:r w:rsidRPr="00F93E4B">
        <w:rPr>
          <w:sz w:val="22"/>
          <w:szCs w:val="22"/>
        </w:rPr>
        <w:t xml:space="preserve">Tompson, A., Egan, M., McGill, E., Rinaldi, C., Mead, R., Holland, P., Alexiou, A., Popay, J. and </w:t>
      </w:r>
      <w:proofErr w:type="spellStart"/>
      <w:r w:rsidRPr="00F93E4B">
        <w:rPr>
          <w:sz w:val="22"/>
          <w:szCs w:val="22"/>
        </w:rPr>
        <w:t>Lhussier</w:t>
      </w:r>
      <w:proofErr w:type="spellEnd"/>
      <w:r w:rsidRPr="00F93E4B">
        <w:rPr>
          <w:sz w:val="22"/>
          <w:szCs w:val="22"/>
        </w:rPr>
        <w:t xml:space="preserve">, M. (2024) ‘Assessment and qualitative comparative analysis of </w:t>
      </w:r>
      <w:proofErr w:type="spellStart"/>
      <w:r w:rsidRPr="00F93E4B">
        <w:rPr>
          <w:sz w:val="22"/>
          <w:szCs w:val="22"/>
        </w:rPr>
        <w:t>english</w:t>
      </w:r>
      <w:proofErr w:type="spellEnd"/>
      <w:r w:rsidRPr="00F93E4B">
        <w:rPr>
          <w:sz w:val="22"/>
          <w:szCs w:val="22"/>
        </w:rPr>
        <w:t xml:space="preserve"> local authority joint health and wellbeing strategies to improve health under austerity conditions, 2013–2017; </w:t>
      </w:r>
      <w:r w:rsidRPr="00F93E4B">
        <w:rPr>
          <w:i/>
          <w:iCs/>
          <w:sz w:val="22"/>
          <w:szCs w:val="22"/>
        </w:rPr>
        <w:t>Health &amp; Social Care in the Community</w:t>
      </w:r>
      <w:r w:rsidRPr="00F93E4B">
        <w:rPr>
          <w:sz w:val="22"/>
          <w:szCs w:val="22"/>
        </w:rPr>
        <w:t xml:space="preserve">, 2024(1). Available at: </w:t>
      </w:r>
      <w:hyperlink r:id="rId38" w:history="1">
        <w:r w:rsidRPr="00F93E4B">
          <w:rPr>
            <w:rStyle w:val="Hyperlink"/>
            <w:sz w:val="22"/>
            <w:szCs w:val="22"/>
          </w:rPr>
          <w:t>https://doi:10.1155/2024/4764325</w:t>
        </w:r>
      </w:hyperlink>
      <w:r w:rsidRPr="00F93E4B">
        <w:rPr>
          <w:sz w:val="22"/>
          <w:szCs w:val="22"/>
        </w:rPr>
        <w:t xml:space="preserve">. </w:t>
      </w:r>
    </w:p>
    <w:p w14:paraId="01F554E3" w14:textId="77777777" w:rsidR="00F93E4B" w:rsidRPr="00F93E4B" w:rsidRDefault="00F93E4B" w:rsidP="006B0236">
      <w:pPr>
        <w:spacing w:after="200" w:line="360" w:lineRule="auto"/>
        <w:rPr>
          <w:sz w:val="22"/>
          <w:szCs w:val="22"/>
        </w:rPr>
      </w:pPr>
      <w:r w:rsidRPr="00F93E4B">
        <w:rPr>
          <w:sz w:val="22"/>
          <w:szCs w:val="22"/>
        </w:rPr>
        <w:t xml:space="preserve">UK Government (2019) </w:t>
      </w:r>
      <w:r w:rsidRPr="00F93E4B">
        <w:rPr>
          <w:i/>
          <w:iCs/>
          <w:sz w:val="22"/>
          <w:szCs w:val="22"/>
        </w:rPr>
        <w:t>UK Voluntary National Review of Progress Towards the Sustainable Development Goals - GOV.UK</w:t>
      </w:r>
      <w:r w:rsidRPr="00F93E4B">
        <w:rPr>
          <w:sz w:val="22"/>
          <w:szCs w:val="22"/>
        </w:rPr>
        <w:t xml:space="preserve">.  Available at: </w:t>
      </w:r>
      <w:hyperlink r:id="rId39" w:history="1">
        <w:r w:rsidRPr="00F93E4B">
          <w:rPr>
            <w:rStyle w:val="Hyperlink"/>
            <w:sz w:val="22"/>
            <w:szCs w:val="22"/>
          </w:rPr>
          <w:t>https://www.gov.uk/government/topical-events/uk-voluntary-national-review-of-progress-towards-the-sustainable-development-goals</w:t>
        </w:r>
      </w:hyperlink>
      <w:r w:rsidRPr="00F93E4B">
        <w:rPr>
          <w:sz w:val="22"/>
          <w:szCs w:val="22"/>
        </w:rPr>
        <w:t>. (Accessed 5 July 2026).</w:t>
      </w:r>
    </w:p>
    <w:p w14:paraId="3BC6308D" w14:textId="77777777" w:rsidR="00F93E4B" w:rsidRPr="00F93E4B" w:rsidRDefault="00F93E4B" w:rsidP="006B0236">
      <w:pPr>
        <w:spacing w:after="200" w:line="360" w:lineRule="auto"/>
        <w:rPr>
          <w:sz w:val="22"/>
          <w:szCs w:val="22"/>
        </w:rPr>
      </w:pPr>
      <w:r w:rsidRPr="00F93E4B">
        <w:rPr>
          <w:sz w:val="22"/>
          <w:szCs w:val="22"/>
        </w:rPr>
        <w:t xml:space="preserve">United Nations (2023) </w:t>
      </w:r>
      <w:r w:rsidRPr="00F93E4B">
        <w:rPr>
          <w:i/>
          <w:iCs/>
          <w:sz w:val="22"/>
          <w:szCs w:val="22"/>
        </w:rPr>
        <w:t>Sustainable development goals</w:t>
      </w:r>
      <w:r w:rsidRPr="00F93E4B">
        <w:rPr>
          <w:sz w:val="22"/>
          <w:szCs w:val="22"/>
        </w:rPr>
        <w:t xml:space="preserve">. Available at: </w:t>
      </w:r>
      <w:hyperlink r:id="rId40" w:history="1">
        <w:r w:rsidRPr="00F93E4B">
          <w:rPr>
            <w:rStyle w:val="Hyperlink"/>
            <w:sz w:val="22"/>
            <w:szCs w:val="22"/>
          </w:rPr>
          <w:t>https://www.un.org/sustainabledevelopment/sustainable-development-goals/</w:t>
        </w:r>
      </w:hyperlink>
      <w:r w:rsidRPr="00F93E4B">
        <w:rPr>
          <w:sz w:val="22"/>
          <w:szCs w:val="22"/>
        </w:rPr>
        <w:t xml:space="preserve">  (Accessed 5 July 2026).</w:t>
      </w:r>
    </w:p>
    <w:p w14:paraId="3D4171E2" w14:textId="77777777" w:rsidR="00F93E4B" w:rsidRPr="00F93E4B" w:rsidRDefault="00F93E4B" w:rsidP="006B0236">
      <w:pPr>
        <w:spacing w:after="160" w:line="360" w:lineRule="auto"/>
        <w:ind w:left="720" w:hanging="720"/>
        <w:rPr>
          <w:sz w:val="22"/>
          <w:szCs w:val="22"/>
        </w:rPr>
      </w:pPr>
      <w:r w:rsidRPr="00F93E4B">
        <w:rPr>
          <w:sz w:val="22"/>
          <w:szCs w:val="22"/>
        </w:rPr>
        <w:t xml:space="preserve">Wall, C., Tolar-Peterson, T., Reeder, N., Roberts, M., Reynolds, A. and Rico Mendez, G. (2022) ‘The impact of school meal programs on educational outcomes in </w:t>
      </w:r>
      <w:proofErr w:type="spellStart"/>
      <w:r w:rsidRPr="00F93E4B">
        <w:rPr>
          <w:sz w:val="22"/>
          <w:szCs w:val="22"/>
        </w:rPr>
        <w:t>african</w:t>
      </w:r>
      <w:proofErr w:type="spellEnd"/>
      <w:r w:rsidRPr="00F93E4B">
        <w:rPr>
          <w:sz w:val="22"/>
          <w:szCs w:val="22"/>
        </w:rPr>
        <w:t xml:space="preserve"> schoolchildren: A systematic review; </w:t>
      </w:r>
      <w:r w:rsidRPr="00F93E4B">
        <w:rPr>
          <w:i/>
          <w:iCs/>
          <w:sz w:val="22"/>
          <w:szCs w:val="22"/>
        </w:rPr>
        <w:t>International Journal of Environmental Research and Public Health</w:t>
      </w:r>
      <w:r w:rsidRPr="00F93E4B">
        <w:rPr>
          <w:sz w:val="22"/>
          <w:szCs w:val="22"/>
        </w:rPr>
        <w:t xml:space="preserve">, 19(6), p.3666. Available at </w:t>
      </w:r>
      <w:hyperlink r:id="rId41" w:history="1">
        <w:r w:rsidRPr="00F93E4B">
          <w:rPr>
            <w:rStyle w:val="Hyperlink"/>
            <w:sz w:val="22"/>
            <w:szCs w:val="22"/>
          </w:rPr>
          <w:t>https://doi:10.3390/ijerph19063666</w:t>
        </w:r>
      </w:hyperlink>
      <w:r w:rsidRPr="00F93E4B">
        <w:rPr>
          <w:sz w:val="22"/>
          <w:szCs w:val="22"/>
        </w:rPr>
        <w:t xml:space="preserve">. </w:t>
      </w:r>
    </w:p>
    <w:p w14:paraId="12BAC1B9" w14:textId="77777777" w:rsidR="00F93E4B" w:rsidRDefault="00F93E4B" w:rsidP="006B0236">
      <w:pPr>
        <w:spacing w:line="360" w:lineRule="auto"/>
        <w:rPr>
          <w:sz w:val="22"/>
          <w:szCs w:val="22"/>
        </w:rPr>
      </w:pPr>
      <w:r w:rsidRPr="00F93E4B">
        <w:rPr>
          <w:sz w:val="22"/>
          <w:szCs w:val="22"/>
        </w:rPr>
        <w:t xml:space="preserve">Wilson, K.E. (2025) ‘The Public Mental Health Framework: thinking about law as preventive medicine; </w:t>
      </w:r>
      <w:r w:rsidRPr="00F93E4B">
        <w:rPr>
          <w:i/>
          <w:iCs/>
          <w:sz w:val="22"/>
          <w:szCs w:val="22"/>
        </w:rPr>
        <w:t>Medical law review</w:t>
      </w:r>
      <w:r w:rsidRPr="00F93E4B">
        <w:rPr>
          <w:sz w:val="22"/>
          <w:szCs w:val="22"/>
        </w:rPr>
        <w:t xml:space="preserve">, 33(1). Available at: </w:t>
      </w:r>
      <w:hyperlink r:id="rId42" w:history="1">
        <w:r w:rsidRPr="00F93E4B">
          <w:rPr>
            <w:rStyle w:val="Hyperlink"/>
            <w:sz w:val="22"/>
            <w:szCs w:val="22"/>
          </w:rPr>
          <w:t>https://doi.org/10.1093/medlaw/fwaf002</w:t>
        </w:r>
      </w:hyperlink>
      <w:r w:rsidRPr="00F93E4B">
        <w:rPr>
          <w:sz w:val="22"/>
          <w:szCs w:val="22"/>
        </w:rPr>
        <w:t xml:space="preserve">. </w:t>
      </w:r>
    </w:p>
    <w:p w14:paraId="4C271D19" w14:textId="77777777" w:rsidR="00342BFC" w:rsidRPr="00F93E4B" w:rsidRDefault="00342BFC" w:rsidP="006B0236">
      <w:pPr>
        <w:spacing w:line="360" w:lineRule="auto"/>
        <w:rPr>
          <w:sz w:val="22"/>
          <w:szCs w:val="22"/>
        </w:rPr>
      </w:pPr>
    </w:p>
    <w:p w14:paraId="21A688C9" w14:textId="77777777" w:rsidR="00F93E4B" w:rsidRPr="00F93E4B" w:rsidRDefault="00F93E4B" w:rsidP="006B0236">
      <w:pPr>
        <w:spacing w:after="160" w:line="360" w:lineRule="auto"/>
        <w:ind w:left="720" w:hanging="720"/>
        <w:rPr>
          <w:sz w:val="22"/>
          <w:szCs w:val="22"/>
        </w:rPr>
      </w:pPr>
      <w:r w:rsidRPr="00F93E4B">
        <w:rPr>
          <w:sz w:val="22"/>
          <w:szCs w:val="22"/>
        </w:rPr>
        <w:t xml:space="preserve">World Health Organization (2024) </w:t>
      </w:r>
      <w:r w:rsidRPr="00F93E4B">
        <w:rPr>
          <w:i/>
          <w:iCs/>
          <w:sz w:val="22"/>
          <w:szCs w:val="22"/>
        </w:rPr>
        <w:t>Noncommunicable diseases</w:t>
      </w:r>
      <w:r w:rsidRPr="00F93E4B">
        <w:rPr>
          <w:sz w:val="22"/>
          <w:szCs w:val="22"/>
        </w:rPr>
        <w:t xml:space="preserve">.  Available at: </w:t>
      </w:r>
      <w:hyperlink r:id="rId43" w:history="1">
        <w:r w:rsidRPr="00F93E4B">
          <w:rPr>
            <w:rStyle w:val="Hyperlink"/>
            <w:sz w:val="22"/>
            <w:szCs w:val="22"/>
          </w:rPr>
          <w:t>https://www.who.int/news-room/fact-sheets/detail/noncommunicable-diseases</w:t>
        </w:r>
      </w:hyperlink>
      <w:r w:rsidRPr="00F93E4B">
        <w:rPr>
          <w:sz w:val="22"/>
          <w:szCs w:val="22"/>
        </w:rPr>
        <w:t xml:space="preserve">  (Accessed 13 July 2026).</w:t>
      </w:r>
    </w:p>
    <w:p w14:paraId="0CDA51CD" w14:textId="77777777" w:rsidR="00F93E4B" w:rsidRPr="00F93E4B" w:rsidRDefault="00F93E4B" w:rsidP="006B0236">
      <w:pPr>
        <w:spacing w:after="160" w:line="360" w:lineRule="auto"/>
        <w:ind w:left="720" w:hanging="720"/>
        <w:rPr>
          <w:sz w:val="22"/>
          <w:szCs w:val="22"/>
        </w:rPr>
      </w:pPr>
      <w:r w:rsidRPr="00F93E4B">
        <w:rPr>
          <w:sz w:val="22"/>
          <w:szCs w:val="22"/>
        </w:rPr>
        <w:t xml:space="preserve">World Health Organization (2024) </w:t>
      </w:r>
      <w:r w:rsidRPr="00F93E4B">
        <w:rPr>
          <w:i/>
          <w:iCs/>
          <w:sz w:val="22"/>
          <w:szCs w:val="22"/>
        </w:rPr>
        <w:t>Sustainable Development Goals 3 - The Global Action Plan for Healthy Lives and Well-being for All</w:t>
      </w:r>
      <w:r w:rsidRPr="00F93E4B">
        <w:rPr>
          <w:sz w:val="22"/>
          <w:szCs w:val="22"/>
        </w:rPr>
        <w:t xml:space="preserve">. Www.who.int. Available at: </w:t>
      </w:r>
      <w:hyperlink r:id="rId44" w:history="1">
        <w:r w:rsidRPr="00F93E4B">
          <w:rPr>
            <w:rStyle w:val="Hyperlink"/>
            <w:sz w:val="22"/>
            <w:szCs w:val="22"/>
          </w:rPr>
          <w:t>https://www.who.int/initiatives/sdg3-global-action-plan</w:t>
        </w:r>
      </w:hyperlink>
      <w:r w:rsidRPr="00F93E4B">
        <w:rPr>
          <w:sz w:val="22"/>
          <w:szCs w:val="22"/>
        </w:rPr>
        <w:t xml:space="preserve">  (Accessed 13 July 2026).</w:t>
      </w:r>
    </w:p>
    <w:sectPr w:rsidR="00F93E4B" w:rsidRPr="00F93E4B">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45F85" w14:textId="77777777" w:rsidR="003A3421" w:rsidRDefault="003A3421" w:rsidP="00670494">
      <w:r>
        <w:separator/>
      </w:r>
    </w:p>
  </w:endnote>
  <w:endnote w:type="continuationSeparator" w:id="0">
    <w:p w14:paraId="550E3DDF" w14:textId="77777777" w:rsidR="003A3421" w:rsidRDefault="003A3421" w:rsidP="006704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1C07D6" w14:textId="77777777" w:rsidR="00670494" w:rsidRDefault="006704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1508410"/>
      <w:docPartObj>
        <w:docPartGallery w:val="Page Numbers (Bottom of Page)"/>
        <w:docPartUnique/>
      </w:docPartObj>
    </w:sdtPr>
    <w:sdtEndPr>
      <w:rPr>
        <w:noProof/>
      </w:rPr>
    </w:sdtEndPr>
    <w:sdtContent>
      <w:p w14:paraId="11467DEE" w14:textId="058C1FEA" w:rsidR="00670494" w:rsidRDefault="006704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944306" w14:textId="77777777" w:rsidR="00670494" w:rsidRDefault="006704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22446" w14:textId="77777777" w:rsidR="00670494" w:rsidRDefault="00670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D3B49" w14:textId="77777777" w:rsidR="003A3421" w:rsidRDefault="003A3421" w:rsidP="00670494">
      <w:r>
        <w:separator/>
      </w:r>
    </w:p>
  </w:footnote>
  <w:footnote w:type="continuationSeparator" w:id="0">
    <w:p w14:paraId="273F5E78" w14:textId="77777777" w:rsidR="003A3421" w:rsidRDefault="003A3421" w:rsidP="006704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83F7D" w14:textId="77777777" w:rsidR="00670494" w:rsidRDefault="006704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BDDA2" w14:textId="77777777" w:rsidR="00670494" w:rsidRDefault="006704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5D5CD" w14:textId="77777777" w:rsidR="00670494" w:rsidRDefault="006704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2A2C8B"/>
    <w:multiLevelType w:val="hybridMultilevel"/>
    <w:tmpl w:val="D196F17A"/>
    <w:lvl w:ilvl="0" w:tplc="711823DA">
      <w:start w:val="1"/>
      <w:numFmt w:val="bullet"/>
      <w:lvlText w:val="●"/>
      <w:lvlJc w:val="left"/>
      <w:pPr>
        <w:ind w:left="720" w:hanging="360"/>
      </w:pPr>
    </w:lvl>
    <w:lvl w:ilvl="1" w:tplc="C95EA444">
      <w:start w:val="1"/>
      <w:numFmt w:val="bullet"/>
      <w:lvlText w:val="○"/>
      <w:lvlJc w:val="left"/>
      <w:pPr>
        <w:ind w:left="1440" w:hanging="360"/>
      </w:pPr>
    </w:lvl>
    <w:lvl w:ilvl="2" w:tplc="2C30B60E">
      <w:start w:val="1"/>
      <w:numFmt w:val="bullet"/>
      <w:lvlText w:val="■"/>
      <w:lvlJc w:val="left"/>
      <w:pPr>
        <w:ind w:left="2160" w:hanging="360"/>
      </w:pPr>
    </w:lvl>
    <w:lvl w:ilvl="3" w:tplc="D5EAF83A">
      <w:start w:val="1"/>
      <w:numFmt w:val="bullet"/>
      <w:lvlText w:val="●"/>
      <w:lvlJc w:val="left"/>
      <w:pPr>
        <w:ind w:left="2880" w:hanging="360"/>
      </w:pPr>
    </w:lvl>
    <w:lvl w:ilvl="4" w:tplc="5CA23032">
      <w:start w:val="1"/>
      <w:numFmt w:val="bullet"/>
      <w:lvlText w:val="○"/>
      <w:lvlJc w:val="left"/>
      <w:pPr>
        <w:ind w:left="3600" w:hanging="360"/>
      </w:pPr>
    </w:lvl>
    <w:lvl w:ilvl="5" w:tplc="6B7E4FCE">
      <w:start w:val="1"/>
      <w:numFmt w:val="bullet"/>
      <w:lvlText w:val="■"/>
      <w:lvlJc w:val="left"/>
      <w:pPr>
        <w:ind w:left="4320" w:hanging="360"/>
      </w:pPr>
    </w:lvl>
    <w:lvl w:ilvl="6" w:tplc="083AEEC4">
      <w:start w:val="1"/>
      <w:numFmt w:val="bullet"/>
      <w:lvlText w:val="●"/>
      <w:lvlJc w:val="left"/>
      <w:pPr>
        <w:ind w:left="5040" w:hanging="360"/>
      </w:pPr>
    </w:lvl>
    <w:lvl w:ilvl="7" w:tplc="831AFEB6">
      <w:start w:val="1"/>
      <w:numFmt w:val="bullet"/>
      <w:lvlText w:val="●"/>
      <w:lvlJc w:val="left"/>
      <w:pPr>
        <w:ind w:left="5760" w:hanging="360"/>
      </w:pPr>
    </w:lvl>
    <w:lvl w:ilvl="8" w:tplc="17987BE8">
      <w:start w:val="1"/>
      <w:numFmt w:val="bullet"/>
      <w:lvlText w:val="●"/>
      <w:lvlJc w:val="left"/>
      <w:pPr>
        <w:ind w:left="6480" w:hanging="360"/>
      </w:pPr>
    </w:lvl>
  </w:abstractNum>
  <w:num w:numId="1" w16cid:durableId="23693708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1CC4"/>
    <w:rsid w:val="0000284A"/>
    <w:rsid w:val="00003F83"/>
    <w:rsid w:val="000122DE"/>
    <w:rsid w:val="00024019"/>
    <w:rsid w:val="0002492A"/>
    <w:rsid w:val="000252B2"/>
    <w:rsid w:val="000269DC"/>
    <w:rsid w:val="00027658"/>
    <w:rsid w:val="0003047A"/>
    <w:rsid w:val="00040B1B"/>
    <w:rsid w:val="000414EC"/>
    <w:rsid w:val="00041C1F"/>
    <w:rsid w:val="00046A54"/>
    <w:rsid w:val="0004781C"/>
    <w:rsid w:val="00047A58"/>
    <w:rsid w:val="00050CAC"/>
    <w:rsid w:val="000620E7"/>
    <w:rsid w:val="000656E7"/>
    <w:rsid w:val="00066F69"/>
    <w:rsid w:val="0008091D"/>
    <w:rsid w:val="000821CB"/>
    <w:rsid w:val="00096938"/>
    <w:rsid w:val="000A3D83"/>
    <w:rsid w:val="000B10FA"/>
    <w:rsid w:val="000B4CB4"/>
    <w:rsid w:val="000C5484"/>
    <w:rsid w:val="000D3E3C"/>
    <w:rsid w:val="000E0AD1"/>
    <w:rsid w:val="000E42C1"/>
    <w:rsid w:val="000E736A"/>
    <w:rsid w:val="000E7526"/>
    <w:rsid w:val="000F0071"/>
    <w:rsid w:val="000F7C18"/>
    <w:rsid w:val="001005D5"/>
    <w:rsid w:val="001020B0"/>
    <w:rsid w:val="0010431A"/>
    <w:rsid w:val="00113402"/>
    <w:rsid w:val="00117D7D"/>
    <w:rsid w:val="00117FC4"/>
    <w:rsid w:val="00124417"/>
    <w:rsid w:val="00126472"/>
    <w:rsid w:val="001320D9"/>
    <w:rsid w:val="00135C84"/>
    <w:rsid w:val="00142854"/>
    <w:rsid w:val="001454D2"/>
    <w:rsid w:val="00145A18"/>
    <w:rsid w:val="00154FC8"/>
    <w:rsid w:val="001642B2"/>
    <w:rsid w:val="00170CA3"/>
    <w:rsid w:val="001731D3"/>
    <w:rsid w:val="0017337B"/>
    <w:rsid w:val="00181D5B"/>
    <w:rsid w:val="00185725"/>
    <w:rsid w:val="001918E2"/>
    <w:rsid w:val="001A0482"/>
    <w:rsid w:val="001A3A29"/>
    <w:rsid w:val="001A3DAC"/>
    <w:rsid w:val="001C3D97"/>
    <w:rsid w:val="001C50F2"/>
    <w:rsid w:val="001C7B5C"/>
    <w:rsid w:val="001D3AC1"/>
    <w:rsid w:val="001E0B79"/>
    <w:rsid w:val="001E39C5"/>
    <w:rsid w:val="001F570E"/>
    <w:rsid w:val="00202BAA"/>
    <w:rsid w:val="00206CA9"/>
    <w:rsid w:val="00213544"/>
    <w:rsid w:val="0021436D"/>
    <w:rsid w:val="00214EE5"/>
    <w:rsid w:val="00220A29"/>
    <w:rsid w:val="00220AEC"/>
    <w:rsid w:val="002329F0"/>
    <w:rsid w:val="002344F2"/>
    <w:rsid w:val="00255423"/>
    <w:rsid w:val="00255BC8"/>
    <w:rsid w:val="00266A6F"/>
    <w:rsid w:val="00270287"/>
    <w:rsid w:val="0027311D"/>
    <w:rsid w:val="00274302"/>
    <w:rsid w:val="00283924"/>
    <w:rsid w:val="0028496B"/>
    <w:rsid w:val="00293B92"/>
    <w:rsid w:val="00295777"/>
    <w:rsid w:val="002A7CB9"/>
    <w:rsid w:val="002B1791"/>
    <w:rsid w:val="002B4F57"/>
    <w:rsid w:val="002B66BC"/>
    <w:rsid w:val="002B6E64"/>
    <w:rsid w:val="002C082C"/>
    <w:rsid w:val="002C1F38"/>
    <w:rsid w:val="002C3090"/>
    <w:rsid w:val="002D5B41"/>
    <w:rsid w:val="002D6D09"/>
    <w:rsid w:val="002E3F08"/>
    <w:rsid w:val="002E58A2"/>
    <w:rsid w:val="002E78AF"/>
    <w:rsid w:val="0030264F"/>
    <w:rsid w:val="0031747D"/>
    <w:rsid w:val="003204B4"/>
    <w:rsid w:val="00321DE3"/>
    <w:rsid w:val="003272A7"/>
    <w:rsid w:val="003307FB"/>
    <w:rsid w:val="00333BC9"/>
    <w:rsid w:val="00333BEC"/>
    <w:rsid w:val="00340296"/>
    <w:rsid w:val="00342BFC"/>
    <w:rsid w:val="00344D5A"/>
    <w:rsid w:val="0036065E"/>
    <w:rsid w:val="00374234"/>
    <w:rsid w:val="00375EB1"/>
    <w:rsid w:val="00376E01"/>
    <w:rsid w:val="00383BF6"/>
    <w:rsid w:val="00383C1B"/>
    <w:rsid w:val="00387F02"/>
    <w:rsid w:val="00390FEF"/>
    <w:rsid w:val="003911E2"/>
    <w:rsid w:val="00394EAE"/>
    <w:rsid w:val="003A3421"/>
    <w:rsid w:val="003B32DE"/>
    <w:rsid w:val="003B3F7F"/>
    <w:rsid w:val="003B7959"/>
    <w:rsid w:val="003C6553"/>
    <w:rsid w:val="003C7AAA"/>
    <w:rsid w:val="003D7266"/>
    <w:rsid w:val="003E7DC5"/>
    <w:rsid w:val="003F5878"/>
    <w:rsid w:val="003F77BB"/>
    <w:rsid w:val="004009D2"/>
    <w:rsid w:val="004011FA"/>
    <w:rsid w:val="0040229A"/>
    <w:rsid w:val="00405B22"/>
    <w:rsid w:val="00406615"/>
    <w:rsid w:val="00412287"/>
    <w:rsid w:val="00416039"/>
    <w:rsid w:val="00416A0A"/>
    <w:rsid w:val="00425C5B"/>
    <w:rsid w:val="00434EAD"/>
    <w:rsid w:val="004373E6"/>
    <w:rsid w:val="00443B5C"/>
    <w:rsid w:val="00450F7E"/>
    <w:rsid w:val="0045345D"/>
    <w:rsid w:val="00454E95"/>
    <w:rsid w:val="004562BD"/>
    <w:rsid w:val="00460120"/>
    <w:rsid w:val="004601AE"/>
    <w:rsid w:val="004612DA"/>
    <w:rsid w:val="004629C3"/>
    <w:rsid w:val="0046756D"/>
    <w:rsid w:val="0047021B"/>
    <w:rsid w:val="004725EE"/>
    <w:rsid w:val="00477746"/>
    <w:rsid w:val="00481DAE"/>
    <w:rsid w:val="0048424E"/>
    <w:rsid w:val="004871BA"/>
    <w:rsid w:val="00490F78"/>
    <w:rsid w:val="004917C7"/>
    <w:rsid w:val="004972EC"/>
    <w:rsid w:val="00497A94"/>
    <w:rsid w:val="004A3CAF"/>
    <w:rsid w:val="004B392D"/>
    <w:rsid w:val="004B4D03"/>
    <w:rsid w:val="004C73B7"/>
    <w:rsid w:val="004D1851"/>
    <w:rsid w:val="004E250D"/>
    <w:rsid w:val="004E31C9"/>
    <w:rsid w:val="004E518C"/>
    <w:rsid w:val="004E5CD7"/>
    <w:rsid w:val="004E5D39"/>
    <w:rsid w:val="004F236E"/>
    <w:rsid w:val="004F7DBB"/>
    <w:rsid w:val="00502B90"/>
    <w:rsid w:val="00510343"/>
    <w:rsid w:val="005203CF"/>
    <w:rsid w:val="00525FB1"/>
    <w:rsid w:val="00532B86"/>
    <w:rsid w:val="005418EE"/>
    <w:rsid w:val="00555DCF"/>
    <w:rsid w:val="00563E64"/>
    <w:rsid w:val="00572445"/>
    <w:rsid w:val="00572646"/>
    <w:rsid w:val="0057269F"/>
    <w:rsid w:val="0058331B"/>
    <w:rsid w:val="005852BB"/>
    <w:rsid w:val="0059064D"/>
    <w:rsid w:val="00591EC8"/>
    <w:rsid w:val="0059222B"/>
    <w:rsid w:val="005935DE"/>
    <w:rsid w:val="005A5B7A"/>
    <w:rsid w:val="005B04FA"/>
    <w:rsid w:val="005B05A2"/>
    <w:rsid w:val="005B102B"/>
    <w:rsid w:val="005B67C2"/>
    <w:rsid w:val="005B7DA7"/>
    <w:rsid w:val="005C2F67"/>
    <w:rsid w:val="005C6702"/>
    <w:rsid w:val="005C71BD"/>
    <w:rsid w:val="005D1C35"/>
    <w:rsid w:val="005D769C"/>
    <w:rsid w:val="005E34C6"/>
    <w:rsid w:val="005E7DAB"/>
    <w:rsid w:val="005F1C2B"/>
    <w:rsid w:val="005F5472"/>
    <w:rsid w:val="005F5F03"/>
    <w:rsid w:val="006047B8"/>
    <w:rsid w:val="00610C8E"/>
    <w:rsid w:val="006127E3"/>
    <w:rsid w:val="006157E2"/>
    <w:rsid w:val="006233C2"/>
    <w:rsid w:val="00625C6B"/>
    <w:rsid w:val="00632AB5"/>
    <w:rsid w:val="00632C42"/>
    <w:rsid w:val="006346F5"/>
    <w:rsid w:val="00634DA5"/>
    <w:rsid w:val="0064184F"/>
    <w:rsid w:val="006464F4"/>
    <w:rsid w:val="00647C2F"/>
    <w:rsid w:val="0065061A"/>
    <w:rsid w:val="0067047D"/>
    <w:rsid w:val="00670494"/>
    <w:rsid w:val="00671D99"/>
    <w:rsid w:val="0067607C"/>
    <w:rsid w:val="00682E5C"/>
    <w:rsid w:val="00692C82"/>
    <w:rsid w:val="00693F8A"/>
    <w:rsid w:val="00694E9C"/>
    <w:rsid w:val="006A0867"/>
    <w:rsid w:val="006A1380"/>
    <w:rsid w:val="006B0236"/>
    <w:rsid w:val="006B4A4F"/>
    <w:rsid w:val="006C79F3"/>
    <w:rsid w:val="006D2617"/>
    <w:rsid w:val="006E2B84"/>
    <w:rsid w:val="006E2D93"/>
    <w:rsid w:val="006E371B"/>
    <w:rsid w:val="006E777F"/>
    <w:rsid w:val="006F013F"/>
    <w:rsid w:val="006F2EFE"/>
    <w:rsid w:val="00711651"/>
    <w:rsid w:val="007149CE"/>
    <w:rsid w:val="00717260"/>
    <w:rsid w:val="00717A29"/>
    <w:rsid w:val="00742504"/>
    <w:rsid w:val="007536ED"/>
    <w:rsid w:val="00756332"/>
    <w:rsid w:val="00777761"/>
    <w:rsid w:val="00781102"/>
    <w:rsid w:val="00782996"/>
    <w:rsid w:val="0078643A"/>
    <w:rsid w:val="00795062"/>
    <w:rsid w:val="007A4E30"/>
    <w:rsid w:val="007A6BF8"/>
    <w:rsid w:val="007A7C3B"/>
    <w:rsid w:val="007B6005"/>
    <w:rsid w:val="007C0161"/>
    <w:rsid w:val="007D17FB"/>
    <w:rsid w:val="007E1BF7"/>
    <w:rsid w:val="007E5768"/>
    <w:rsid w:val="007E7120"/>
    <w:rsid w:val="007F1BF8"/>
    <w:rsid w:val="00803BA9"/>
    <w:rsid w:val="008040E3"/>
    <w:rsid w:val="008047FA"/>
    <w:rsid w:val="008063E9"/>
    <w:rsid w:val="008110C7"/>
    <w:rsid w:val="00814379"/>
    <w:rsid w:val="008158F6"/>
    <w:rsid w:val="00815AF1"/>
    <w:rsid w:val="00826F53"/>
    <w:rsid w:val="0082729B"/>
    <w:rsid w:val="00830A32"/>
    <w:rsid w:val="00830B1E"/>
    <w:rsid w:val="00831534"/>
    <w:rsid w:val="00831FBB"/>
    <w:rsid w:val="0083235C"/>
    <w:rsid w:val="0084282F"/>
    <w:rsid w:val="008466BB"/>
    <w:rsid w:val="008477AF"/>
    <w:rsid w:val="008524F7"/>
    <w:rsid w:val="00856542"/>
    <w:rsid w:val="0087230B"/>
    <w:rsid w:val="00874543"/>
    <w:rsid w:val="00881BAF"/>
    <w:rsid w:val="00893CB8"/>
    <w:rsid w:val="008940AA"/>
    <w:rsid w:val="008A5AAD"/>
    <w:rsid w:val="008B0100"/>
    <w:rsid w:val="008B113B"/>
    <w:rsid w:val="008B1F4B"/>
    <w:rsid w:val="008B33B5"/>
    <w:rsid w:val="008B40A9"/>
    <w:rsid w:val="008C7C4A"/>
    <w:rsid w:val="008D39C6"/>
    <w:rsid w:val="008D739F"/>
    <w:rsid w:val="008D799E"/>
    <w:rsid w:val="008F0505"/>
    <w:rsid w:val="008F367D"/>
    <w:rsid w:val="008F7AE4"/>
    <w:rsid w:val="00901641"/>
    <w:rsid w:val="00903104"/>
    <w:rsid w:val="00903DFD"/>
    <w:rsid w:val="00903ECD"/>
    <w:rsid w:val="00907006"/>
    <w:rsid w:val="00913F9D"/>
    <w:rsid w:val="0091490A"/>
    <w:rsid w:val="009149D2"/>
    <w:rsid w:val="00914E3D"/>
    <w:rsid w:val="00915C30"/>
    <w:rsid w:val="00917B6D"/>
    <w:rsid w:val="0092283D"/>
    <w:rsid w:val="009251C0"/>
    <w:rsid w:val="00935436"/>
    <w:rsid w:val="009410A2"/>
    <w:rsid w:val="00942C99"/>
    <w:rsid w:val="00944B55"/>
    <w:rsid w:val="0095055B"/>
    <w:rsid w:val="009526E0"/>
    <w:rsid w:val="00965E81"/>
    <w:rsid w:val="0097149B"/>
    <w:rsid w:val="00973845"/>
    <w:rsid w:val="00974711"/>
    <w:rsid w:val="009769ED"/>
    <w:rsid w:val="009833A8"/>
    <w:rsid w:val="00987970"/>
    <w:rsid w:val="00987D70"/>
    <w:rsid w:val="00995123"/>
    <w:rsid w:val="00996407"/>
    <w:rsid w:val="0099732C"/>
    <w:rsid w:val="009A2795"/>
    <w:rsid w:val="009A6859"/>
    <w:rsid w:val="009A6EB2"/>
    <w:rsid w:val="009C0CFE"/>
    <w:rsid w:val="009C73E9"/>
    <w:rsid w:val="009D06F0"/>
    <w:rsid w:val="009D249A"/>
    <w:rsid w:val="009D2E12"/>
    <w:rsid w:val="009D6B85"/>
    <w:rsid w:val="009E0DD0"/>
    <w:rsid w:val="009F2FF3"/>
    <w:rsid w:val="009F6C5F"/>
    <w:rsid w:val="00A02DE7"/>
    <w:rsid w:val="00A03325"/>
    <w:rsid w:val="00A07F0E"/>
    <w:rsid w:val="00A11818"/>
    <w:rsid w:val="00A12E84"/>
    <w:rsid w:val="00A151A4"/>
    <w:rsid w:val="00A17420"/>
    <w:rsid w:val="00A26C79"/>
    <w:rsid w:val="00A27F62"/>
    <w:rsid w:val="00A35EE9"/>
    <w:rsid w:val="00A36A4E"/>
    <w:rsid w:val="00A40AC6"/>
    <w:rsid w:val="00A43276"/>
    <w:rsid w:val="00A447C7"/>
    <w:rsid w:val="00A47833"/>
    <w:rsid w:val="00A55471"/>
    <w:rsid w:val="00A557B1"/>
    <w:rsid w:val="00A55AE7"/>
    <w:rsid w:val="00A57B98"/>
    <w:rsid w:val="00A6721C"/>
    <w:rsid w:val="00A76770"/>
    <w:rsid w:val="00A76F5F"/>
    <w:rsid w:val="00A80814"/>
    <w:rsid w:val="00A81BA9"/>
    <w:rsid w:val="00A82421"/>
    <w:rsid w:val="00A82978"/>
    <w:rsid w:val="00A86E4A"/>
    <w:rsid w:val="00A92385"/>
    <w:rsid w:val="00A9300F"/>
    <w:rsid w:val="00AA3B93"/>
    <w:rsid w:val="00AE0185"/>
    <w:rsid w:val="00AF15F9"/>
    <w:rsid w:val="00B046FD"/>
    <w:rsid w:val="00B04973"/>
    <w:rsid w:val="00B05603"/>
    <w:rsid w:val="00B05EDB"/>
    <w:rsid w:val="00B06849"/>
    <w:rsid w:val="00B11362"/>
    <w:rsid w:val="00B20FC2"/>
    <w:rsid w:val="00B23573"/>
    <w:rsid w:val="00B27E29"/>
    <w:rsid w:val="00B3255C"/>
    <w:rsid w:val="00B33085"/>
    <w:rsid w:val="00B33DCC"/>
    <w:rsid w:val="00B36AEC"/>
    <w:rsid w:val="00B440B4"/>
    <w:rsid w:val="00B455F0"/>
    <w:rsid w:val="00B4564D"/>
    <w:rsid w:val="00B45FF0"/>
    <w:rsid w:val="00B501EA"/>
    <w:rsid w:val="00B50756"/>
    <w:rsid w:val="00B53C99"/>
    <w:rsid w:val="00B631EF"/>
    <w:rsid w:val="00B7043F"/>
    <w:rsid w:val="00B71D55"/>
    <w:rsid w:val="00B74032"/>
    <w:rsid w:val="00B76807"/>
    <w:rsid w:val="00B83AD1"/>
    <w:rsid w:val="00B84D84"/>
    <w:rsid w:val="00B864CB"/>
    <w:rsid w:val="00B9029E"/>
    <w:rsid w:val="00B95D62"/>
    <w:rsid w:val="00BA7003"/>
    <w:rsid w:val="00BB2D28"/>
    <w:rsid w:val="00BB3D82"/>
    <w:rsid w:val="00BC0CF6"/>
    <w:rsid w:val="00BC10F7"/>
    <w:rsid w:val="00BC355A"/>
    <w:rsid w:val="00BC3CA0"/>
    <w:rsid w:val="00BD3101"/>
    <w:rsid w:val="00BD344C"/>
    <w:rsid w:val="00BF2B95"/>
    <w:rsid w:val="00BF2FAF"/>
    <w:rsid w:val="00BF5FBE"/>
    <w:rsid w:val="00C111C5"/>
    <w:rsid w:val="00C131B5"/>
    <w:rsid w:val="00C14496"/>
    <w:rsid w:val="00C22A1F"/>
    <w:rsid w:val="00C36269"/>
    <w:rsid w:val="00C371DB"/>
    <w:rsid w:val="00C402AF"/>
    <w:rsid w:val="00C43A4A"/>
    <w:rsid w:val="00C47ECB"/>
    <w:rsid w:val="00C50F44"/>
    <w:rsid w:val="00C54FFA"/>
    <w:rsid w:val="00C55301"/>
    <w:rsid w:val="00C5618F"/>
    <w:rsid w:val="00C57008"/>
    <w:rsid w:val="00C60735"/>
    <w:rsid w:val="00C61CC4"/>
    <w:rsid w:val="00C63E38"/>
    <w:rsid w:val="00C64046"/>
    <w:rsid w:val="00C66915"/>
    <w:rsid w:val="00C66EA9"/>
    <w:rsid w:val="00C77FA7"/>
    <w:rsid w:val="00C90215"/>
    <w:rsid w:val="00CA6DB2"/>
    <w:rsid w:val="00CC78F9"/>
    <w:rsid w:val="00CE020A"/>
    <w:rsid w:val="00CE37AA"/>
    <w:rsid w:val="00CE53AD"/>
    <w:rsid w:val="00CE7078"/>
    <w:rsid w:val="00CE762F"/>
    <w:rsid w:val="00CF5848"/>
    <w:rsid w:val="00CF7047"/>
    <w:rsid w:val="00D00B9E"/>
    <w:rsid w:val="00D0207B"/>
    <w:rsid w:val="00D109B7"/>
    <w:rsid w:val="00D11953"/>
    <w:rsid w:val="00D11A25"/>
    <w:rsid w:val="00D120B5"/>
    <w:rsid w:val="00D2383D"/>
    <w:rsid w:val="00D2574D"/>
    <w:rsid w:val="00D27424"/>
    <w:rsid w:val="00D30628"/>
    <w:rsid w:val="00D32BDB"/>
    <w:rsid w:val="00D32EDC"/>
    <w:rsid w:val="00D35EED"/>
    <w:rsid w:val="00D37B07"/>
    <w:rsid w:val="00D466CE"/>
    <w:rsid w:val="00D52739"/>
    <w:rsid w:val="00D53DC9"/>
    <w:rsid w:val="00D54083"/>
    <w:rsid w:val="00D616E2"/>
    <w:rsid w:val="00D800BA"/>
    <w:rsid w:val="00D80D12"/>
    <w:rsid w:val="00D83148"/>
    <w:rsid w:val="00D846AA"/>
    <w:rsid w:val="00D85162"/>
    <w:rsid w:val="00D96348"/>
    <w:rsid w:val="00DA198A"/>
    <w:rsid w:val="00DB1E19"/>
    <w:rsid w:val="00DB49C2"/>
    <w:rsid w:val="00DB7922"/>
    <w:rsid w:val="00DC06EF"/>
    <w:rsid w:val="00DC5F91"/>
    <w:rsid w:val="00DE0BA8"/>
    <w:rsid w:val="00DE109F"/>
    <w:rsid w:val="00DE33D5"/>
    <w:rsid w:val="00DE3BBF"/>
    <w:rsid w:val="00DE55F0"/>
    <w:rsid w:val="00DE5A73"/>
    <w:rsid w:val="00DE5DE1"/>
    <w:rsid w:val="00DE74EE"/>
    <w:rsid w:val="00DF24BD"/>
    <w:rsid w:val="00E02165"/>
    <w:rsid w:val="00E1157B"/>
    <w:rsid w:val="00E2054D"/>
    <w:rsid w:val="00E21CEC"/>
    <w:rsid w:val="00E25123"/>
    <w:rsid w:val="00E278BD"/>
    <w:rsid w:val="00E4019B"/>
    <w:rsid w:val="00E42161"/>
    <w:rsid w:val="00E5101D"/>
    <w:rsid w:val="00E5121A"/>
    <w:rsid w:val="00E55161"/>
    <w:rsid w:val="00E63BF0"/>
    <w:rsid w:val="00E64A32"/>
    <w:rsid w:val="00E6508E"/>
    <w:rsid w:val="00E758E4"/>
    <w:rsid w:val="00E80510"/>
    <w:rsid w:val="00E818FF"/>
    <w:rsid w:val="00E85E5C"/>
    <w:rsid w:val="00E93321"/>
    <w:rsid w:val="00E9586B"/>
    <w:rsid w:val="00E95E84"/>
    <w:rsid w:val="00EA3BEA"/>
    <w:rsid w:val="00EA6327"/>
    <w:rsid w:val="00EB6654"/>
    <w:rsid w:val="00EB7EC1"/>
    <w:rsid w:val="00EC3020"/>
    <w:rsid w:val="00EC704C"/>
    <w:rsid w:val="00ED4F11"/>
    <w:rsid w:val="00EE472C"/>
    <w:rsid w:val="00EE4CD3"/>
    <w:rsid w:val="00EE4E5D"/>
    <w:rsid w:val="00EF20F1"/>
    <w:rsid w:val="00EF21AD"/>
    <w:rsid w:val="00EF3A5E"/>
    <w:rsid w:val="00F0397D"/>
    <w:rsid w:val="00F05F71"/>
    <w:rsid w:val="00F10DD5"/>
    <w:rsid w:val="00F259C8"/>
    <w:rsid w:val="00F25FB8"/>
    <w:rsid w:val="00F30FB7"/>
    <w:rsid w:val="00F3650F"/>
    <w:rsid w:val="00F433BA"/>
    <w:rsid w:val="00F45045"/>
    <w:rsid w:val="00F50726"/>
    <w:rsid w:val="00F5169A"/>
    <w:rsid w:val="00F536CA"/>
    <w:rsid w:val="00F60F16"/>
    <w:rsid w:val="00F6391C"/>
    <w:rsid w:val="00F70A1D"/>
    <w:rsid w:val="00F70DA8"/>
    <w:rsid w:val="00F73C3A"/>
    <w:rsid w:val="00F80AA6"/>
    <w:rsid w:val="00F81300"/>
    <w:rsid w:val="00F90806"/>
    <w:rsid w:val="00F93985"/>
    <w:rsid w:val="00F93E4B"/>
    <w:rsid w:val="00F942B6"/>
    <w:rsid w:val="00F963D3"/>
    <w:rsid w:val="00FB01E6"/>
    <w:rsid w:val="00FB21CE"/>
    <w:rsid w:val="00FC1534"/>
    <w:rsid w:val="00FC21E1"/>
    <w:rsid w:val="00FC32EC"/>
    <w:rsid w:val="00FC60DD"/>
    <w:rsid w:val="00FD20BD"/>
    <w:rsid w:val="00FE4C99"/>
    <w:rsid w:val="00FE5A9D"/>
    <w:rsid w:val="00FE5EE2"/>
    <w:rsid w:val="00FF0516"/>
    <w:rsid w:val="00FF3881"/>
    <w:rsid w:val="00FF5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A1832"/>
  <w15:docId w15:val="{E9169AE9-EEC1-4996-98F8-1A66CD8B6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60"/>
      <w:outlineLvl w:val="0"/>
    </w:pPr>
    <w:rPr>
      <w:b/>
      <w:bCs/>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1005D5"/>
    <w:rPr>
      <w:color w:val="605E5C"/>
      <w:shd w:val="clear" w:color="auto" w:fill="E1DFDD"/>
    </w:rPr>
  </w:style>
  <w:style w:type="paragraph" w:styleId="TOCHeading">
    <w:name w:val="TOC Heading"/>
    <w:basedOn w:val="Heading1"/>
    <w:next w:val="Normal"/>
    <w:uiPriority w:val="39"/>
    <w:unhideWhenUsed/>
    <w:qFormat/>
    <w:rsid w:val="0003047A"/>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450F7E"/>
    <w:pPr>
      <w:tabs>
        <w:tab w:val="right" w:leader="dot" w:pos="9016"/>
      </w:tabs>
      <w:spacing w:after="100" w:line="360" w:lineRule="auto"/>
    </w:pPr>
  </w:style>
  <w:style w:type="character" w:styleId="CommentReference">
    <w:name w:val="annotation reference"/>
    <w:basedOn w:val="DefaultParagraphFont"/>
    <w:uiPriority w:val="99"/>
    <w:semiHidden/>
    <w:unhideWhenUsed/>
    <w:rsid w:val="006A1380"/>
    <w:rPr>
      <w:sz w:val="16"/>
      <w:szCs w:val="16"/>
    </w:rPr>
  </w:style>
  <w:style w:type="paragraph" w:styleId="CommentText">
    <w:name w:val="annotation text"/>
    <w:basedOn w:val="Normal"/>
    <w:link w:val="CommentTextChar"/>
    <w:uiPriority w:val="99"/>
    <w:unhideWhenUsed/>
    <w:rsid w:val="006A1380"/>
    <w:rPr>
      <w:sz w:val="20"/>
      <w:szCs w:val="20"/>
    </w:rPr>
  </w:style>
  <w:style w:type="character" w:customStyle="1" w:styleId="CommentTextChar">
    <w:name w:val="Comment Text Char"/>
    <w:basedOn w:val="DefaultParagraphFont"/>
    <w:link w:val="CommentText"/>
    <w:uiPriority w:val="99"/>
    <w:rsid w:val="006A1380"/>
    <w:rPr>
      <w:sz w:val="20"/>
      <w:szCs w:val="20"/>
    </w:rPr>
  </w:style>
  <w:style w:type="paragraph" w:styleId="CommentSubject">
    <w:name w:val="annotation subject"/>
    <w:basedOn w:val="CommentText"/>
    <w:next w:val="CommentText"/>
    <w:link w:val="CommentSubjectChar"/>
    <w:uiPriority w:val="99"/>
    <w:semiHidden/>
    <w:unhideWhenUsed/>
    <w:rsid w:val="006A1380"/>
    <w:rPr>
      <w:b/>
      <w:bCs/>
    </w:rPr>
  </w:style>
  <w:style w:type="character" w:customStyle="1" w:styleId="CommentSubjectChar">
    <w:name w:val="Comment Subject Char"/>
    <w:basedOn w:val="CommentTextChar"/>
    <w:link w:val="CommentSubject"/>
    <w:uiPriority w:val="99"/>
    <w:semiHidden/>
    <w:rsid w:val="006A1380"/>
    <w:rPr>
      <w:b/>
      <w:bCs/>
      <w:sz w:val="20"/>
      <w:szCs w:val="20"/>
    </w:rPr>
  </w:style>
  <w:style w:type="paragraph" w:styleId="Header">
    <w:name w:val="header"/>
    <w:basedOn w:val="Normal"/>
    <w:link w:val="HeaderChar"/>
    <w:uiPriority w:val="99"/>
    <w:unhideWhenUsed/>
    <w:rsid w:val="00670494"/>
    <w:pPr>
      <w:tabs>
        <w:tab w:val="center" w:pos="4513"/>
        <w:tab w:val="right" w:pos="9026"/>
      </w:tabs>
    </w:pPr>
  </w:style>
  <w:style w:type="character" w:customStyle="1" w:styleId="HeaderChar">
    <w:name w:val="Header Char"/>
    <w:basedOn w:val="DefaultParagraphFont"/>
    <w:link w:val="Header"/>
    <w:uiPriority w:val="99"/>
    <w:rsid w:val="00670494"/>
  </w:style>
  <w:style w:type="paragraph" w:styleId="Footer">
    <w:name w:val="footer"/>
    <w:basedOn w:val="Normal"/>
    <w:link w:val="FooterChar"/>
    <w:uiPriority w:val="99"/>
    <w:unhideWhenUsed/>
    <w:rsid w:val="00670494"/>
    <w:pPr>
      <w:tabs>
        <w:tab w:val="center" w:pos="4513"/>
        <w:tab w:val="right" w:pos="9026"/>
      </w:tabs>
    </w:pPr>
  </w:style>
  <w:style w:type="character" w:customStyle="1" w:styleId="FooterChar">
    <w:name w:val="Footer Char"/>
    <w:basedOn w:val="DefaultParagraphFont"/>
    <w:link w:val="Footer"/>
    <w:uiPriority w:val="99"/>
    <w:rsid w:val="006704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https://doi.org/10.58248/RR56" TargetMode="External"/><Relationship Id="rId18" Type="http://schemas.openxmlformats.org/officeDocument/2006/relationships/hyperlink" Target="https://www.gov.uk/government/publications/10-year-health-plan-for-england-fit-for-the-future/fit-for-the-future-10-year-health-plan-for-england-executive-summary" TargetMode="External"/><Relationship Id="rId26" Type="http://schemas.openxmlformats.org/officeDocument/2006/relationships/hyperlink" Target="https://doi:10.3390/ijerph17249560" TargetMode="External"/><Relationship Id="rId39" Type="http://schemas.openxmlformats.org/officeDocument/2006/relationships/hyperlink" Target="https://www.gov.uk/government/topical-events/uk-voluntary-national-review-of-progress-towards-the-sustainable-development-goals" TargetMode="External"/><Relationship Id="rId21" Type="http://schemas.openxmlformats.org/officeDocument/2006/relationships/hyperlink" Target="https://doi:10.35847/lginsburg.4.3.66" TargetMode="External"/><Relationship Id="rId34" Type="http://schemas.openxmlformats.org/officeDocument/2006/relationships/hyperlink" Target="https://doi.org/10.1016/j.lansea.2023.100307" TargetMode="External"/><Relationship Id="rId42" Type="http://schemas.openxmlformats.org/officeDocument/2006/relationships/hyperlink" Target="https://doi.org/10.1093/medlaw/fwaf002"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93/bmb/ldaa008" TargetMode="External"/><Relationship Id="rId29" Type="http://schemas.openxmlformats.org/officeDocument/2006/relationships/hyperlink" Target="https://unstats.un.org/sdgs/report/2025/Goal-03/" TargetMode="External"/><Relationship Id="rId11" Type="http://schemas.openxmlformats.org/officeDocument/2006/relationships/hyperlink" Target="https://bmcpublichealth.biomedcentral.com/articles/10.1186/s12889-024-20089-5" TargetMode="External"/><Relationship Id="rId24" Type="http://schemas.openxmlformats.org/officeDocument/2006/relationships/hyperlink" Target="https://www.instituteofhealthequity.org/taking-action/marmot-places" TargetMode="External"/><Relationship Id="rId32" Type="http://schemas.openxmlformats.org/officeDocument/2006/relationships/hyperlink" Target="https://doi.org/10.1186/s12889-021-10741-9" TargetMode="External"/><Relationship Id="rId37" Type="http://schemas.openxmlformats.org/officeDocument/2006/relationships/hyperlink" Target="https://doi.org/10.1371/journal.pone.0346596" TargetMode="External"/><Relationship Id="rId40" Type="http://schemas.openxmlformats.org/officeDocument/2006/relationships/hyperlink" Target="https://www.un.org/sustainabledevelopment/sustainable-development-goals/"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10.3390/su16125218" TargetMode="External"/><Relationship Id="rId23" Type="http://schemas.openxmlformats.org/officeDocument/2006/relationships/hyperlink" Target="https://www.coventry.gov.uk/marmot-monitoring-tool/coventry-marmot-city-story-far" TargetMode="External"/><Relationship Id="rId28" Type="http://schemas.openxmlformats.org/officeDocument/2006/relationships/hyperlink" Target="https://www.londoncouncils.gov.uk/news-and-press-releases/2025/london-leaders-launch-inclusive-talent-strategy-kickstart-skills" TargetMode="External"/><Relationship Id="rId36" Type="http://schemas.openxmlformats.org/officeDocument/2006/relationships/hyperlink" Target="https://doi:10.3390/nu14030532" TargetMode="External"/><Relationship Id="rId49" Type="http://schemas.openxmlformats.org/officeDocument/2006/relationships/header" Target="header3.xml"/><Relationship Id="rId10" Type="http://schemas.openxmlformats.org/officeDocument/2006/relationships/hyperlink" Target="https://doi:10.1016/j.ijedudev.2021.102434" TargetMode="External"/><Relationship Id="rId19" Type="http://schemas.openxmlformats.org/officeDocument/2006/relationships/hyperlink" Target="https://www.england.nhs.uk/2025/07/nhs-publishes-waiting-list-breakdowns-to-tackle-health-inequalities/" TargetMode="External"/><Relationship Id="rId31" Type="http://schemas.openxmlformats.org/officeDocument/2006/relationships/hyperlink" Target="https://doi:10.1596/1813-9450-10033" TargetMode="External"/><Relationship Id="rId44" Type="http://schemas.openxmlformats.org/officeDocument/2006/relationships/hyperlink" Target="https://www.who.int/initiatives/sdg3-global-action-plan"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97/JS9.0000000000003131" TargetMode="External"/><Relationship Id="rId22" Type="http://schemas.openxmlformats.org/officeDocument/2006/relationships/hyperlink" Target="https://www.worldbank.org/en/topic/universalhealthcoverage/publication/2025-global-monitoring-report-gmr" TargetMode="External"/><Relationship Id="rId27" Type="http://schemas.openxmlformats.org/officeDocument/2006/relationships/hyperlink" Target="https://www.london.gov.uk/business-and-economy-publications/skills-londoners-strategy-2018" TargetMode="External"/><Relationship Id="rId30" Type="http://schemas.openxmlformats.org/officeDocument/2006/relationships/hyperlink" Target="https://openknowledge.worldbank.org/entities/publication/1ced1b12-896e-49f1-ab6f-f1a95325f39b" TargetMode="External"/><Relationship Id="rId35" Type="http://schemas.openxmlformats.org/officeDocument/2006/relationships/hyperlink" Target="https://doi:10.1787/e143e94d-en" TargetMode="External"/><Relationship Id="rId43" Type="http://schemas.openxmlformats.org/officeDocument/2006/relationships/hyperlink" Target="https://www.who.int/news-room/fact-sheets/detail/noncommunicable-diseases" TargetMode="External"/><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arsyllfa.cymru/future-generations-report-2025-launched/" TargetMode="External"/><Relationship Id="rId17" Type="http://schemas.openxmlformats.org/officeDocument/2006/relationships/hyperlink" Target="https://doi:10.1177/1461452916631889" TargetMode="External"/><Relationship Id="rId25" Type="http://schemas.openxmlformats.org/officeDocument/2006/relationships/hyperlink" Target="https://doi.org/10.2471/BLT.16.187476" TargetMode="External"/><Relationship Id="rId33" Type="http://schemas.openxmlformats.org/officeDocument/2006/relationships/hyperlink" Target="https://doi:10.34172/hpp.2020.50" TargetMode="External"/><Relationship Id="rId38" Type="http://schemas.openxmlformats.org/officeDocument/2006/relationships/hyperlink" Target="https://doi:10.1155/2024/4764325" TargetMode="External"/><Relationship Id="rId46" Type="http://schemas.openxmlformats.org/officeDocument/2006/relationships/header" Target="header2.xml"/><Relationship Id="rId20" Type="http://schemas.openxmlformats.org/officeDocument/2006/relationships/hyperlink" Target="https://doi:10.2471/blt.17.204404" TargetMode="External"/><Relationship Id="rId41" Type="http://schemas.openxmlformats.org/officeDocument/2006/relationships/hyperlink" Target="https://doi:10.3390/ijerph19063666"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EBAB96-66C0-4DAD-8CCE-A62CC8776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1287</TotalTime>
  <Pages>12</Pages>
  <Words>4396</Words>
  <Characters>25060</Characters>
  <Application>Microsoft Office Word</Application>
  <DocSecurity>0</DocSecurity>
  <Lines>208</Lines>
  <Paragraphs>58</Paragraphs>
  <ScaleCrop>false</ScaleCrop>
  <Company>Churchill Services Ltd</Company>
  <LinksUpToDate>false</LinksUpToDate>
  <CharactersWithSpaces>29398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Florence Mirembe (2313074)</cp:lastModifiedBy>
  <cp:revision>532</cp:revision>
  <dcterms:created xsi:type="dcterms:W3CDTF">2026-07-05T08:43:00Z</dcterms:created>
  <dcterms:modified xsi:type="dcterms:W3CDTF">2026-08-04T22:15:00Z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4081a0ae-d4f0-4935-8c7d-279d863e2c4f</vt:lpwstr>
  </property>
</Properties>
</file>