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36"/>
          <w:szCs w:val="36"/>
        </w:rPr>
        <w:id w:val="148795141"/>
        <w:docPartObj>
          <w:docPartGallery w:val="Cover Pages"/>
          <w:docPartUnique/>
        </w:docPartObj>
      </w:sdtPr>
      <w:sdtEndPr>
        <w:rPr>
          <w:rFonts w:ascii="Arial" w:hAnsi="Arial" w:cs="Arial"/>
          <w:sz w:val="24"/>
          <w:szCs w:val="24"/>
        </w:rPr>
      </w:sdtEndPr>
      <w:sdtContent>
        <w:p w14:paraId="31B75C45" w14:textId="18921990" w:rsidR="00905AA0" w:rsidRPr="000B707B" w:rsidRDefault="00905AA0">
          <w:pPr>
            <w:rPr>
              <w:rFonts w:ascii="Arial Black" w:hAnsi="Arial Black"/>
              <w:sz w:val="36"/>
              <w:szCs w:val="36"/>
            </w:rPr>
          </w:pPr>
          <w:r w:rsidRPr="000B707B">
            <w:rPr>
              <w:rFonts w:ascii="Arial Black" w:hAnsi="Arial Black"/>
              <w:sz w:val="36"/>
              <w:szCs w:val="36"/>
            </w:rPr>
            <w:t xml:space="preserve">Group </w:t>
          </w:r>
          <w:r w:rsidR="000B707B" w:rsidRPr="000B707B">
            <w:rPr>
              <w:rFonts w:ascii="Arial Black" w:hAnsi="Arial Black"/>
              <w:sz w:val="36"/>
              <w:szCs w:val="36"/>
            </w:rPr>
            <w:t>members</w:t>
          </w:r>
        </w:p>
        <w:p w14:paraId="5C9294B3" w14:textId="3F1F32C8" w:rsidR="000B707B" w:rsidRPr="000B707B" w:rsidRDefault="000B707B" w:rsidP="000B707B">
          <w:pPr>
            <w:pStyle w:val="ListParagraph"/>
            <w:numPr>
              <w:ilvl w:val="0"/>
              <w:numId w:val="1"/>
            </w:numPr>
            <w:rPr>
              <w:rFonts w:ascii="Arial Black" w:hAnsi="Arial Black"/>
              <w:sz w:val="36"/>
              <w:szCs w:val="36"/>
            </w:rPr>
          </w:pPr>
          <w:r w:rsidRPr="000B707B">
            <w:rPr>
              <w:rFonts w:ascii="Arial Black" w:hAnsi="Arial Black"/>
              <w:sz w:val="36"/>
              <w:szCs w:val="36"/>
            </w:rPr>
            <w:t>Roponica Clemansa</w:t>
          </w:r>
        </w:p>
        <w:p w14:paraId="373A48BA" w14:textId="639E4278" w:rsidR="000B707B" w:rsidRPr="000B707B" w:rsidRDefault="000B707B" w:rsidP="000B707B">
          <w:pPr>
            <w:pStyle w:val="ListParagraph"/>
            <w:numPr>
              <w:ilvl w:val="0"/>
              <w:numId w:val="1"/>
            </w:numPr>
            <w:rPr>
              <w:rFonts w:ascii="Arial Black" w:hAnsi="Arial Black"/>
              <w:sz w:val="36"/>
              <w:szCs w:val="36"/>
            </w:rPr>
          </w:pPr>
          <w:r w:rsidRPr="000B707B">
            <w:rPr>
              <w:rFonts w:ascii="Arial Black" w:hAnsi="Arial Black"/>
              <w:sz w:val="36"/>
              <w:szCs w:val="36"/>
            </w:rPr>
            <w:t xml:space="preserve">Vanessa Eftimie </w:t>
          </w:r>
        </w:p>
        <w:p w14:paraId="5804034D" w14:textId="7B874FCF" w:rsidR="000B707B" w:rsidRPr="000B707B" w:rsidRDefault="000B707B" w:rsidP="000B707B">
          <w:pPr>
            <w:pStyle w:val="ListParagraph"/>
            <w:numPr>
              <w:ilvl w:val="0"/>
              <w:numId w:val="1"/>
            </w:numPr>
            <w:rPr>
              <w:rFonts w:ascii="Arial Black" w:hAnsi="Arial Black"/>
              <w:sz w:val="36"/>
              <w:szCs w:val="36"/>
            </w:rPr>
          </w:pPr>
          <w:r w:rsidRPr="000B707B">
            <w:rPr>
              <w:rFonts w:ascii="Arial Black" w:hAnsi="Arial Black"/>
              <w:sz w:val="36"/>
              <w:szCs w:val="36"/>
            </w:rPr>
            <w:t xml:space="preserve">Fanica Raducan </w:t>
          </w:r>
        </w:p>
        <w:p w14:paraId="574B2F06" w14:textId="094303A9" w:rsidR="000B707B" w:rsidRPr="000B707B" w:rsidRDefault="000B707B" w:rsidP="000B707B">
          <w:pPr>
            <w:pStyle w:val="ListParagraph"/>
            <w:numPr>
              <w:ilvl w:val="0"/>
              <w:numId w:val="1"/>
            </w:numPr>
            <w:rPr>
              <w:rFonts w:ascii="Arial Black" w:hAnsi="Arial Black"/>
              <w:sz w:val="36"/>
              <w:szCs w:val="36"/>
            </w:rPr>
          </w:pPr>
          <w:r w:rsidRPr="000B707B">
            <w:rPr>
              <w:rFonts w:ascii="Arial Black" w:hAnsi="Arial Black"/>
              <w:sz w:val="36"/>
              <w:szCs w:val="36"/>
            </w:rPr>
            <w:t>Ionel Zamfir</w:t>
          </w:r>
        </w:p>
        <w:p w14:paraId="50E147AD" w14:textId="6B615635" w:rsidR="00905AA0" w:rsidRDefault="00905AA0">
          <w:pPr>
            <w:rPr>
              <w:rFonts w:ascii="Arial" w:hAnsi="Arial" w:cs="Arial"/>
            </w:rPr>
          </w:pPr>
          <w:r w:rsidRPr="000B707B">
            <w:rPr>
              <w:noProof/>
              <w:sz w:val="36"/>
              <w:szCs w:val="36"/>
            </w:rPr>
            <mc:AlternateContent>
              <mc:Choice Requires="wpg">
                <w:drawing>
                  <wp:anchor distT="0" distB="0" distL="114300" distR="114300" simplePos="0" relativeHeight="251659264" behindDoc="1" locked="0" layoutInCell="1" allowOverlap="1" wp14:anchorId="625B9556" wp14:editId="578D170B">
                    <wp:simplePos x="0" y="0"/>
                    <wp:positionH relativeFrom="margin">
                      <wp:align>center</wp:align>
                    </wp:positionH>
                    <wp:positionV relativeFrom="page">
                      <wp:posOffset>5567423</wp:posOffset>
                    </wp:positionV>
                    <wp:extent cx="6864634" cy="3084653"/>
                    <wp:effectExtent l="0" t="0" r="0" b="1905"/>
                    <wp:wrapNone/>
                    <wp:docPr id="193" name="Group 198"/>
                    <wp:cNvGraphicFramePr/>
                    <a:graphic xmlns:a="http://schemas.openxmlformats.org/drawingml/2006/main">
                      <a:graphicData uri="http://schemas.microsoft.com/office/word/2010/wordprocessingGroup">
                        <wpg:wgp>
                          <wpg:cNvGrpSpPr/>
                          <wpg:grpSpPr>
                            <a:xfrm>
                              <a:off x="0" y="0"/>
                              <a:ext cx="6864628" cy="3084653"/>
                              <a:chOff x="0" y="0"/>
                              <a:chExt cx="6864438" cy="6919534"/>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 name="Text Box 196"/>
                            <wps:cNvSpPr txBox="1"/>
                            <wps:spPr>
                              <a:xfrm>
                                <a:off x="6438" y="1371393"/>
                                <a:ext cx="6858000" cy="5548141"/>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eastAsiaTheme="majorEastAsia" w:hAnsi="Arial Black" w:cstheme="majorBidi"/>
                                      <w:caps/>
                                      <w:color w:val="000000" w:themeColor="tex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75317CF" w14:textId="135CF1E7" w:rsidR="00905AA0" w:rsidRPr="000B707B" w:rsidRDefault="00905AA0">
                                      <w:pPr>
                                        <w:pStyle w:val="NoSpacing"/>
                                        <w:jc w:val="center"/>
                                        <w:rPr>
                                          <w:rFonts w:ascii="Arial Black" w:eastAsiaTheme="majorEastAsia" w:hAnsi="Arial Black" w:cstheme="majorBidi"/>
                                          <w:caps/>
                                          <w:color w:val="156082" w:themeColor="accent1"/>
                                          <w:sz w:val="72"/>
                                          <w:szCs w:val="72"/>
                                        </w:rPr>
                                      </w:pPr>
                                      <w:r w:rsidRPr="000B707B">
                                        <w:rPr>
                                          <w:rFonts w:ascii="Arial Black" w:eastAsiaTheme="majorEastAsia" w:hAnsi="Arial Black" w:cstheme="majorBidi"/>
                                          <w:caps/>
                                          <w:color w:val="000000" w:themeColor="text1"/>
                                          <w:sz w:val="72"/>
                                          <w:szCs w:val="72"/>
                                        </w:rPr>
                                        <w:t xml:space="preserve">Assignment 2: Group Presentation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625B9556" id="Group 198" o:spid="_x0000_s1026" style="position:absolute;margin-left:0;margin-top:438.4pt;width:540.5pt;height:242.9pt;z-index:-251657216;mso-width-percent:882;mso-position-horizontal:center;mso-position-horizontal-relative:margin;mso-position-vertical-relative:page;mso-width-percent:882" coordsize="68644,69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" fillcolor="#156082 [3204]" stroked="f" strokeweight="1.5pt"/>
                    <v:shapetype id="_x0000_t202" coordsize="21600,21600" o:spt="202" path="m,l,21600r21600,l21600,xe">
                      <v:stroke joinstyle="miter"/>
                      <v:path gradientshapeok="t" o:connecttype="rect"/>
                    </v:shapetype>
                    <v:shape id="Text Box 196" o:spid="_x0000_s1028" type="#_x0000_t202" style="position:absolute;left:64;top:13713;width:68580;height:554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Black" w:eastAsiaTheme="majorEastAsia" w:hAnsi="Arial Black" w:cstheme="majorBidi"/>
                                <w:caps/>
                                <w:color w:val="000000" w:themeColor="tex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75317CF" w14:textId="135CF1E7" w:rsidR="00905AA0" w:rsidRPr="000B707B" w:rsidRDefault="00905AA0">
                                <w:pPr>
                                  <w:pStyle w:val="NoSpacing"/>
                                  <w:jc w:val="center"/>
                                  <w:rPr>
                                    <w:rFonts w:ascii="Arial Black" w:eastAsiaTheme="majorEastAsia" w:hAnsi="Arial Black" w:cstheme="majorBidi"/>
                                    <w:caps/>
                                    <w:color w:val="156082" w:themeColor="accent1"/>
                                    <w:sz w:val="72"/>
                                    <w:szCs w:val="72"/>
                                  </w:rPr>
                                </w:pPr>
                                <w:r w:rsidRPr="000B707B">
                                  <w:rPr>
                                    <w:rFonts w:ascii="Arial Black" w:eastAsiaTheme="majorEastAsia" w:hAnsi="Arial Black" w:cstheme="majorBidi"/>
                                    <w:caps/>
                                    <w:color w:val="000000" w:themeColor="text1"/>
                                    <w:sz w:val="72"/>
                                    <w:szCs w:val="72"/>
                                  </w:rPr>
                                  <w:t xml:space="preserve">Assignment 2: Group Presentation </w:t>
                                </w:r>
                              </w:p>
                            </w:sdtContent>
                          </w:sdt>
                        </w:txbxContent>
                      </v:textbox>
                    </v:shape>
                    <w10:wrap anchorx="margin" anchory="page"/>
                  </v:group>
                </w:pict>
              </mc:Fallback>
            </mc:AlternateContent>
          </w:r>
          <w:r w:rsidRPr="000B707B">
            <w:rPr>
              <w:rFonts w:ascii="Arial" w:hAnsi="Arial" w:cs="Arial"/>
              <w:sz w:val="36"/>
              <w:szCs w:val="36"/>
            </w:rPr>
            <w:br w:type="page"/>
          </w:r>
        </w:p>
      </w:sdtContent>
    </w:sdt>
    <w:p w14:paraId="10BDA4E9" w14:textId="5A858F8F" w:rsidR="001E324F" w:rsidRDefault="001E324F" w:rsidP="001E324F">
      <w:pPr>
        <w:spacing w:line="480" w:lineRule="auto"/>
        <w:rPr>
          <w:rFonts w:ascii="Arial" w:hAnsi="Arial" w:cs="Arial"/>
        </w:rPr>
      </w:pPr>
      <w:r w:rsidRPr="001E324F">
        <w:rPr>
          <w:rFonts w:ascii="Arial" w:hAnsi="Arial" w:cs="Arial"/>
        </w:rPr>
        <w:lastRenderedPageBreak/>
        <w:t>To enhance the performance of StitchCo, an extensive plan centred around leadership development, HR modifications, employee assistance, and a change in culture is needed. One of the most essential aspects of this plan is the establishment of a hybrid leadership style, integrating both transactional leadership through clear structures and expectations and transformational leadership through strategic visioning and inspirational communication to uplift employees. While employees will benefit from being provided with structure (commensurate to the workplace) and expectations for performance (i.e. information to reduce ambiguity), they must also experience motivation, empathy, and empowerment. Hybrid leadership has been shown to enhance employee performance during periods of technological transition, as this style of leadership blends leadership direction with emotional support (</w:t>
      </w:r>
      <w:proofErr w:type="spellStart"/>
      <w:r w:rsidRPr="001E324F">
        <w:rPr>
          <w:rFonts w:ascii="Arial" w:hAnsi="Arial" w:cs="Arial"/>
        </w:rPr>
        <w:t>Gistituati</w:t>
      </w:r>
      <w:proofErr w:type="spellEnd"/>
      <w:r w:rsidRPr="001E324F">
        <w:rPr>
          <w:rFonts w:ascii="Arial" w:hAnsi="Arial" w:cs="Arial"/>
        </w:rPr>
        <w:t>, 2025).</w:t>
      </w:r>
    </w:p>
    <w:p w14:paraId="52D2ABC5" w14:textId="77777777" w:rsidR="001E324F" w:rsidRDefault="001E324F" w:rsidP="001E324F">
      <w:pPr>
        <w:spacing w:line="480" w:lineRule="auto"/>
        <w:rPr>
          <w:rFonts w:ascii="Arial" w:hAnsi="Arial" w:cs="Arial"/>
        </w:rPr>
      </w:pPr>
      <w:r w:rsidRPr="001E324F">
        <w:rPr>
          <w:rFonts w:ascii="Arial" w:hAnsi="Arial" w:cs="Arial"/>
        </w:rPr>
        <w:t xml:space="preserve">Updating HR policies and practices is essential for aligning employee job roles with the new digital workspace. Employee job descriptions must clearly define, outline, and describe the technical, analytical, and collaborative skills required to perform in a workspace that utilises automated processes and workflows. There needs to be a clear understanding of what is expected of employees in terms of performance, </w:t>
      </w:r>
      <w:r w:rsidRPr="001E324F">
        <w:rPr>
          <w:rFonts w:ascii="Arial" w:hAnsi="Arial" w:cs="Arial"/>
        </w:rPr>
        <w:t>to</w:t>
      </w:r>
      <w:r w:rsidRPr="001E324F">
        <w:rPr>
          <w:rFonts w:ascii="Arial" w:hAnsi="Arial" w:cs="Arial"/>
        </w:rPr>
        <w:t xml:space="preserve"> lessen uncertainties around their jobs and restore trust in the organisation. Employee engagement and organisational stability are created by redesigning HR systems during technological transitions (Basu, 2024).</w:t>
      </w:r>
    </w:p>
    <w:p w14:paraId="4DBA49DA" w14:textId="77777777" w:rsidR="001E324F" w:rsidRDefault="001E324F" w:rsidP="001E324F">
      <w:pPr>
        <w:spacing w:line="480" w:lineRule="auto"/>
        <w:rPr>
          <w:rFonts w:ascii="Arial" w:hAnsi="Arial" w:cs="Arial"/>
        </w:rPr>
      </w:pPr>
      <w:r w:rsidRPr="001E324F">
        <w:rPr>
          <w:rFonts w:ascii="Arial" w:hAnsi="Arial" w:cs="Arial"/>
        </w:rPr>
        <w:t xml:space="preserve">Another priority in creating a high-performing workforce at StitchCo is reforming the reward system. The traditional piecework compensation method has historically encouraged speed and volume of product output, as opposed to learning or collaborating with coworkers to improve production. A modern reward system must include a stable base wage, team-based bonuses based on quality and machine </w:t>
      </w:r>
      <w:r w:rsidRPr="001E324F">
        <w:rPr>
          <w:rFonts w:ascii="Arial" w:hAnsi="Arial" w:cs="Arial"/>
        </w:rPr>
        <w:lastRenderedPageBreak/>
        <w:t>uptime, as well as a premium for completing Digital Skills training. An employee compensation system that is based on an employee's fulfilment of behaviour expectations will lead to increased employee motivation and a reduction of frustration and resentment due to uncontrollable machine failures (</w:t>
      </w:r>
      <w:proofErr w:type="spellStart"/>
      <w:r w:rsidRPr="001E324F">
        <w:rPr>
          <w:rFonts w:ascii="Arial" w:hAnsi="Arial" w:cs="Arial"/>
        </w:rPr>
        <w:t>Hansamali</w:t>
      </w:r>
      <w:proofErr w:type="spellEnd"/>
      <w:r w:rsidRPr="001E324F">
        <w:rPr>
          <w:rFonts w:ascii="Arial" w:hAnsi="Arial" w:cs="Arial"/>
        </w:rPr>
        <w:t xml:space="preserve"> et al., 2024).</w:t>
      </w:r>
    </w:p>
    <w:p w14:paraId="694FDA2D" w14:textId="308732F2" w:rsidR="001E324F" w:rsidRPr="001E324F" w:rsidRDefault="001E324F" w:rsidP="001E324F">
      <w:pPr>
        <w:spacing w:line="480" w:lineRule="auto"/>
        <w:rPr>
          <w:rFonts w:ascii="Arial" w:hAnsi="Arial" w:cs="Arial"/>
        </w:rPr>
      </w:pPr>
      <w:r w:rsidRPr="001E324F">
        <w:rPr>
          <w:rFonts w:ascii="Arial" w:hAnsi="Arial" w:cs="Arial"/>
        </w:rPr>
        <w:t>An ongoing training and development plan must also be established within StitchCo. Ongoing training has been recognised as an essential support mechanism to help employees develop technological confidence and reduce frustration during a technological transition. The lack of ongoing training at StitchCo has contributed to employees' resistance to the technological transition and decline in performance (Trisnasari et al., 2026).</w:t>
      </w:r>
    </w:p>
    <w:p w14:paraId="746747A7" w14:textId="77777777" w:rsidR="001E324F" w:rsidRDefault="001E324F" w:rsidP="001E324F">
      <w:pPr>
        <w:spacing w:line="480" w:lineRule="auto"/>
        <w:rPr>
          <w:rFonts w:ascii="Arial" w:hAnsi="Arial" w:cs="Arial"/>
        </w:rPr>
      </w:pPr>
      <w:r w:rsidRPr="001E324F">
        <w:rPr>
          <w:rFonts w:ascii="Arial" w:hAnsi="Arial" w:cs="Arial"/>
        </w:rPr>
        <w:t>Strengthening the governance structure within StitchCo will lead to improved stability and clarity for employees regarding their future within the organisation. The establishment of clear reporting lines, dispute resolution processes, and consistent decision-making frameworks will assist in reducing conflict and creating a more secure environment for employees to adapt to a new technological operating environment. When employees perceive that organisational decisions have been made fairly and transparently, there is an increase in employee trust and, subsequently, over employee performance. Thus, enhancing the governance structure is an essential component during transitional phases of the organisation (</w:t>
      </w:r>
      <w:proofErr w:type="spellStart"/>
      <w:r w:rsidRPr="001E324F">
        <w:rPr>
          <w:rFonts w:ascii="Arial" w:hAnsi="Arial" w:cs="Arial"/>
        </w:rPr>
        <w:t>Pancasetia</w:t>
      </w:r>
      <w:proofErr w:type="spellEnd"/>
      <w:r w:rsidRPr="001E324F">
        <w:rPr>
          <w:rFonts w:ascii="Arial" w:hAnsi="Arial" w:cs="Arial"/>
        </w:rPr>
        <w:t xml:space="preserve"> &amp; Rifai, 2025).</w:t>
      </w:r>
    </w:p>
    <w:p w14:paraId="6697611E" w14:textId="77777777" w:rsidR="001E324F" w:rsidRDefault="001E324F" w:rsidP="001E324F">
      <w:pPr>
        <w:spacing w:line="480" w:lineRule="auto"/>
        <w:rPr>
          <w:rFonts w:ascii="Arial" w:hAnsi="Arial" w:cs="Arial"/>
        </w:rPr>
      </w:pPr>
      <w:r w:rsidRPr="001E324F">
        <w:rPr>
          <w:rFonts w:ascii="Arial" w:hAnsi="Arial" w:cs="Arial"/>
        </w:rPr>
        <w:t xml:space="preserve">Automation has increased the interdependence of departments, and through cross-functional collaboration, organisations can develop innovative solutions to operational issues and integrate continuous improvement into the organisation's </w:t>
      </w:r>
      <w:r w:rsidRPr="001E324F">
        <w:rPr>
          <w:rFonts w:ascii="Arial" w:hAnsi="Arial" w:cs="Arial"/>
        </w:rPr>
        <w:lastRenderedPageBreak/>
        <w:t>operating environment. The best way for organisations to develop continuous improvement teams, structured feedback loops, and a space for experimentation to acknowledge and contribute actively to new ways of doing business, as well as decreasing employee fear of transition, is to establish these experiences for employees (McGlade &amp; McGlade, 2025).</w:t>
      </w:r>
    </w:p>
    <w:p w14:paraId="1FBA78A8" w14:textId="77777777" w:rsidR="001E324F" w:rsidRDefault="001E324F" w:rsidP="001E324F">
      <w:pPr>
        <w:spacing w:line="480" w:lineRule="auto"/>
        <w:rPr>
          <w:rFonts w:ascii="Arial" w:hAnsi="Arial" w:cs="Arial"/>
        </w:rPr>
      </w:pPr>
      <w:r w:rsidRPr="001E324F">
        <w:rPr>
          <w:rFonts w:ascii="Arial" w:hAnsi="Arial" w:cs="Arial"/>
        </w:rPr>
        <w:t>Lastly, a cultural transformation within the organisation will aid in bridging the gap between the concepts of traditional craftsmanship with the standard of digital excellence. The shift in values will be one of moving from the individual to a focus on teamwork and learning and ultimately a shared ownership of success. Organisations that successfully align their culture with their technological vision will witness an easier transition and higher levels of employee engagement throughout the digital transformation process (Korsten et al., 2025).</w:t>
      </w:r>
    </w:p>
    <w:p w14:paraId="5A144E24" w14:textId="3523211F" w:rsidR="001E324F" w:rsidRDefault="001E324F" w:rsidP="001E324F">
      <w:pPr>
        <w:spacing w:line="480" w:lineRule="auto"/>
        <w:rPr>
          <w:rFonts w:ascii="Arial" w:hAnsi="Arial" w:cs="Arial"/>
        </w:rPr>
      </w:pPr>
      <w:r w:rsidRPr="001E324F">
        <w:rPr>
          <w:rFonts w:ascii="Arial" w:hAnsi="Arial" w:cs="Arial"/>
        </w:rPr>
        <w:t>The suggested recommendations collectively create an accepting, equitable, and forward-looking workplace that can equip StitchCo to be successful during its digital transformation, in addition to improving overall performance in the long term.</w:t>
      </w:r>
    </w:p>
    <w:p w14:paraId="0CF35A6E" w14:textId="77777777" w:rsidR="00905AA0" w:rsidRDefault="00905AA0" w:rsidP="001E324F">
      <w:pPr>
        <w:spacing w:line="480" w:lineRule="auto"/>
        <w:rPr>
          <w:rFonts w:ascii="Arial" w:hAnsi="Arial" w:cs="Arial"/>
        </w:rPr>
      </w:pPr>
    </w:p>
    <w:p w14:paraId="4637E036" w14:textId="77777777" w:rsidR="00905AA0" w:rsidRDefault="00905AA0" w:rsidP="001E324F">
      <w:pPr>
        <w:spacing w:line="480" w:lineRule="auto"/>
        <w:rPr>
          <w:rFonts w:ascii="Arial" w:hAnsi="Arial" w:cs="Arial"/>
        </w:rPr>
      </w:pPr>
    </w:p>
    <w:p w14:paraId="0E6016F5" w14:textId="77777777" w:rsidR="00905AA0" w:rsidRDefault="00905AA0" w:rsidP="001E324F">
      <w:pPr>
        <w:spacing w:line="480" w:lineRule="auto"/>
        <w:rPr>
          <w:rFonts w:ascii="Arial" w:hAnsi="Arial" w:cs="Arial"/>
        </w:rPr>
      </w:pPr>
    </w:p>
    <w:p w14:paraId="76080225" w14:textId="77777777" w:rsidR="00905AA0" w:rsidRDefault="00905AA0" w:rsidP="001E324F">
      <w:pPr>
        <w:spacing w:line="480" w:lineRule="auto"/>
        <w:rPr>
          <w:rFonts w:ascii="Arial" w:hAnsi="Arial" w:cs="Arial"/>
        </w:rPr>
      </w:pPr>
    </w:p>
    <w:p w14:paraId="445067CF" w14:textId="77777777" w:rsidR="00905AA0" w:rsidRDefault="00905AA0" w:rsidP="001E324F">
      <w:pPr>
        <w:spacing w:line="480" w:lineRule="auto"/>
        <w:rPr>
          <w:rFonts w:ascii="Arial" w:hAnsi="Arial" w:cs="Arial"/>
        </w:rPr>
      </w:pPr>
    </w:p>
    <w:p w14:paraId="579CF846" w14:textId="77777777" w:rsidR="00905AA0" w:rsidRDefault="00905AA0" w:rsidP="001E324F">
      <w:pPr>
        <w:spacing w:line="480" w:lineRule="auto"/>
        <w:rPr>
          <w:rFonts w:ascii="Arial" w:hAnsi="Arial" w:cs="Arial"/>
        </w:rPr>
      </w:pPr>
    </w:p>
    <w:p w14:paraId="3196B546" w14:textId="77777777" w:rsidR="00905AA0" w:rsidRDefault="00905AA0" w:rsidP="001E324F">
      <w:pPr>
        <w:spacing w:line="480" w:lineRule="auto"/>
        <w:rPr>
          <w:rFonts w:ascii="Arial" w:hAnsi="Arial" w:cs="Arial"/>
        </w:rPr>
      </w:pPr>
    </w:p>
    <w:p w14:paraId="27376354" w14:textId="2CF665AA" w:rsidR="00905AA0" w:rsidRPr="00905AA0" w:rsidRDefault="00905AA0" w:rsidP="001E324F">
      <w:pPr>
        <w:spacing w:line="480" w:lineRule="auto"/>
        <w:rPr>
          <w:rFonts w:ascii="Arial" w:hAnsi="Arial" w:cs="Arial"/>
          <w:b/>
          <w:bCs/>
        </w:rPr>
      </w:pPr>
      <w:r w:rsidRPr="00905AA0">
        <w:rPr>
          <w:rFonts w:ascii="Arial" w:hAnsi="Arial" w:cs="Arial"/>
          <w:b/>
          <w:bCs/>
        </w:rPr>
        <w:lastRenderedPageBreak/>
        <w:t xml:space="preserve">References </w:t>
      </w:r>
    </w:p>
    <w:p w14:paraId="0269938B" w14:textId="77777777" w:rsidR="00905AA0" w:rsidRPr="00905AA0" w:rsidRDefault="00905AA0" w:rsidP="00905AA0">
      <w:pPr>
        <w:spacing w:line="480" w:lineRule="auto"/>
        <w:rPr>
          <w:rFonts w:ascii="Arial" w:hAnsi="Arial" w:cs="Arial"/>
        </w:rPr>
      </w:pPr>
      <w:r w:rsidRPr="00905AA0">
        <w:rPr>
          <w:rFonts w:ascii="Arial" w:hAnsi="Arial" w:cs="Arial"/>
        </w:rPr>
        <w:t xml:space="preserve">Barkat, W, Waris, I, Ahmed, R and Dad, M 2024, ‘Transformational leadership and frontline managers work engagement, innovative work behaviour, organisational citizenship behaviour, and employee sustainability in the hotel industry in Pakistan’, </w:t>
      </w:r>
      <w:r w:rsidRPr="00905AA0">
        <w:rPr>
          <w:rFonts w:ascii="Arial" w:hAnsi="Arial" w:cs="Arial"/>
          <w:i/>
          <w:iCs/>
        </w:rPr>
        <w:t>Journal of Human Resources in Hospitality and Tourism</w:t>
      </w:r>
      <w:r w:rsidRPr="00905AA0">
        <w:rPr>
          <w:rFonts w:ascii="Arial" w:hAnsi="Arial" w:cs="Arial"/>
        </w:rPr>
        <w:t>, vol. 23, no. 2, pp. 315–336.</w:t>
      </w:r>
    </w:p>
    <w:p w14:paraId="714075E0" w14:textId="77777777" w:rsidR="00905AA0" w:rsidRPr="00905AA0" w:rsidRDefault="00905AA0" w:rsidP="00905AA0">
      <w:pPr>
        <w:spacing w:line="480" w:lineRule="auto"/>
        <w:rPr>
          <w:rFonts w:ascii="Arial" w:hAnsi="Arial" w:cs="Arial"/>
        </w:rPr>
      </w:pPr>
      <w:r w:rsidRPr="00905AA0">
        <w:rPr>
          <w:rFonts w:ascii="Arial" w:hAnsi="Arial" w:cs="Arial"/>
        </w:rPr>
        <w:t xml:space="preserve">Basu, DR 2024, ‘The importance of HR policies on employee performance, employee engagement and employee motivation in various organisations’, </w:t>
      </w:r>
      <w:r w:rsidRPr="00905AA0">
        <w:rPr>
          <w:rFonts w:ascii="Arial" w:hAnsi="Arial" w:cs="Arial"/>
          <w:i/>
          <w:iCs/>
        </w:rPr>
        <w:t>Educational Administration: Theory and Practice</w:t>
      </w:r>
      <w:r w:rsidRPr="00905AA0">
        <w:rPr>
          <w:rFonts w:ascii="Arial" w:hAnsi="Arial" w:cs="Arial"/>
        </w:rPr>
        <w:t>, vol. 30, no. 5, pp. 4272–4279.</w:t>
      </w:r>
    </w:p>
    <w:p w14:paraId="2D82D847" w14:textId="77777777" w:rsidR="00905AA0" w:rsidRPr="00905AA0" w:rsidRDefault="00905AA0" w:rsidP="00905AA0">
      <w:pPr>
        <w:spacing w:line="480" w:lineRule="auto"/>
        <w:rPr>
          <w:rFonts w:ascii="Arial" w:hAnsi="Arial" w:cs="Arial"/>
        </w:rPr>
      </w:pPr>
      <w:proofErr w:type="spellStart"/>
      <w:r w:rsidRPr="00905AA0">
        <w:rPr>
          <w:rFonts w:ascii="Arial" w:hAnsi="Arial" w:cs="Arial"/>
        </w:rPr>
        <w:t>Gistituati</w:t>
      </w:r>
      <w:proofErr w:type="spellEnd"/>
      <w:r w:rsidRPr="00905AA0">
        <w:rPr>
          <w:rFonts w:ascii="Arial" w:hAnsi="Arial" w:cs="Arial"/>
        </w:rPr>
        <w:t xml:space="preserve">, N 2025, ‘The relevance of transformational leadership values in modern organisations’, </w:t>
      </w:r>
      <w:r w:rsidRPr="00905AA0">
        <w:rPr>
          <w:rFonts w:ascii="Arial" w:hAnsi="Arial" w:cs="Arial"/>
          <w:i/>
          <w:iCs/>
        </w:rPr>
        <w:t xml:space="preserve">Mudir: </w:t>
      </w:r>
      <w:proofErr w:type="spellStart"/>
      <w:r w:rsidRPr="00905AA0">
        <w:rPr>
          <w:rFonts w:ascii="Arial" w:hAnsi="Arial" w:cs="Arial"/>
          <w:i/>
          <w:iCs/>
        </w:rPr>
        <w:t>Jurnal</w:t>
      </w:r>
      <w:proofErr w:type="spellEnd"/>
      <w:r w:rsidRPr="00905AA0">
        <w:rPr>
          <w:rFonts w:ascii="Arial" w:hAnsi="Arial" w:cs="Arial"/>
          <w:i/>
          <w:iCs/>
        </w:rPr>
        <w:t xml:space="preserve"> </w:t>
      </w:r>
      <w:proofErr w:type="spellStart"/>
      <w:r w:rsidRPr="00905AA0">
        <w:rPr>
          <w:rFonts w:ascii="Arial" w:hAnsi="Arial" w:cs="Arial"/>
          <w:i/>
          <w:iCs/>
        </w:rPr>
        <w:t>Manajemen</w:t>
      </w:r>
      <w:proofErr w:type="spellEnd"/>
      <w:r w:rsidRPr="00905AA0">
        <w:rPr>
          <w:rFonts w:ascii="Arial" w:hAnsi="Arial" w:cs="Arial"/>
          <w:i/>
          <w:iCs/>
        </w:rPr>
        <w:t xml:space="preserve"> Pendidikan</w:t>
      </w:r>
      <w:r w:rsidRPr="00905AA0">
        <w:rPr>
          <w:rFonts w:ascii="Arial" w:hAnsi="Arial" w:cs="Arial"/>
        </w:rPr>
        <w:t>, vol. 7, no. 2, pp. 333–338.</w:t>
      </w:r>
    </w:p>
    <w:p w14:paraId="676FF312" w14:textId="77777777" w:rsidR="00905AA0" w:rsidRPr="00905AA0" w:rsidRDefault="00905AA0" w:rsidP="00905AA0">
      <w:pPr>
        <w:spacing w:line="480" w:lineRule="auto"/>
        <w:rPr>
          <w:rFonts w:ascii="Arial" w:hAnsi="Arial" w:cs="Arial"/>
          <w:i/>
          <w:iCs/>
        </w:rPr>
      </w:pPr>
      <w:proofErr w:type="spellStart"/>
      <w:r w:rsidRPr="00905AA0">
        <w:rPr>
          <w:rFonts w:ascii="Arial" w:hAnsi="Arial" w:cs="Arial"/>
        </w:rPr>
        <w:t>Hansamali</w:t>
      </w:r>
      <w:proofErr w:type="spellEnd"/>
      <w:r w:rsidRPr="00905AA0">
        <w:rPr>
          <w:rFonts w:ascii="Arial" w:hAnsi="Arial" w:cs="Arial"/>
        </w:rPr>
        <w:t xml:space="preserve">, HGC, Francis, SJ, </w:t>
      </w:r>
      <w:proofErr w:type="spellStart"/>
      <w:r w:rsidRPr="00905AA0">
        <w:rPr>
          <w:rFonts w:ascii="Arial" w:hAnsi="Arial" w:cs="Arial"/>
        </w:rPr>
        <w:t>Sirikumar</w:t>
      </w:r>
      <w:proofErr w:type="spellEnd"/>
      <w:r w:rsidRPr="00905AA0">
        <w:rPr>
          <w:rFonts w:ascii="Arial" w:hAnsi="Arial" w:cs="Arial"/>
        </w:rPr>
        <w:t xml:space="preserve">, T and </w:t>
      </w:r>
      <w:proofErr w:type="spellStart"/>
      <w:r w:rsidRPr="00905AA0">
        <w:rPr>
          <w:rFonts w:ascii="Arial" w:hAnsi="Arial" w:cs="Arial"/>
        </w:rPr>
        <w:t>Ganeshamoorthy</w:t>
      </w:r>
      <w:proofErr w:type="spellEnd"/>
      <w:r w:rsidRPr="00905AA0">
        <w:rPr>
          <w:rFonts w:ascii="Arial" w:hAnsi="Arial" w:cs="Arial"/>
        </w:rPr>
        <w:t xml:space="preserve">, S 2024, ‘Impact of rewards system on employee performance’, </w:t>
      </w:r>
      <w:r w:rsidRPr="00905AA0">
        <w:rPr>
          <w:rFonts w:ascii="Arial" w:hAnsi="Arial" w:cs="Arial"/>
          <w:i/>
          <w:iCs/>
        </w:rPr>
        <w:t>Journal of Human Resource and Sustainability Studies.</w:t>
      </w:r>
    </w:p>
    <w:p w14:paraId="6D622D88" w14:textId="11C8F11F" w:rsidR="00905AA0" w:rsidRPr="00905AA0" w:rsidRDefault="00905AA0" w:rsidP="00905AA0">
      <w:pPr>
        <w:spacing w:line="480" w:lineRule="auto"/>
        <w:rPr>
          <w:rFonts w:ascii="Arial" w:hAnsi="Arial" w:cs="Arial"/>
        </w:rPr>
      </w:pPr>
      <w:r w:rsidRPr="00905AA0">
        <w:rPr>
          <w:rFonts w:ascii="Arial" w:hAnsi="Arial" w:cs="Arial"/>
        </w:rPr>
        <w:t xml:space="preserve">Korsten, G, Ozkan, B, </w:t>
      </w:r>
      <w:proofErr w:type="spellStart"/>
      <w:r w:rsidRPr="00905AA0">
        <w:rPr>
          <w:rFonts w:ascii="Arial" w:hAnsi="Arial" w:cs="Arial"/>
        </w:rPr>
        <w:t>Aysolmaz</w:t>
      </w:r>
      <w:proofErr w:type="spellEnd"/>
      <w:r w:rsidRPr="00905AA0">
        <w:rPr>
          <w:rFonts w:ascii="Arial" w:hAnsi="Arial" w:cs="Arial"/>
        </w:rPr>
        <w:t>, B et al. 2025, ‘</w:t>
      </w:r>
      <w:r w:rsidRPr="00905AA0">
        <w:rPr>
          <w:rFonts w:ascii="Arial" w:hAnsi="Arial" w:cs="Arial"/>
          <w:i/>
          <w:iCs/>
        </w:rPr>
        <w:t>How do organi</w:t>
      </w:r>
      <w:r w:rsidRPr="00905AA0">
        <w:rPr>
          <w:rFonts w:ascii="Arial" w:hAnsi="Arial" w:cs="Arial"/>
          <w:i/>
          <w:iCs/>
        </w:rPr>
        <w:t>s</w:t>
      </w:r>
      <w:r w:rsidRPr="00905AA0">
        <w:rPr>
          <w:rFonts w:ascii="Arial" w:hAnsi="Arial" w:cs="Arial"/>
          <w:i/>
          <w:iCs/>
        </w:rPr>
        <w:t>ational capabilities mature? Maturity level characteristics for organisational capabilities’</w:t>
      </w:r>
      <w:r w:rsidRPr="00905AA0">
        <w:rPr>
          <w:rFonts w:ascii="Arial" w:hAnsi="Arial" w:cs="Arial"/>
        </w:rPr>
        <w:t xml:space="preserve">, Software and Systems </w:t>
      </w:r>
      <w:r w:rsidRPr="00905AA0">
        <w:rPr>
          <w:rFonts w:ascii="Arial" w:hAnsi="Arial" w:cs="Arial"/>
        </w:rPr>
        <w:t>Modelling</w:t>
      </w:r>
      <w:r w:rsidRPr="00905AA0">
        <w:rPr>
          <w:rFonts w:ascii="Arial" w:hAnsi="Arial" w:cs="Arial"/>
        </w:rPr>
        <w:t>.</w:t>
      </w:r>
    </w:p>
    <w:p w14:paraId="57FF06C4" w14:textId="36BE7018" w:rsidR="00905AA0" w:rsidRPr="00905AA0" w:rsidRDefault="00905AA0" w:rsidP="00905AA0">
      <w:pPr>
        <w:spacing w:line="480" w:lineRule="auto"/>
        <w:rPr>
          <w:rFonts w:ascii="Arial" w:hAnsi="Arial" w:cs="Arial"/>
        </w:rPr>
      </w:pPr>
      <w:r w:rsidRPr="00905AA0">
        <w:rPr>
          <w:rFonts w:ascii="Arial" w:hAnsi="Arial" w:cs="Arial"/>
        </w:rPr>
        <w:t>McGlade, J and McGlade, JM 2025, ‘</w:t>
      </w:r>
      <w:r w:rsidRPr="00905AA0">
        <w:rPr>
          <w:rFonts w:ascii="Arial" w:hAnsi="Arial" w:cs="Arial"/>
          <w:i/>
          <w:iCs/>
        </w:rPr>
        <w:t xml:space="preserve">Modelling the innovative component of social change’, in What’s </w:t>
      </w:r>
      <w:r w:rsidRPr="00905AA0">
        <w:rPr>
          <w:rFonts w:ascii="Arial" w:hAnsi="Arial" w:cs="Arial"/>
          <w:i/>
          <w:iCs/>
        </w:rPr>
        <w:t>New?</w:t>
      </w:r>
      <w:r w:rsidRPr="00905AA0">
        <w:rPr>
          <w:rFonts w:ascii="Arial" w:hAnsi="Arial" w:cs="Arial"/>
        </w:rPr>
        <w:t xml:space="preserve"> Routledge, London, pp. 281–299.</w:t>
      </w:r>
    </w:p>
    <w:p w14:paraId="53906A95" w14:textId="77777777" w:rsidR="00905AA0" w:rsidRDefault="00905AA0" w:rsidP="00905AA0">
      <w:pPr>
        <w:spacing w:line="480" w:lineRule="auto"/>
        <w:rPr>
          <w:rFonts w:ascii="Arial" w:hAnsi="Arial" w:cs="Arial"/>
        </w:rPr>
      </w:pPr>
      <w:proofErr w:type="spellStart"/>
      <w:r w:rsidRPr="00905AA0">
        <w:rPr>
          <w:rFonts w:ascii="Arial" w:hAnsi="Arial" w:cs="Arial"/>
        </w:rPr>
        <w:t>Pancasetia</w:t>
      </w:r>
      <w:proofErr w:type="spellEnd"/>
      <w:r w:rsidRPr="00905AA0">
        <w:rPr>
          <w:rFonts w:ascii="Arial" w:hAnsi="Arial" w:cs="Arial"/>
        </w:rPr>
        <w:t xml:space="preserve">, STIE and Rifai, MDK 2025, ‘The influence of compensation, leadership and motivation on employee performance’, </w:t>
      </w:r>
      <w:r w:rsidRPr="00905AA0">
        <w:rPr>
          <w:rFonts w:ascii="Arial" w:hAnsi="Arial" w:cs="Arial"/>
          <w:i/>
          <w:iCs/>
        </w:rPr>
        <w:t>Management and Accounting Review,</w:t>
      </w:r>
      <w:r w:rsidRPr="00905AA0">
        <w:rPr>
          <w:rFonts w:ascii="Arial" w:hAnsi="Arial" w:cs="Arial"/>
        </w:rPr>
        <w:t xml:space="preserve"> vol. 20, no. 2, pp. 104–120.</w:t>
      </w:r>
    </w:p>
    <w:p w14:paraId="3529A424" w14:textId="5D4C4F70" w:rsidR="00905AA0" w:rsidRPr="001E324F" w:rsidRDefault="00905AA0" w:rsidP="00905AA0">
      <w:pPr>
        <w:spacing w:line="480" w:lineRule="auto"/>
        <w:rPr>
          <w:rFonts w:ascii="Arial" w:hAnsi="Arial" w:cs="Arial"/>
        </w:rPr>
      </w:pPr>
      <w:r w:rsidRPr="00905AA0">
        <w:rPr>
          <w:rFonts w:ascii="Arial" w:hAnsi="Arial" w:cs="Arial"/>
        </w:rPr>
        <w:lastRenderedPageBreak/>
        <w:t xml:space="preserve">Trisnasari, JD, Razak, MM and Hatta, M 2026, ‘The impact of digital training on employee performance’, </w:t>
      </w:r>
      <w:r w:rsidRPr="00905AA0">
        <w:rPr>
          <w:rFonts w:ascii="Arial" w:hAnsi="Arial" w:cs="Arial"/>
          <w:i/>
          <w:iCs/>
        </w:rPr>
        <w:t>Journal of Artificial Intelligence and Digital Business</w:t>
      </w:r>
      <w:r w:rsidRPr="00905AA0">
        <w:rPr>
          <w:rFonts w:ascii="Arial" w:hAnsi="Arial" w:cs="Arial"/>
        </w:rPr>
        <w:t>, vol. 4, no. 4, pp. 211–223.</w:t>
      </w:r>
    </w:p>
    <w:sectPr w:rsidR="00905AA0" w:rsidRPr="001E324F" w:rsidSect="00905AA0">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871299" w14:textId="77777777" w:rsidR="00B47F2D" w:rsidRDefault="00B47F2D" w:rsidP="00EE0A56">
      <w:pPr>
        <w:spacing w:after="0" w:line="240" w:lineRule="auto"/>
      </w:pPr>
      <w:r>
        <w:separator/>
      </w:r>
    </w:p>
  </w:endnote>
  <w:endnote w:type="continuationSeparator" w:id="0">
    <w:p w14:paraId="35A6DAD8" w14:textId="77777777" w:rsidR="00B47F2D" w:rsidRDefault="00B47F2D" w:rsidP="00EE0A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331F6" w14:textId="27F32BD6" w:rsidR="00EE0A56" w:rsidRDefault="00EE0A56">
    <w:pPr>
      <w:pStyle w:val="Footer"/>
    </w:pPr>
    <w:r>
      <w:rPr>
        <w:noProof/>
        <w:color w:val="156082" w:themeColor="accent1"/>
      </w:rPr>
      <mc:AlternateContent>
        <mc:Choice Requires="wps">
          <w:drawing>
            <wp:anchor distT="0" distB="0" distL="114300" distR="114300" simplePos="0" relativeHeight="251659264" behindDoc="0" locked="0" layoutInCell="1" allowOverlap="1" wp14:anchorId="36E57FDE" wp14:editId="1D673A4C">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5EFA007" id="Rectangle 24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eastAsiaTheme="minorEastAsia"/>
        <w:color w:val="156082" w:themeColor="accent1"/>
        <w:sz w:val="20"/>
        <w:szCs w:val="20"/>
      </w:rPr>
      <w:fldChar w:fldCharType="begin"/>
    </w:r>
    <w:r>
      <w:rPr>
        <w:color w:val="156082" w:themeColor="accent1"/>
        <w:sz w:val="20"/>
        <w:szCs w:val="20"/>
      </w:rPr>
      <w:instrText xml:space="preserve"> PAGE    \* MERGEFORMAT </w:instrText>
    </w:r>
    <w:r>
      <w:rPr>
        <w:rFonts w:eastAsiaTheme="minorEastAsia"/>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8DED54" w14:textId="77777777" w:rsidR="00B47F2D" w:rsidRDefault="00B47F2D" w:rsidP="00EE0A56">
      <w:pPr>
        <w:spacing w:after="0" w:line="240" w:lineRule="auto"/>
      </w:pPr>
      <w:r>
        <w:separator/>
      </w:r>
    </w:p>
  </w:footnote>
  <w:footnote w:type="continuationSeparator" w:id="0">
    <w:p w14:paraId="50462F62" w14:textId="77777777" w:rsidR="00B47F2D" w:rsidRDefault="00B47F2D" w:rsidP="00EE0A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7E55DB"/>
    <w:multiLevelType w:val="hybridMultilevel"/>
    <w:tmpl w:val="1A56A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06932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24F"/>
    <w:rsid w:val="000B707B"/>
    <w:rsid w:val="001E324F"/>
    <w:rsid w:val="00905AA0"/>
    <w:rsid w:val="00B47F2D"/>
    <w:rsid w:val="00B62561"/>
    <w:rsid w:val="00EE0A56"/>
    <w:rsid w:val="00F87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CC458"/>
  <w15:chartTrackingRefBased/>
  <w15:docId w15:val="{B6C98F8B-F3AC-43EE-8059-E182BCC56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32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32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32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32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32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32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32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32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32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32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32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32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32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32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32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32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32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324F"/>
    <w:rPr>
      <w:rFonts w:eastAsiaTheme="majorEastAsia" w:cstheme="majorBidi"/>
      <w:color w:val="272727" w:themeColor="text1" w:themeTint="D8"/>
    </w:rPr>
  </w:style>
  <w:style w:type="paragraph" w:styleId="Title">
    <w:name w:val="Title"/>
    <w:basedOn w:val="Normal"/>
    <w:next w:val="Normal"/>
    <w:link w:val="TitleChar"/>
    <w:uiPriority w:val="10"/>
    <w:qFormat/>
    <w:rsid w:val="001E32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32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32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32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324F"/>
    <w:pPr>
      <w:spacing w:before="160"/>
      <w:jc w:val="center"/>
    </w:pPr>
    <w:rPr>
      <w:i/>
      <w:iCs/>
      <w:color w:val="404040" w:themeColor="text1" w:themeTint="BF"/>
    </w:rPr>
  </w:style>
  <w:style w:type="character" w:customStyle="1" w:styleId="QuoteChar">
    <w:name w:val="Quote Char"/>
    <w:basedOn w:val="DefaultParagraphFont"/>
    <w:link w:val="Quote"/>
    <w:uiPriority w:val="29"/>
    <w:rsid w:val="001E324F"/>
    <w:rPr>
      <w:i/>
      <w:iCs/>
      <w:color w:val="404040" w:themeColor="text1" w:themeTint="BF"/>
    </w:rPr>
  </w:style>
  <w:style w:type="paragraph" w:styleId="ListParagraph">
    <w:name w:val="List Paragraph"/>
    <w:basedOn w:val="Normal"/>
    <w:uiPriority w:val="34"/>
    <w:qFormat/>
    <w:rsid w:val="001E324F"/>
    <w:pPr>
      <w:ind w:left="720"/>
      <w:contextualSpacing/>
    </w:pPr>
  </w:style>
  <w:style w:type="character" w:styleId="IntenseEmphasis">
    <w:name w:val="Intense Emphasis"/>
    <w:basedOn w:val="DefaultParagraphFont"/>
    <w:uiPriority w:val="21"/>
    <w:qFormat/>
    <w:rsid w:val="001E324F"/>
    <w:rPr>
      <w:i/>
      <w:iCs/>
      <w:color w:val="0F4761" w:themeColor="accent1" w:themeShade="BF"/>
    </w:rPr>
  </w:style>
  <w:style w:type="paragraph" w:styleId="IntenseQuote">
    <w:name w:val="Intense Quote"/>
    <w:basedOn w:val="Normal"/>
    <w:next w:val="Normal"/>
    <w:link w:val="IntenseQuoteChar"/>
    <w:uiPriority w:val="30"/>
    <w:qFormat/>
    <w:rsid w:val="001E32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324F"/>
    <w:rPr>
      <w:i/>
      <w:iCs/>
      <w:color w:val="0F4761" w:themeColor="accent1" w:themeShade="BF"/>
    </w:rPr>
  </w:style>
  <w:style w:type="character" w:styleId="IntenseReference">
    <w:name w:val="Intense Reference"/>
    <w:basedOn w:val="DefaultParagraphFont"/>
    <w:uiPriority w:val="32"/>
    <w:qFormat/>
    <w:rsid w:val="001E324F"/>
    <w:rPr>
      <w:b/>
      <w:bCs/>
      <w:smallCaps/>
      <w:color w:val="0F4761" w:themeColor="accent1" w:themeShade="BF"/>
      <w:spacing w:val="5"/>
    </w:rPr>
  </w:style>
  <w:style w:type="paragraph" w:styleId="Header">
    <w:name w:val="header"/>
    <w:basedOn w:val="Normal"/>
    <w:link w:val="HeaderChar"/>
    <w:uiPriority w:val="99"/>
    <w:unhideWhenUsed/>
    <w:rsid w:val="00EE0A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0A56"/>
  </w:style>
  <w:style w:type="paragraph" w:styleId="Footer">
    <w:name w:val="footer"/>
    <w:basedOn w:val="Normal"/>
    <w:link w:val="FooterChar"/>
    <w:uiPriority w:val="99"/>
    <w:unhideWhenUsed/>
    <w:rsid w:val="00EE0A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0A56"/>
  </w:style>
  <w:style w:type="paragraph" w:styleId="NoSpacing">
    <w:name w:val="No Spacing"/>
    <w:link w:val="NoSpacingChar"/>
    <w:uiPriority w:val="1"/>
    <w:qFormat/>
    <w:rsid w:val="00905AA0"/>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05AA0"/>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968</Words>
  <Characters>5524</Characters>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dcterms:created xsi:type="dcterms:W3CDTF">2025-12-08T20:11:00Z</dcterms:created>
  <dcterms:modified xsi:type="dcterms:W3CDTF">2025-12-08T20:11:00Z</dcterms:modified>
</cp:coreProperties>
</file>