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87318" w14:textId="189B3202" w:rsidR="00D27D45" w:rsidRPr="00D27D45" w:rsidRDefault="00D27D45" w:rsidP="00D27D45">
      <w:pPr>
        <w:pStyle w:val="p1"/>
        <w:spacing w:line="360" w:lineRule="auto"/>
        <w:rPr>
          <w:rStyle w:val="s1"/>
          <w:rFonts w:ascii="Arial" w:hAnsi="Arial" w:cs="Arial"/>
          <w:b w:val="0"/>
          <w:bCs w:val="0"/>
          <w:sz w:val="22"/>
          <w:szCs w:val="22"/>
          <w:lang w:val="it-IT"/>
        </w:rPr>
      </w:pPr>
      <w:r w:rsidRPr="00D27D45">
        <w:rPr>
          <w:rStyle w:val="s1"/>
          <w:rFonts w:ascii="Arial" w:hAnsi="Arial" w:cs="Arial"/>
          <w:b w:val="0"/>
          <w:bCs w:val="0"/>
          <w:sz w:val="22"/>
          <w:szCs w:val="22"/>
          <w:lang w:val="it-IT"/>
        </w:rPr>
        <w:t>Student Name: Iulia Ramona Tudor</w:t>
      </w:r>
    </w:p>
    <w:p w14:paraId="12B9C5BC" w14:textId="1CD75827" w:rsidR="00D27D45" w:rsidRPr="00D27D45" w:rsidRDefault="00D27D45" w:rsidP="00D27D45">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Student Number: 2242929</w:t>
      </w:r>
    </w:p>
    <w:p w14:paraId="7D0E45E6" w14:textId="7B2AC938" w:rsidR="00D27D45" w:rsidRPr="00D27D45" w:rsidRDefault="00D27D45" w:rsidP="00D27D45">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Lecturer Name: Zakiyyah Ahmed</w:t>
      </w:r>
    </w:p>
    <w:p w14:paraId="60CA50E2" w14:textId="7EBE2EDE" w:rsidR="00D27D45" w:rsidRPr="00D27D45" w:rsidRDefault="00D27D45" w:rsidP="00D27D45">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Module: Health Wellbeing and Sustainable Development</w:t>
      </w:r>
    </w:p>
    <w:p w14:paraId="1695CC5C" w14:textId="3853ACE3" w:rsidR="00D27D45" w:rsidRPr="00D27D45" w:rsidRDefault="00D27D45" w:rsidP="00D27D45">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Module Code: BMHP6030</w:t>
      </w:r>
    </w:p>
    <w:p w14:paraId="7B680861" w14:textId="027B13EF" w:rsidR="003D6590" w:rsidRPr="00D27D45" w:rsidRDefault="00D27D45"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Title: </w:t>
      </w:r>
      <w:r w:rsidR="003D6590" w:rsidRPr="00D27D45">
        <w:rPr>
          <w:rStyle w:val="s1"/>
          <w:rFonts w:ascii="Arial" w:hAnsi="Arial" w:cs="Arial"/>
          <w:b w:val="0"/>
          <w:bCs w:val="0"/>
          <w:sz w:val="22"/>
          <w:szCs w:val="22"/>
        </w:rPr>
        <w:t>The Impact of SDG 3 and SDG 10 on Health and Wellbeing: A Multi-Level Analysis</w:t>
      </w:r>
    </w:p>
    <w:p w14:paraId="61165E2F" w14:textId="77777777" w:rsidR="003D6590" w:rsidRPr="00D27D45" w:rsidRDefault="003D6590" w:rsidP="00D27D45">
      <w:pPr>
        <w:pStyle w:val="p2"/>
        <w:spacing w:line="360" w:lineRule="auto"/>
        <w:rPr>
          <w:rFonts w:ascii="Arial" w:hAnsi="Arial" w:cs="Arial"/>
          <w:sz w:val="22"/>
          <w:szCs w:val="22"/>
        </w:rPr>
      </w:pPr>
    </w:p>
    <w:p w14:paraId="5EBCED14" w14:textId="77777777" w:rsidR="00D27D45" w:rsidRPr="00D27D45" w:rsidRDefault="00D27D45" w:rsidP="00D27D45">
      <w:pPr>
        <w:pStyle w:val="p1"/>
        <w:spacing w:line="360" w:lineRule="auto"/>
        <w:rPr>
          <w:rStyle w:val="s1"/>
          <w:rFonts w:ascii="Arial" w:hAnsi="Arial" w:cs="Arial"/>
          <w:b w:val="0"/>
          <w:bCs w:val="0"/>
          <w:sz w:val="22"/>
          <w:szCs w:val="22"/>
        </w:rPr>
      </w:pPr>
    </w:p>
    <w:p w14:paraId="7C041435" w14:textId="77777777" w:rsidR="00D27D45" w:rsidRPr="00D27D45" w:rsidRDefault="00D27D45" w:rsidP="00D27D45">
      <w:pPr>
        <w:pStyle w:val="p1"/>
        <w:spacing w:line="360" w:lineRule="auto"/>
        <w:rPr>
          <w:rStyle w:val="s1"/>
          <w:rFonts w:ascii="Arial" w:hAnsi="Arial" w:cs="Arial"/>
          <w:b w:val="0"/>
          <w:bCs w:val="0"/>
          <w:sz w:val="22"/>
          <w:szCs w:val="22"/>
        </w:rPr>
      </w:pPr>
    </w:p>
    <w:p w14:paraId="5B5DBC7D" w14:textId="77777777" w:rsidR="00D27D45" w:rsidRPr="00D27D45" w:rsidRDefault="00D27D45" w:rsidP="00D27D45">
      <w:pPr>
        <w:pStyle w:val="p1"/>
        <w:spacing w:line="360" w:lineRule="auto"/>
        <w:rPr>
          <w:rStyle w:val="s1"/>
          <w:rFonts w:ascii="Arial" w:hAnsi="Arial" w:cs="Arial"/>
          <w:b w:val="0"/>
          <w:bCs w:val="0"/>
          <w:sz w:val="22"/>
          <w:szCs w:val="22"/>
        </w:rPr>
      </w:pPr>
    </w:p>
    <w:p w14:paraId="5BE6B0D7" w14:textId="77777777" w:rsidR="00D27D45" w:rsidRPr="00D27D45" w:rsidRDefault="00D27D45" w:rsidP="00D27D45">
      <w:pPr>
        <w:pStyle w:val="p1"/>
        <w:spacing w:line="360" w:lineRule="auto"/>
        <w:rPr>
          <w:rStyle w:val="s1"/>
          <w:rFonts w:ascii="Arial" w:hAnsi="Arial" w:cs="Arial"/>
          <w:b w:val="0"/>
          <w:bCs w:val="0"/>
          <w:sz w:val="22"/>
          <w:szCs w:val="22"/>
        </w:rPr>
      </w:pPr>
    </w:p>
    <w:p w14:paraId="75E6B2E6" w14:textId="77777777" w:rsidR="00D27D45" w:rsidRPr="00D27D45" w:rsidRDefault="00D27D45" w:rsidP="00D27D45">
      <w:pPr>
        <w:pStyle w:val="p1"/>
        <w:spacing w:line="360" w:lineRule="auto"/>
        <w:rPr>
          <w:rStyle w:val="s1"/>
          <w:rFonts w:ascii="Arial" w:hAnsi="Arial" w:cs="Arial"/>
          <w:b w:val="0"/>
          <w:bCs w:val="0"/>
          <w:sz w:val="22"/>
          <w:szCs w:val="22"/>
        </w:rPr>
      </w:pPr>
    </w:p>
    <w:p w14:paraId="36B81728" w14:textId="77777777" w:rsidR="00D27D45" w:rsidRPr="00D27D45" w:rsidRDefault="00D27D45" w:rsidP="00D27D45">
      <w:pPr>
        <w:pStyle w:val="p1"/>
        <w:spacing w:line="360" w:lineRule="auto"/>
        <w:rPr>
          <w:rStyle w:val="s1"/>
          <w:rFonts w:ascii="Arial" w:hAnsi="Arial" w:cs="Arial"/>
          <w:b w:val="0"/>
          <w:bCs w:val="0"/>
          <w:sz w:val="22"/>
          <w:szCs w:val="22"/>
        </w:rPr>
      </w:pPr>
    </w:p>
    <w:p w14:paraId="42B155E7" w14:textId="77777777" w:rsidR="00D27D45" w:rsidRPr="00D27D45" w:rsidRDefault="00D27D45" w:rsidP="00D27D45">
      <w:pPr>
        <w:pStyle w:val="p1"/>
        <w:spacing w:line="360" w:lineRule="auto"/>
        <w:rPr>
          <w:rStyle w:val="s1"/>
          <w:rFonts w:ascii="Arial" w:hAnsi="Arial" w:cs="Arial"/>
          <w:b w:val="0"/>
          <w:bCs w:val="0"/>
          <w:sz w:val="22"/>
          <w:szCs w:val="22"/>
        </w:rPr>
      </w:pPr>
    </w:p>
    <w:p w14:paraId="3C033128" w14:textId="77777777" w:rsidR="00D27D45" w:rsidRPr="00D27D45" w:rsidRDefault="00D27D45" w:rsidP="00D27D45">
      <w:pPr>
        <w:pStyle w:val="p1"/>
        <w:spacing w:line="360" w:lineRule="auto"/>
        <w:rPr>
          <w:rStyle w:val="s1"/>
          <w:rFonts w:ascii="Arial" w:hAnsi="Arial" w:cs="Arial"/>
          <w:b w:val="0"/>
          <w:bCs w:val="0"/>
          <w:sz w:val="22"/>
          <w:szCs w:val="22"/>
        </w:rPr>
      </w:pPr>
    </w:p>
    <w:p w14:paraId="44E028A0" w14:textId="77777777" w:rsidR="00D27D45" w:rsidRPr="00D27D45" w:rsidRDefault="00D27D45" w:rsidP="00D27D45">
      <w:pPr>
        <w:pStyle w:val="p1"/>
        <w:spacing w:line="360" w:lineRule="auto"/>
        <w:rPr>
          <w:rStyle w:val="s1"/>
          <w:rFonts w:ascii="Arial" w:hAnsi="Arial" w:cs="Arial"/>
          <w:b w:val="0"/>
          <w:bCs w:val="0"/>
          <w:sz w:val="22"/>
          <w:szCs w:val="22"/>
        </w:rPr>
      </w:pPr>
    </w:p>
    <w:p w14:paraId="5771CFA7" w14:textId="77777777" w:rsidR="00D27D45" w:rsidRPr="00D27D45" w:rsidRDefault="00D27D45" w:rsidP="00D27D45">
      <w:pPr>
        <w:pStyle w:val="p1"/>
        <w:spacing w:line="360" w:lineRule="auto"/>
        <w:rPr>
          <w:rStyle w:val="s1"/>
          <w:rFonts w:ascii="Arial" w:hAnsi="Arial" w:cs="Arial"/>
          <w:b w:val="0"/>
          <w:bCs w:val="0"/>
          <w:sz w:val="22"/>
          <w:szCs w:val="22"/>
        </w:rPr>
      </w:pPr>
    </w:p>
    <w:p w14:paraId="383CBDC9" w14:textId="77777777" w:rsidR="00D27D45" w:rsidRPr="00D27D45" w:rsidRDefault="00D27D45" w:rsidP="00D27D45">
      <w:pPr>
        <w:pStyle w:val="p1"/>
        <w:spacing w:line="360" w:lineRule="auto"/>
        <w:rPr>
          <w:rStyle w:val="s1"/>
          <w:rFonts w:ascii="Arial" w:hAnsi="Arial" w:cs="Arial"/>
          <w:b w:val="0"/>
          <w:bCs w:val="0"/>
          <w:sz w:val="22"/>
          <w:szCs w:val="22"/>
        </w:rPr>
      </w:pPr>
    </w:p>
    <w:p w14:paraId="5AA2BFD0" w14:textId="77777777" w:rsidR="00D27D45" w:rsidRPr="00D27D45" w:rsidRDefault="00D27D45" w:rsidP="00D27D45">
      <w:pPr>
        <w:pStyle w:val="p1"/>
        <w:spacing w:line="360" w:lineRule="auto"/>
        <w:rPr>
          <w:rStyle w:val="s1"/>
          <w:rFonts w:ascii="Arial" w:hAnsi="Arial" w:cs="Arial"/>
          <w:b w:val="0"/>
          <w:bCs w:val="0"/>
          <w:sz w:val="22"/>
          <w:szCs w:val="22"/>
        </w:rPr>
      </w:pPr>
    </w:p>
    <w:p w14:paraId="54442D5B" w14:textId="77777777" w:rsidR="00D27D45" w:rsidRPr="00D27D45" w:rsidRDefault="00D27D45" w:rsidP="00D27D45">
      <w:pPr>
        <w:pStyle w:val="p1"/>
        <w:spacing w:line="360" w:lineRule="auto"/>
        <w:rPr>
          <w:rStyle w:val="s1"/>
          <w:rFonts w:ascii="Arial" w:hAnsi="Arial" w:cs="Arial"/>
          <w:b w:val="0"/>
          <w:bCs w:val="0"/>
          <w:sz w:val="22"/>
          <w:szCs w:val="22"/>
        </w:rPr>
      </w:pPr>
    </w:p>
    <w:p w14:paraId="770766EB" w14:textId="77777777" w:rsidR="00D27D45" w:rsidRPr="00D27D45" w:rsidRDefault="00D27D45" w:rsidP="00D27D45">
      <w:pPr>
        <w:pStyle w:val="p1"/>
        <w:spacing w:line="360" w:lineRule="auto"/>
        <w:rPr>
          <w:rStyle w:val="s1"/>
          <w:rFonts w:ascii="Arial" w:hAnsi="Arial" w:cs="Arial"/>
          <w:b w:val="0"/>
          <w:bCs w:val="0"/>
          <w:sz w:val="22"/>
          <w:szCs w:val="22"/>
        </w:rPr>
      </w:pPr>
    </w:p>
    <w:p w14:paraId="26FCA099" w14:textId="77777777" w:rsidR="00D27D45" w:rsidRPr="00D27D45" w:rsidRDefault="00D27D45" w:rsidP="00D27D45">
      <w:pPr>
        <w:pStyle w:val="p1"/>
        <w:spacing w:line="360" w:lineRule="auto"/>
        <w:rPr>
          <w:rStyle w:val="s1"/>
          <w:rFonts w:ascii="Arial" w:hAnsi="Arial" w:cs="Arial"/>
          <w:b w:val="0"/>
          <w:bCs w:val="0"/>
          <w:sz w:val="22"/>
          <w:szCs w:val="22"/>
        </w:rPr>
      </w:pPr>
    </w:p>
    <w:p w14:paraId="44C3F00B" w14:textId="77777777" w:rsidR="00D27D45" w:rsidRPr="00D27D45" w:rsidRDefault="00D27D45" w:rsidP="00D27D45">
      <w:pPr>
        <w:pStyle w:val="p1"/>
        <w:spacing w:line="360" w:lineRule="auto"/>
        <w:rPr>
          <w:rStyle w:val="s1"/>
          <w:rFonts w:ascii="Arial" w:hAnsi="Arial" w:cs="Arial"/>
          <w:b w:val="0"/>
          <w:bCs w:val="0"/>
          <w:sz w:val="22"/>
          <w:szCs w:val="22"/>
        </w:rPr>
      </w:pPr>
    </w:p>
    <w:p w14:paraId="4EC51A38" w14:textId="77777777" w:rsidR="00D27D45" w:rsidRPr="00D27D45" w:rsidRDefault="00D27D45" w:rsidP="00D27D45">
      <w:pPr>
        <w:pStyle w:val="p1"/>
        <w:spacing w:line="360" w:lineRule="auto"/>
        <w:rPr>
          <w:rStyle w:val="s1"/>
          <w:rFonts w:ascii="Arial" w:hAnsi="Arial" w:cs="Arial"/>
          <w:b w:val="0"/>
          <w:bCs w:val="0"/>
          <w:sz w:val="22"/>
          <w:szCs w:val="22"/>
        </w:rPr>
      </w:pPr>
    </w:p>
    <w:p w14:paraId="5F3A26FB" w14:textId="77777777" w:rsidR="00D27D45" w:rsidRPr="00D27D45" w:rsidRDefault="00D27D45" w:rsidP="00D27D45">
      <w:pPr>
        <w:pStyle w:val="p1"/>
        <w:spacing w:line="360" w:lineRule="auto"/>
        <w:rPr>
          <w:rStyle w:val="s1"/>
          <w:rFonts w:ascii="Arial" w:hAnsi="Arial" w:cs="Arial"/>
          <w:b w:val="0"/>
          <w:bCs w:val="0"/>
          <w:sz w:val="22"/>
          <w:szCs w:val="22"/>
        </w:rPr>
      </w:pPr>
    </w:p>
    <w:p w14:paraId="0A5A9F79" w14:textId="77777777" w:rsidR="00D27D45" w:rsidRPr="00D27D45" w:rsidRDefault="00D27D45" w:rsidP="00D27D45">
      <w:pPr>
        <w:pStyle w:val="p1"/>
        <w:spacing w:line="360" w:lineRule="auto"/>
        <w:rPr>
          <w:rStyle w:val="s1"/>
          <w:rFonts w:ascii="Arial" w:hAnsi="Arial" w:cs="Arial"/>
          <w:b w:val="0"/>
          <w:bCs w:val="0"/>
          <w:sz w:val="22"/>
          <w:szCs w:val="22"/>
        </w:rPr>
      </w:pPr>
    </w:p>
    <w:p w14:paraId="303F859B" w14:textId="77777777" w:rsidR="00D27D45" w:rsidRPr="00D27D45" w:rsidRDefault="00D27D45" w:rsidP="00D27D45">
      <w:pPr>
        <w:pStyle w:val="p1"/>
        <w:spacing w:line="360" w:lineRule="auto"/>
        <w:rPr>
          <w:rStyle w:val="s1"/>
          <w:rFonts w:ascii="Arial" w:hAnsi="Arial" w:cs="Arial"/>
          <w:b w:val="0"/>
          <w:bCs w:val="0"/>
          <w:sz w:val="22"/>
          <w:szCs w:val="22"/>
        </w:rPr>
      </w:pPr>
    </w:p>
    <w:p w14:paraId="4FF1E59F" w14:textId="77777777" w:rsidR="00D27D45" w:rsidRPr="00D27D45" w:rsidRDefault="00D27D45" w:rsidP="00D27D45">
      <w:pPr>
        <w:pStyle w:val="p1"/>
        <w:spacing w:line="360" w:lineRule="auto"/>
        <w:rPr>
          <w:rStyle w:val="s1"/>
          <w:rFonts w:ascii="Arial" w:hAnsi="Arial" w:cs="Arial"/>
          <w:b w:val="0"/>
          <w:bCs w:val="0"/>
          <w:sz w:val="22"/>
          <w:szCs w:val="22"/>
        </w:rPr>
      </w:pPr>
    </w:p>
    <w:p w14:paraId="1E08D84B" w14:textId="77777777" w:rsidR="00D27D45" w:rsidRPr="00D27D45" w:rsidRDefault="00D27D45" w:rsidP="00D27D45">
      <w:pPr>
        <w:pStyle w:val="p1"/>
        <w:spacing w:line="360" w:lineRule="auto"/>
        <w:rPr>
          <w:rStyle w:val="s1"/>
          <w:rFonts w:ascii="Arial" w:hAnsi="Arial" w:cs="Arial"/>
          <w:b w:val="0"/>
          <w:bCs w:val="0"/>
          <w:sz w:val="22"/>
          <w:szCs w:val="22"/>
        </w:rPr>
      </w:pPr>
    </w:p>
    <w:p w14:paraId="47DB30BD" w14:textId="77777777" w:rsidR="00D27D45" w:rsidRPr="00D27D45" w:rsidRDefault="00D27D45" w:rsidP="00D27D45">
      <w:pPr>
        <w:pStyle w:val="p1"/>
        <w:spacing w:line="360" w:lineRule="auto"/>
        <w:rPr>
          <w:rStyle w:val="s1"/>
          <w:rFonts w:ascii="Arial" w:hAnsi="Arial" w:cs="Arial"/>
          <w:b w:val="0"/>
          <w:bCs w:val="0"/>
          <w:sz w:val="22"/>
          <w:szCs w:val="22"/>
        </w:rPr>
      </w:pPr>
    </w:p>
    <w:p w14:paraId="210384BF" w14:textId="77777777" w:rsidR="00D27D45" w:rsidRPr="00D27D45" w:rsidRDefault="00D27D45" w:rsidP="00D27D45">
      <w:pPr>
        <w:pStyle w:val="p1"/>
        <w:spacing w:line="360" w:lineRule="auto"/>
        <w:rPr>
          <w:rStyle w:val="s1"/>
          <w:rFonts w:ascii="Arial" w:hAnsi="Arial" w:cs="Arial"/>
          <w:b w:val="0"/>
          <w:bCs w:val="0"/>
          <w:sz w:val="22"/>
          <w:szCs w:val="22"/>
        </w:rPr>
      </w:pPr>
    </w:p>
    <w:p w14:paraId="1DDDC394" w14:textId="77777777" w:rsidR="00D27D45" w:rsidRPr="00D27D45" w:rsidRDefault="00D27D45" w:rsidP="00D27D45">
      <w:pPr>
        <w:pStyle w:val="p1"/>
        <w:spacing w:line="360" w:lineRule="auto"/>
        <w:rPr>
          <w:rStyle w:val="s1"/>
          <w:rFonts w:ascii="Arial" w:hAnsi="Arial" w:cs="Arial"/>
          <w:b w:val="0"/>
          <w:bCs w:val="0"/>
          <w:sz w:val="22"/>
          <w:szCs w:val="22"/>
        </w:rPr>
      </w:pPr>
    </w:p>
    <w:p w14:paraId="4DAA2F48" w14:textId="77777777" w:rsidR="00D27D45" w:rsidRPr="00D27D45" w:rsidRDefault="00D27D45" w:rsidP="00D27D45">
      <w:pPr>
        <w:pStyle w:val="p1"/>
        <w:spacing w:line="360" w:lineRule="auto"/>
        <w:rPr>
          <w:rStyle w:val="s1"/>
          <w:rFonts w:ascii="Arial" w:hAnsi="Arial" w:cs="Arial"/>
          <w:b w:val="0"/>
          <w:bCs w:val="0"/>
          <w:sz w:val="22"/>
          <w:szCs w:val="22"/>
        </w:rPr>
      </w:pPr>
    </w:p>
    <w:p w14:paraId="24C32C85" w14:textId="77777777" w:rsidR="00D27D45" w:rsidRPr="00D27D45" w:rsidRDefault="00D27D45" w:rsidP="00D27D45">
      <w:pPr>
        <w:pStyle w:val="p1"/>
        <w:spacing w:line="360" w:lineRule="auto"/>
        <w:rPr>
          <w:rStyle w:val="s1"/>
          <w:rFonts w:ascii="Arial" w:hAnsi="Arial" w:cs="Arial"/>
          <w:b w:val="0"/>
          <w:bCs w:val="0"/>
          <w:sz w:val="22"/>
          <w:szCs w:val="22"/>
        </w:rPr>
      </w:pPr>
    </w:p>
    <w:p w14:paraId="1779FCDA" w14:textId="77777777" w:rsidR="00D27D45" w:rsidRPr="00D27D45" w:rsidRDefault="00D27D45" w:rsidP="00D27D45">
      <w:pPr>
        <w:pStyle w:val="p1"/>
        <w:spacing w:line="360" w:lineRule="auto"/>
        <w:rPr>
          <w:rStyle w:val="s1"/>
          <w:rFonts w:ascii="Arial" w:hAnsi="Arial" w:cs="Arial"/>
          <w:b w:val="0"/>
          <w:bCs w:val="0"/>
          <w:sz w:val="22"/>
          <w:szCs w:val="22"/>
        </w:rPr>
      </w:pPr>
    </w:p>
    <w:p w14:paraId="38A21792" w14:textId="77777777" w:rsidR="00D27D45" w:rsidRPr="00D27D45" w:rsidRDefault="00D27D45" w:rsidP="00D27D45">
      <w:pPr>
        <w:pStyle w:val="p1"/>
        <w:spacing w:line="360" w:lineRule="auto"/>
        <w:rPr>
          <w:rStyle w:val="s1"/>
          <w:rFonts w:ascii="Arial" w:hAnsi="Arial" w:cs="Arial"/>
          <w:b w:val="0"/>
          <w:bCs w:val="0"/>
          <w:sz w:val="22"/>
          <w:szCs w:val="22"/>
        </w:rPr>
      </w:pPr>
    </w:p>
    <w:p w14:paraId="68BB7503" w14:textId="77777777" w:rsidR="00D27D45" w:rsidRPr="00D27D45" w:rsidRDefault="00D27D45" w:rsidP="00D27D45">
      <w:pPr>
        <w:pStyle w:val="p1"/>
        <w:spacing w:line="360" w:lineRule="auto"/>
        <w:rPr>
          <w:rStyle w:val="s1"/>
          <w:rFonts w:ascii="Arial" w:hAnsi="Arial" w:cs="Arial"/>
          <w:b w:val="0"/>
          <w:bCs w:val="0"/>
          <w:sz w:val="22"/>
          <w:szCs w:val="22"/>
        </w:rPr>
      </w:pPr>
    </w:p>
    <w:p w14:paraId="5871C05E" w14:textId="77777777" w:rsidR="00D27D45" w:rsidRPr="00D27D45" w:rsidRDefault="00D27D45" w:rsidP="00D27D45">
      <w:pPr>
        <w:pStyle w:val="p1"/>
        <w:spacing w:line="360" w:lineRule="auto"/>
        <w:rPr>
          <w:rStyle w:val="s1"/>
          <w:rFonts w:ascii="Arial" w:hAnsi="Arial" w:cs="Arial"/>
          <w:b w:val="0"/>
          <w:bCs w:val="0"/>
          <w:sz w:val="22"/>
          <w:szCs w:val="22"/>
        </w:rPr>
      </w:pPr>
    </w:p>
    <w:p w14:paraId="2076C3B9" w14:textId="77777777" w:rsidR="00D27D45" w:rsidRPr="00D27D45" w:rsidRDefault="00D27D45" w:rsidP="00D27D45">
      <w:pPr>
        <w:pStyle w:val="p1"/>
        <w:spacing w:line="360" w:lineRule="auto"/>
        <w:rPr>
          <w:rStyle w:val="s1"/>
          <w:rFonts w:ascii="Arial" w:hAnsi="Arial" w:cs="Arial"/>
          <w:b w:val="0"/>
          <w:bCs w:val="0"/>
          <w:sz w:val="22"/>
          <w:szCs w:val="22"/>
        </w:rPr>
      </w:pPr>
    </w:p>
    <w:p w14:paraId="20E0A493" w14:textId="77777777" w:rsidR="00D27D45" w:rsidRPr="00D27D45" w:rsidRDefault="00D27D45" w:rsidP="00D27D45">
      <w:pPr>
        <w:pStyle w:val="p1"/>
        <w:spacing w:line="360" w:lineRule="auto"/>
        <w:rPr>
          <w:rStyle w:val="s1"/>
          <w:rFonts w:ascii="Arial" w:hAnsi="Arial" w:cs="Arial"/>
          <w:b w:val="0"/>
          <w:bCs w:val="0"/>
          <w:sz w:val="22"/>
          <w:szCs w:val="22"/>
        </w:rPr>
      </w:pPr>
    </w:p>
    <w:p w14:paraId="2929A25F" w14:textId="77777777" w:rsidR="00D27D45" w:rsidRPr="00D27D45" w:rsidRDefault="00D27D45" w:rsidP="00D27D45">
      <w:pPr>
        <w:pStyle w:val="p1"/>
        <w:spacing w:line="360" w:lineRule="auto"/>
        <w:rPr>
          <w:rStyle w:val="s1"/>
          <w:rFonts w:ascii="Arial" w:hAnsi="Arial" w:cs="Arial"/>
          <w:b w:val="0"/>
          <w:bCs w:val="0"/>
          <w:sz w:val="22"/>
          <w:szCs w:val="22"/>
        </w:rPr>
      </w:pPr>
    </w:p>
    <w:p w14:paraId="61636DB3" w14:textId="77777777" w:rsidR="00D27D45" w:rsidRPr="00D27D45" w:rsidRDefault="00D27D45" w:rsidP="00D27D45">
      <w:pPr>
        <w:pStyle w:val="p1"/>
        <w:spacing w:line="360" w:lineRule="auto"/>
        <w:rPr>
          <w:rStyle w:val="s1"/>
          <w:rFonts w:ascii="Arial" w:hAnsi="Arial" w:cs="Arial"/>
          <w:b w:val="0"/>
          <w:bCs w:val="0"/>
          <w:sz w:val="22"/>
          <w:szCs w:val="22"/>
        </w:rPr>
      </w:pPr>
    </w:p>
    <w:p w14:paraId="0F699326" w14:textId="77777777" w:rsidR="00D27D45" w:rsidRPr="00D27D45" w:rsidRDefault="00D27D45" w:rsidP="00D27D45">
      <w:pPr>
        <w:pStyle w:val="p1"/>
        <w:spacing w:line="360" w:lineRule="auto"/>
        <w:rPr>
          <w:rStyle w:val="s1"/>
          <w:rFonts w:ascii="Arial" w:hAnsi="Arial" w:cs="Arial"/>
          <w:b w:val="0"/>
          <w:bCs w:val="0"/>
          <w:sz w:val="22"/>
          <w:szCs w:val="22"/>
        </w:rPr>
      </w:pPr>
    </w:p>
    <w:p w14:paraId="6582E891" w14:textId="77777777" w:rsidR="00D27D45" w:rsidRPr="00D27D45" w:rsidRDefault="00D27D45" w:rsidP="00D27D45">
      <w:pPr>
        <w:pStyle w:val="p1"/>
        <w:spacing w:line="360" w:lineRule="auto"/>
        <w:rPr>
          <w:rStyle w:val="s1"/>
          <w:rFonts w:ascii="Arial" w:hAnsi="Arial" w:cs="Arial"/>
          <w:b w:val="0"/>
          <w:bCs w:val="0"/>
          <w:sz w:val="22"/>
          <w:szCs w:val="22"/>
        </w:rPr>
      </w:pPr>
    </w:p>
    <w:p w14:paraId="32280EF6" w14:textId="603ED51F" w:rsidR="003D6590" w:rsidRPr="00B53ACB" w:rsidRDefault="003D6590" w:rsidP="00D27D45">
      <w:pPr>
        <w:pStyle w:val="p1"/>
        <w:spacing w:line="360" w:lineRule="auto"/>
        <w:rPr>
          <w:rFonts w:ascii="Arial" w:hAnsi="Arial" w:cs="Arial"/>
          <w:sz w:val="22"/>
          <w:szCs w:val="22"/>
        </w:rPr>
      </w:pPr>
      <w:r w:rsidRPr="00B53ACB">
        <w:rPr>
          <w:rStyle w:val="s1"/>
          <w:rFonts w:ascii="Arial" w:hAnsi="Arial" w:cs="Arial"/>
          <w:sz w:val="22"/>
          <w:szCs w:val="22"/>
        </w:rPr>
        <w:t>Introduction</w:t>
      </w:r>
    </w:p>
    <w:p w14:paraId="45D2BDB2" w14:textId="77777777" w:rsidR="003D6590" w:rsidRPr="00D27D45" w:rsidRDefault="003D6590" w:rsidP="00D27D45">
      <w:pPr>
        <w:pStyle w:val="p2"/>
        <w:spacing w:line="360" w:lineRule="auto"/>
        <w:rPr>
          <w:rFonts w:ascii="Arial" w:hAnsi="Arial" w:cs="Arial"/>
          <w:sz w:val="22"/>
          <w:szCs w:val="22"/>
        </w:rPr>
      </w:pPr>
    </w:p>
    <w:p w14:paraId="40C436B2"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Health and wellbeing are shaped by a complex interaction of individual behaviours and wider social, economic and environmental conditions, making them central to global sustainability agendas (UK Government, 2018; UN, 2026). The United Nations Sustainable Development Goals (SDGs) reflect this complexity, with SDG 3 (Good Health and Wellbeing) focusing on improving health outcomes, while SDG 10 (Reduced Inequalities) addresses the structural disparities that influence these outcomes (UN, 2026). The relationship between these goals is significant, as persistent inequalities continue to shape access to resources, services and opportunities that determine health (Abdi et al., 2025)</w:t>
      </w:r>
    </w:p>
    <w:p w14:paraId="42732D1F" w14:textId="77777777" w:rsidR="003D6590" w:rsidRPr="00D27D45" w:rsidRDefault="003D6590" w:rsidP="00D27D45">
      <w:pPr>
        <w:pStyle w:val="p2"/>
        <w:spacing w:line="360" w:lineRule="auto"/>
        <w:rPr>
          <w:rFonts w:ascii="Arial" w:hAnsi="Arial" w:cs="Arial"/>
          <w:sz w:val="22"/>
          <w:szCs w:val="22"/>
        </w:rPr>
      </w:pPr>
    </w:p>
    <w:p w14:paraId="5796CBA9"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This report critically examines how SDG 3 and SDG 10 impact citizens’ health and wellbeing across global, national and local contexts. It evaluates the effectiveness of key policies and initiatives in addressing both behavioural and structural determinants of health. The analysis is informed by the Health Belief Model (</w:t>
      </w:r>
      <w:proofErr w:type="spellStart"/>
      <w:r w:rsidRPr="00D27D45">
        <w:rPr>
          <w:rStyle w:val="s1"/>
          <w:rFonts w:ascii="Arial" w:hAnsi="Arial" w:cs="Arial"/>
          <w:b w:val="0"/>
          <w:bCs w:val="0"/>
          <w:sz w:val="22"/>
          <w:szCs w:val="22"/>
        </w:rPr>
        <w:t>Alyafei</w:t>
      </w:r>
      <w:proofErr w:type="spellEnd"/>
      <w:r w:rsidRPr="00D27D45">
        <w:rPr>
          <w:rStyle w:val="s1"/>
          <w:rFonts w:ascii="Arial" w:hAnsi="Arial" w:cs="Arial"/>
          <w:b w:val="0"/>
          <w:bCs w:val="0"/>
          <w:sz w:val="22"/>
          <w:szCs w:val="22"/>
        </w:rPr>
        <w:t xml:space="preserve"> &amp; Carr, 2024), which explains how individual perceptions such as perceived risk and barriers influence engagement with health interventions, alongside the Socio-Ecological Model (Ewald, Orsini &amp; Strack, 2024), which highlights how health behaviours are shaped by multiple levels of influence, including social, environmental and policy contexts. Through this approach, the report explores the extent to which current strategies move beyond individual-level change to address the broader drivers of inequality and health outcomes.</w:t>
      </w:r>
    </w:p>
    <w:p w14:paraId="4F100496" w14:textId="77777777" w:rsidR="003D6590" w:rsidRPr="00D27D45" w:rsidRDefault="003D6590" w:rsidP="00D27D45">
      <w:pPr>
        <w:pStyle w:val="p2"/>
        <w:spacing w:line="360" w:lineRule="auto"/>
        <w:rPr>
          <w:rFonts w:ascii="Arial" w:hAnsi="Arial" w:cs="Arial"/>
          <w:sz w:val="22"/>
          <w:szCs w:val="22"/>
        </w:rPr>
      </w:pPr>
    </w:p>
    <w:p w14:paraId="348CC170" w14:textId="77777777" w:rsidR="003D6590" w:rsidRPr="00B53ACB" w:rsidRDefault="003D6590" w:rsidP="00D27D45">
      <w:pPr>
        <w:pStyle w:val="p1"/>
        <w:spacing w:line="360" w:lineRule="auto"/>
        <w:rPr>
          <w:rFonts w:ascii="Arial" w:hAnsi="Arial" w:cs="Arial"/>
          <w:sz w:val="22"/>
          <w:szCs w:val="22"/>
        </w:rPr>
      </w:pPr>
      <w:r w:rsidRPr="00B53ACB">
        <w:rPr>
          <w:rStyle w:val="s1"/>
          <w:rFonts w:ascii="Arial" w:hAnsi="Arial" w:cs="Arial"/>
          <w:sz w:val="22"/>
          <w:szCs w:val="22"/>
        </w:rPr>
        <w:t>Section 1 - SDG 3</w:t>
      </w:r>
    </w:p>
    <w:p w14:paraId="16E5C274" w14:textId="77777777" w:rsidR="003D6590" w:rsidRPr="00D27D45" w:rsidRDefault="003D6590" w:rsidP="00D27D45">
      <w:pPr>
        <w:pStyle w:val="p2"/>
        <w:spacing w:line="360" w:lineRule="auto"/>
        <w:rPr>
          <w:rFonts w:ascii="Arial" w:hAnsi="Arial" w:cs="Arial"/>
          <w:sz w:val="22"/>
          <w:szCs w:val="22"/>
        </w:rPr>
      </w:pPr>
    </w:p>
    <w:p w14:paraId="07618AAD" w14:textId="68926CE2"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SDG 3 seeks to </w:t>
      </w:r>
      <w:r w:rsidR="00B53ACB">
        <w:rPr>
          <w:rStyle w:val="s1"/>
          <w:rFonts w:ascii="Arial" w:hAnsi="Arial" w:cs="Arial"/>
          <w:b w:val="0"/>
          <w:bCs w:val="0"/>
          <w:sz w:val="22"/>
          <w:szCs w:val="22"/>
        </w:rPr>
        <w:t>improve</w:t>
      </w:r>
      <w:r w:rsidRPr="00D27D45">
        <w:rPr>
          <w:rStyle w:val="s1"/>
          <w:rFonts w:ascii="Arial" w:hAnsi="Arial" w:cs="Arial"/>
          <w:b w:val="0"/>
          <w:bCs w:val="0"/>
          <w:sz w:val="22"/>
          <w:szCs w:val="22"/>
        </w:rPr>
        <w:t xml:space="preserve"> healthy lives and </w:t>
      </w:r>
      <w:r w:rsidR="00B53ACB">
        <w:rPr>
          <w:rStyle w:val="s1"/>
          <w:rFonts w:ascii="Arial" w:hAnsi="Arial" w:cs="Arial"/>
          <w:b w:val="0"/>
          <w:bCs w:val="0"/>
          <w:sz w:val="22"/>
          <w:szCs w:val="22"/>
        </w:rPr>
        <w:t>sustain</w:t>
      </w:r>
      <w:r w:rsidRPr="00D27D45">
        <w:rPr>
          <w:rStyle w:val="s1"/>
          <w:rFonts w:ascii="Arial" w:hAnsi="Arial" w:cs="Arial"/>
          <w:b w:val="0"/>
          <w:bCs w:val="0"/>
          <w:sz w:val="22"/>
          <w:szCs w:val="22"/>
        </w:rPr>
        <w:t xml:space="preserve"> wellbeing for all (UN, 2026), yet progress towards this goal remains uneven (Abdi et al., 2025; </w:t>
      </w:r>
      <w:proofErr w:type="spellStart"/>
      <w:r w:rsidRPr="00D27D45">
        <w:rPr>
          <w:rStyle w:val="s1"/>
          <w:rFonts w:ascii="Arial" w:hAnsi="Arial" w:cs="Arial"/>
          <w:b w:val="0"/>
          <w:bCs w:val="0"/>
          <w:sz w:val="22"/>
          <w:szCs w:val="22"/>
        </w:rPr>
        <w:t>Lakioti</w:t>
      </w:r>
      <w:proofErr w:type="spellEnd"/>
      <w:r w:rsidRPr="00D27D45">
        <w:rPr>
          <w:rStyle w:val="s1"/>
          <w:rFonts w:ascii="Arial" w:hAnsi="Arial" w:cs="Arial"/>
          <w:b w:val="0"/>
          <w:bCs w:val="0"/>
          <w:sz w:val="22"/>
          <w:szCs w:val="22"/>
        </w:rPr>
        <w:t xml:space="preserve"> et al., 2025). While global health indicators have improved, reductions in disease burden are not experienced equally across populations (UN, 2026; Adbi et al., 2025; </w:t>
      </w:r>
      <w:proofErr w:type="spellStart"/>
      <w:r w:rsidRPr="00D27D45">
        <w:rPr>
          <w:rStyle w:val="s1"/>
          <w:rFonts w:ascii="Arial" w:hAnsi="Arial" w:cs="Arial"/>
          <w:b w:val="0"/>
          <w:bCs w:val="0"/>
          <w:sz w:val="22"/>
          <w:szCs w:val="22"/>
        </w:rPr>
        <w:t>Lakioti</w:t>
      </w:r>
      <w:proofErr w:type="spellEnd"/>
      <w:r w:rsidRPr="00D27D45">
        <w:rPr>
          <w:rStyle w:val="s1"/>
          <w:rFonts w:ascii="Arial" w:hAnsi="Arial" w:cs="Arial"/>
          <w:b w:val="0"/>
          <w:bCs w:val="0"/>
          <w:sz w:val="22"/>
          <w:szCs w:val="22"/>
        </w:rPr>
        <w:t xml:space="preserve"> et al., 2025). This reflects the extent to which health outcomes are shaped by unequal access to resources, services and </w:t>
      </w:r>
      <w:r w:rsidRPr="00D27D45">
        <w:rPr>
          <w:rStyle w:val="s1"/>
          <w:rFonts w:ascii="Arial" w:hAnsi="Arial" w:cs="Arial"/>
          <w:b w:val="0"/>
          <w:bCs w:val="0"/>
          <w:sz w:val="22"/>
          <w:szCs w:val="22"/>
        </w:rPr>
        <w:lastRenderedPageBreak/>
        <w:t xml:space="preserve">opportunities, positioning inequality as a central challenge to achieving SDG 3 (Abdi et al., 2025; UN, 2026; </w:t>
      </w:r>
      <w:proofErr w:type="spellStart"/>
      <w:r w:rsidRPr="00D27D45">
        <w:rPr>
          <w:rStyle w:val="s1"/>
          <w:rFonts w:ascii="Arial" w:hAnsi="Arial" w:cs="Arial"/>
          <w:b w:val="0"/>
          <w:bCs w:val="0"/>
          <w:sz w:val="22"/>
          <w:szCs w:val="22"/>
        </w:rPr>
        <w:t>Lakioti</w:t>
      </w:r>
      <w:proofErr w:type="spellEnd"/>
      <w:r w:rsidRPr="00D27D45">
        <w:rPr>
          <w:rStyle w:val="s1"/>
          <w:rFonts w:ascii="Arial" w:hAnsi="Arial" w:cs="Arial"/>
          <w:b w:val="0"/>
          <w:bCs w:val="0"/>
          <w:sz w:val="22"/>
          <w:szCs w:val="22"/>
        </w:rPr>
        <w:t xml:space="preserve"> et al., 2025)</w:t>
      </w:r>
    </w:p>
    <w:p w14:paraId="4411BA9B" w14:textId="77777777" w:rsidR="003D6590" w:rsidRPr="00D27D45" w:rsidRDefault="003D6590" w:rsidP="00D27D45">
      <w:pPr>
        <w:pStyle w:val="p2"/>
        <w:spacing w:line="360" w:lineRule="auto"/>
        <w:rPr>
          <w:rFonts w:ascii="Arial" w:hAnsi="Arial" w:cs="Arial"/>
          <w:sz w:val="22"/>
          <w:szCs w:val="22"/>
        </w:rPr>
      </w:pPr>
      <w:r w:rsidRPr="00D27D45">
        <w:rPr>
          <w:rStyle w:val="apple-converted-space"/>
          <w:rFonts w:ascii="Arial" w:hAnsi="Arial" w:cs="Arial"/>
          <w:sz w:val="22"/>
          <w:szCs w:val="22"/>
        </w:rPr>
        <w:t> </w:t>
      </w:r>
    </w:p>
    <w:p w14:paraId="7730A924"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Global Initiative</w:t>
      </w:r>
    </w:p>
    <w:p w14:paraId="20D5CC4E" w14:textId="77777777" w:rsidR="003D6590" w:rsidRPr="00D27D45" w:rsidRDefault="003D6590" w:rsidP="00D27D45">
      <w:pPr>
        <w:pStyle w:val="p2"/>
        <w:spacing w:line="360" w:lineRule="auto"/>
        <w:rPr>
          <w:rFonts w:ascii="Arial" w:hAnsi="Arial" w:cs="Arial"/>
          <w:sz w:val="22"/>
          <w:szCs w:val="22"/>
        </w:rPr>
      </w:pPr>
    </w:p>
    <w:p w14:paraId="450B9A56"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At the global level, Gavi, the Vaccine Alliance represents a major initiative aimed at expanding access to immunisation for children in low- and middle-income countries (Gavi, 2026a). Through large-scale vaccination programmes, Gavi has contributed to significant reductions in preventable diseases and improved child survival rates, demonstrating the value of coordinated international intervention (Gavi, 2026b). Its approach combines funding, policy support and delivery systems, enabling vaccines to reach populations that would otherwise face limited access (Gavi, 2026a; Gavi, 2026b).</w:t>
      </w:r>
    </w:p>
    <w:p w14:paraId="692CB273" w14:textId="77777777" w:rsidR="003D6590" w:rsidRPr="00D27D45" w:rsidRDefault="003D6590" w:rsidP="00D27D45">
      <w:pPr>
        <w:pStyle w:val="p2"/>
        <w:spacing w:line="360" w:lineRule="auto"/>
        <w:rPr>
          <w:rFonts w:ascii="Arial" w:hAnsi="Arial" w:cs="Arial"/>
          <w:sz w:val="22"/>
          <w:szCs w:val="22"/>
        </w:rPr>
      </w:pPr>
    </w:p>
    <w:p w14:paraId="72C6E47A" w14:textId="6D076C48"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The effectiveness of this initiative can be understood through the Socio-Ecological Model, as it operates across multiple levels, from global policy frameworks to community-based delivery</w:t>
      </w:r>
      <w:r w:rsidR="008427D4" w:rsidRPr="00D27D45">
        <w:rPr>
          <w:rStyle w:val="s1"/>
          <w:rFonts w:ascii="Arial" w:hAnsi="Arial" w:cs="Arial"/>
          <w:b w:val="0"/>
          <w:bCs w:val="0"/>
          <w:sz w:val="22"/>
          <w:szCs w:val="22"/>
        </w:rPr>
        <w:t xml:space="preserve"> (Ewald, Orsini &amp; Strack, 2024)</w:t>
      </w:r>
      <w:r w:rsidRPr="00D27D45">
        <w:rPr>
          <w:rStyle w:val="s1"/>
          <w:rFonts w:ascii="Arial" w:hAnsi="Arial" w:cs="Arial"/>
          <w:b w:val="0"/>
          <w:bCs w:val="0"/>
          <w:sz w:val="22"/>
          <w:szCs w:val="22"/>
        </w:rPr>
        <w:t xml:space="preserve">. At the individual level, engagement with vaccination is influenced by perceptions of risk and benefit, as outlined in the Health Belief </w:t>
      </w:r>
      <w:proofErr w:type="gramStart"/>
      <w:r w:rsidRPr="00D27D45">
        <w:rPr>
          <w:rStyle w:val="s1"/>
          <w:rFonts w:ascii="Arial" w:hAnsi="Arial" w:cs="Arial"/>
          <w:b w:val="0"/>
          <w:bCs w:val="0"/>
          <w:sz w:val="22"/>
          <w:szCs w:val="22"/>
        </w:rPr>
        <w:t>Model</w:t>
      </w:r>
      <w:r w:rsidR="00C72BB9" w:rsidRPr="00D27D45">
        <w:rPr>
          <w:rStyle w:val="s1"/>
          <w:rFonts w:ascii="Arial" w:hAnsi="Arial" w:cs="Arial"/>
          <w:b w:val="0"/>
          <w:bCs w:val="0"/>
          <w:sz w:val="22"/>
          <w:szCs w:val="22"/>
        </w:rPr>
        <w:t>(</w:t>
      </w:r>
      <w:proofErr w:type="spellStart"/>
      <w:proofErr w:type="gramEnd"/>
      <w:r w:rsidR="00C72BB9" w:rsidRPr="00D27D45">
        <w:rPr>
          <w:rStyle w:val="s1"/>
          <w:rFonts w:ascii="Arial" w:hAnsi="Arial" w:cs="Arial"/>
          <w:b w:val="0"/>
          <w:bCs w:val="0"/>
          <w:sz w:val="22"/>
          <w:szCs w:val="22"/>
        </w:rPr>
        <w:t>Alyafei</w:t>
      </w:r>
      <w:proofErr w:type="spellEnd"/>
      <w:r w:rsidR="00C72BB9" w:rsidRPr="00D27D45">
        <w:rPr>
          <w:rStyle w:val="s1"/>
          <w:rFonts w:ascii="Arial" w:hAnsi="Arial" w:cs="Arial"/>
          <w:b w:val="0"/>
          <w:bCs w:val="0"/>
          <w:sz w:val="22"/>
          <w:szCs w:val="22"/>
        </w:rPr>
        <w:t xml:space="preserve"> &amp; Carr, 2024)</w:t>
      </w:r>
      <w:r w:rsidRPr="00D27D45">
        <w:rPr>
          <w:rStyle w:val="s1"/>
          <w:rFonts w:ascii="Arial" w:hAnsi="Arial" w:cs="Arial"/>
          <w:b w:val="0"/>
          <w:bCs w:val="0"/>
          <w:sz w:val="22"/>
          <w:szCs w:val="22"/>
        </w:rPr>
        <w:t>. Efforts to increase awareness and trust therefore play a key role in improving uptake.</w:t>
      </w:r>
    </w:p>
    <w:p w14:paraId="53382271" w14:textId="77777777" w:rsidR="003D6590" w:rsidRPr="00D27D45" w:rsidRDefault="003D6590" w:rsidP="00D27D45">
      <w:pPr>
        <w:pStyle w:val="p2"/>
        <w:spacing w:line="360" w:lineRule="auto"/>
        <w:rPr>
          <w:rFonts w:ascii="Arial" w:hAnsi="Arial" w:cs="Arial"/>
          <w:sz w:val="22"/>
          <w:szCs w:val="22"/>
        </w:rPr>
      </w:pPr>
    </w:p>
    <w:p w14:paraId="2B8E2823" w14:textId="52F5DF5E"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However, these gains are not uniformly distributed. Vaccination coverage continues to vary significantly between and within countries, with lower uptake among marginalised populations affected by poverty, geographic isolation and weak health infrastructure (Zimba et al., 2024; </w:t>
      </w:r>
      <w:proofErr w:type="spellStart"/>
      <w:r w:rsidRPr="00D27D45">
        <w:rPr>
          <w:rStyle w:val="s1"/>
          <w:rFonts w:ascii="Arial" w:hAnsi="Arial" w:cs="Arial"/>
          <w:b w:val="0"/>
          <w:bCs w:val="0"/>
          <w:sz w:val="22"/>
          <w:szCs w:val="22"/>
        </w:rPr>
        <w:t>Decouttere</w:t>
      </w:r>
      <w:proofErr w:type="spellEnd"/>
      <w:r w:rsidRPr="00D27D45">
        <w:rPr>
          <w:rStyle w:val="s1"/>
          <w:rFonts w:ascii="Arial" w:hAnsi="Arial" w:cs="Arial"/>
          <w:b w:val="0"/>
          <w:bCs w:val="0"/>
          <w:sz w:val="22"/>
          <w:szCs w:val="22"/>
        </w:rPr>
        <w:t>, Boeck &amp; Vandaele, 2021). In addition, global health partnership models such as Gavi face structural challenges including funding constraints, unequal vaccine distribution and vaccine nationalism, which can limit equitable access (Singh et al., 2022). This suggests that while global initiatives reduce disease burden, they remain constrained in addressing deeper structural inequalities, reinforcing the interdependence of SDG 3 and SDG 10</w:t>
      </w:r>
      <w:r w:rsidR="00B53ACB">
        <w:rPr>
          <w:rStyle w:val="s1"/>
          <w:rFonts w:ascii="Arial" w:hAnsi="Arial" w:cs="Arial"/>
          <w:b w:val="0"/>
          <w:bCs w:val="0"/>
          <w:sz w:val="22"/>
          <w:szCs w:val="22"/>
        </w:rPr>
        <w:t xml:space="preserve"> </w:t>
      </w:r>
      <w:r w:rsidR="00B53ACB" w:rsidRPr="00D27D45">
        <w:rPr>
          <w:rStyle w:val="s1"/>
          <w:rFonts w:ascii="Arial" w:hAnsi="Arial" w:cs="Arial"/>
          <w:b w:val="0"/>
          <w:bCs w:val="0"/>
          <w:sz w:val="22"/>
          <w:szCs w:val="22"/>
        </w:rPr>
        <w:t>(UN, 2026)</w:t>
      </w:r>
      <w:r w:rsidR="00B53ACB">
        <w:rPr>
          <w:rStyle w:val="s1"/>
          <w:rFonts w:ascii="Arial" w:hAnsi="Arial" w:cs="Arial"/>
          <w:b w:val="0"/>
          <w:bCs w:val="0"/>
          <w:sz w:val="22"/>
          <w:szCs w:val="22"/>
        </w:rPr>
        <w:t>.</w:t>
      </w:r>
    </w:p>
    <w:p w14:paraId="07A68D73" w14:textId="77777777" w:rsidR="003D6590" w:rsidRPr="00D27D45" w:rsidRDefault="003D6590" w:rsidP="00D27D45">
      <w:pPr>
        <w:pStyle w:val="p2"/>
        <w:spacing w:line="360" w:lineRule="auto"/>
        <w:rPr>
          <w:rFonts w:ascii="Arial" w:hAnsi="Arial" w:cs="Arial"/>
          <w:sz w:val="22"/>
          <w:szCs w:val="22"/>
        </w:rPr>
      </w:pPr>
    </w:p>
    <w:p w14:paraId="1B8D3A3D" w14:textId="77777777" w:rsidR="003D6590" w:rsidRPr="00D27D45" w:rsidRDefault="003D6590" w:rsidP="00D27D45">
      <w:pPr>
        <w:pStyle w:val="p2"/>
        <w:spacing w:line="360" w:lineRule="auto"/>
        <w:rPr>
          <w:rFonts w:ascii="Arial" w:hAnsi="Arial" w:cs="Arial"/>
          <w:sz w:val="22"/>
          <w:szCs w:val="22"/>
        </w:rPr>
      </w:pPr>
    </w:p>
    <w:p w14:paraId="13FFF840"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National Initiatives</w:t>
      </w:r>
      <w:r w:rsidRPr="00D27D45">
        <w:rPr>
          <w:rStyle w:val="apple-converted-space"/>
          <w:rFonts w:ascii="Arial" w:hAnsi="Arial" w:cs="Arial"/>
          <w:sz w:val="22"/>
          <w:szCs w:val="22"/>
        </w:rPr>
        <w:t> </w:t>
      </w:r>
    </w:p>
    <w:p w14:paraId="5DE36AAB" w14:textId="77777777" w:rsidR="003D6590" w:rsidRPr="00D27D45" w:rsidRDefault="003D6590" w:rsidP="00D27D45">
      <w:pPr>
        <w:pStyle w:val="p2"/>
        <w:spacing w:line="360" w:lineRule="auto"/>
        <w:rPr>
          <w:rFonts w:ascii="Arial" w:hAnsi="Arial" w:cs="Arial"/>
          <w:sz w:val="22"/>
          <w:szCs w:val="22"/>
        </w:rPr>
      </w:pPr>
    </w:p>
    <w:p w14:paraId="787FFD88" w14:textId="579A9D4D"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At the national level, the</w:t>
      </w:r>
      <w:r w:rsidR="00923249">
        <w:rPr>
          <w:rFonts w:ascii="Arial" w:hAnsi="Arial" w:cs="Arial"/>
          <w:sz w:val="22"/>
          <w:szCs w:val="22"/>
        </w:rPr>
        <w:t xml:space="preserve"> NHS Diabetes Prevention Programme </w:t>
      </w:r>
      <w:r w:rsidRPr="00923249">
        <w:rPr>
          <w:rStyle w:val="s2"/>
          <w:rFonts w:ascii="Arial" w:hAnsi="Arial" w:cs="Arial"/>
          <w:b w:val="0"/>
          <w:bCs w:val="0"/>
          <w:sz w:val="22"/>
          <w:szCs w:val="22"/>
          <w:u w:val="none"/>
        </w:rPr>
        <w:t>(NHS England, 2026</w:t>
      </w:r>
      <w:r w:rsidR="00923249">
        <w:rPr>
          <w:rStyle w:val="s2"/>
          <w:rFonts w:ascii="Arial" w:hAnsi="Arial" w:cs="Arial"/>
          <w:b w:val="0"/>
          <w:bCs w:val="0"/>
          <w:sz w:val="22"/>
          <w:szCs w:val="22"/>
          <w:u w:val="none"/>
        </w:rPr>
        <w:t>a</w:t>
      </w:r>
      <w:r w:rsidRPr="00923249">
        <w:rPr>
          <w:rStyle w:val="s2"/>
          <w:rFonts w:ascii="Arial" w:hAnsi="Arial" w:cs="Arial"/>
          <w:b w:val="0"/>
          <w:bCs w:val="0"/>
          <w:sz w:val="22"/>
          <w:szCs w:val="22"/>
          <w:u w:val="none"/>
        </w:rPr>
        <w:t>)</w:t>
      </w:r>
      <w:r w:rsidRPr="00D27D45">
        <w:rPr>
          <w:rStyle w:val="s1"/>
          <w:rFonts w:ascii="Arial" w:hAnsi="Arial" w:cs="Arial"/>
          <w:b w:val="0"/>
          <w:bCs w:val="0"/>
          <w:sz w:val="22"/>
          <w:szCs w:val="22"/>
        </w:rPr>
        <w:t xml:space="preserve"> illustrates how SDG 3 (UN, 2026) is addressed through targeted public health intervention. The programme identifies individuals at high risk and provides structured support focused on behaviour change, including diet, physical activity and weight management (NHS England, </w:t>
      </w:r>
      <w:r w:rsidRPr="00D27D45">
        <w:rPr>
          <w:rStyle w:val="s1"/>
          <w:rFonts w:ascii="Arial" w:hAnsi="Arial" w:cs="Arial"/>
          <w:b w:val="0"/>
          <w:bCs w:val="0"/>
          <w:sz w:val="22"/>
          <w:szCs w:val="22"/>
        </w:rPr>
        <w:lastRenderedPageBreak/>
        <w:t>2026). Evaluations have shown that participants experience measurable improvements in health behaviours and a reduced risk of developing diabetes, indicating a degree of policy effectiveness (Whelan &amp; Bell, 2022). However, low attendance at follow-up assessments raises concerns about the sustainability of these outcomes and the programme’s long-term impact (Whelan &amp; Bell, 2022).</w:t>
      </w:r>
    </w:p>
    <w:p w14:paraId="612E3B52" w14:textId="77777777" w:rsidR="003D6590" w:rsidRPr="00D27D45" w:rsidRDefault="003D6590" w:rsidP="00D27D45">
      <w:pPr>
        <w:pStyle w:val="p2"/>
        <w:spacing w:line="360" w:lineRule="auto"/>
        <w:rPr>
          <w:rFonts w:ascii="Arial" w:hAnsi="Arial" w:cs="Arial"/>
          <w:sz w:val="22"/>
          <w:szCs w:val="22"/>
        </w:rPr>
      </w:pPr>
    </w:p>
    <w:p w14:paraId="45A6AECD" w14:textId="77777777" w:rsidR="003D6590" w:rsidRPr="00D27D45" w:rsidRDefault="003D6590" w:rsidP="00D27D45">
      <w:pPr>
        <w:pStyle w:val="p2"/>
        <w:spacing w:line="360" w:lineRule="auto"/>
        <w:rPr>
          <w:rFonts w:ascii="Arial" w:hAnsi="Arial" w:cs="Arial"/>
          <w:sz w:val="22"/>
          <w:szCs w:val="22"/>
        </w:rPr>
      </w:pPr>
    </w:p>
    <w:p w14:paraId="268CCB89" w14:textId="66406C5A"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This reflects a multi-level approach consistent with the Socio-Ecological Model, as behaviour is influenced not only by individual choice but by access to structured support, healthcare systems and social environments</w:t>
      </w:r>
      <w:r w:rsidR="00ED1C57" w:rsidRPr="00D27D45">
        <w:rPr>
          <w:rStyle w:val="s1"/>
          <w:rFonts w:ascii="Arial" w:hAnsi="Arial" w:cs="Arial"/>
          <w:b w:val="0"/>
          <w:bCs w:val="0"/>
          <w:sz w:val="22"/>
          <w:szCs w:val="22"/>
        </w:rPr>
        <w:t xml:space="preserve"> </w:t>
      </w:r>
      <w:r w:rsidR="00EF1530" w:rsidRPr="00D27D45">
        <w:rPr>
          <w:rStyle w:val="s1"/>
          <w:rFonts w:ascii="Arial" w:hAnsi="Arial" w:cs="Arial"/>
          <w:b w:val="0"/>
          <w:bCs w:val="0"/>
          <w:sz w:val="22"/>
          <w:szCs w:val="22"/>
        </w:rPr>
        <w:t>(Ewald, Orsini &amp; Strack, 2024)</w:t>
      </w:r>
      <w:r w:rsidR="00ED1C57" w:rsidRPr="00D27D45">
        <w:rPr>
          <w:rStyle w:val="s1"/>
          <w:rFonts w:ascii="Arial" w:hAnsi="Arial" w:cs="Arial"/>
          <w:b w:val="0"/>
          <w:bCs w:val="0"/>
          <w:sz w:val="22"/>
          <w:szCs w:val="22"/>
        </w:rPr>
        <w:t>.</w:t>
      </w:r>
      <w:r w:rsidRPr="00D27D45">
        <w:rPr>
          <w:rStyle w:val="s1"/>
          <w:rFonts w:ascii="Arial" w:hAnsi="Arial" w:cs="Arial"/>
          <w:b w:val="0"/>
          <w:bCs w:val="0"/>
          <w:sz w:val="22"/>
          <w:szCs w:val="22"/>
        </w:rPr>
        <w:t xml:space="preserve"> The Health Belief Model helps explain engagement with the programme, particularly where individuals perceive a high personal risk of developing diabetes and recognise the benefits of </w:t>
      </w:r>
      <w:proofErr w:type="gramStart"/>
      <w:r w:rsidRPr="00D27D45">
        <w:rPr>
          <w:rStyle w:val="s1"/>
          <w:rFonts w:ascii="Arial" w:hAnsi="Arial" w:cs="Arial"/>
          <w:b w:val="0"/>
          <w:bCs w:val="0"/>
          <w:sz w:val="22"/>
          <w:szCs w:val="22"/>
        </w:rPr>
        <w:t>prevention</w:t>
      </w:r>
      <w:r w:rsidR="00FC642B" w:rsidRPr="00D27D45">
        <w:rPr>
          <w:rStyle w:val="s1"/>
          <w:rFonts w:ascii="Arial" w:hAnsi="Arial" w:cs="Arial"/>
          <w:b w:val="0"/>
          <w:bCs w:val="0"/>
          <w:sz w:val="22"/>
          <w:szCs w:val="22"/>
        </w:rPr>
        <w:t>(</w:t>
      </w:r>
      <w:proofErr w:type="spellStart"/>
      <w:proofErr w:type="gramEnd"/>
      <w:r w:rsidR="00FC642B" w:rsidRPr="00D27D45">
        <w:rPr>
          <w:rStyle w:val="s1"/>
          <w:rFonts w:ascii="Arial" w:hAnsi="Arial" w:cs="Arial"/>
          <w:b w:val="0"/>
          <w:bCs w:val="0"/>
          <w:sz w:val="22"/>
          <w:szCs w:val="22"/>
        </w:rPr>
        <w:t>Alyafei</w:t>
      </w:r>
      <w:proofErr w:type="spellEnd"/>
      <w:r w:rsidR="00FC642B" w:rsidRPr="00D27D45">
        <w:rPr>
          <w:rStyle w:val="s1"/>
          <w:rFonts w:ascii="Arial" w:hAnsi="Arial" w:cs="Arial"/>
          <w:b w:val="0"/>
          <w:bCs w:val="0"/>
          <w:sz w:val="22"/>
          <w:szCs w:val="22"/>
        </w:rPr>
        <w:t xml:space="preserve"> &amp; Carr, 2024)</w:t>
      </w:r>
      <w:r w:rsidRPr="00D27D45">
        <w:rPr>
          <w:rStyle w:val="s1"/>
          <w:rFonts w:ascii="Arial" w:hAnsi="Arial" w:cs="Arial"/>
          <w:b w:val="0"/>
          <w:bCs w:val="0"/>
          <w:sz w:val="22"/>
          <w:szCs w:val="22"/>
        </w:rPr>
        <w:t>. However, behaviour change remains uneven, as motivation, adherence and wider social circumstances continue to influence outcomes (Reeves et al., 2023).</w:t>
      </w:r>
    </w:p>
    <w:p w14:paraId="0269112D" w14:textId="77777777" w:rsidR="003D6590" w:rsidRPr="00D27D45" w:rsidRDefault="003D6590" w:rsidP="00D27D45">
      <w:pPr>
        <w:pStyle w:val="p2"/>
        <w:spacing w:line="360" w:lineRule="auto"/>
        <w:rPr>
          <w:rFonts w:ascii="Arial" w:hAnsi="Arial" w:cs="Arial"/>
          <w:sz w:val="22"/>
          <w:szCs w:val="22"/>
        </w:rPr>
      </w:pPr>
    </w:p>
    <w:p w14:paraId="13C4ACFD" w14:textId="4BA54CFA"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A key limitation is the unequal uptake of the programme across different population groups (Watkinson et al., 2024; Reeves et al., 2023) Participation is often lower among more deprived communities, despite higher levels of risk, reflecting barriers such as time constraints, health literacy and access to services (Watkinson et al., 2024). This suggests that while the programme contributes to reducing overall disease risk, it does not fully address the underlying social determinants of health. Consequently, progress towards SDG 3 remains constrained by persistent inequalities, reinforcing the link between SDG 3 and SDG 10</w:t>
      </w:r>
      <w:r w:rsidR="00A82C31" w:rsidRPr="00D27D45">
        <w:rPr>
          <w:rStyle w:val="s1"/>
          <w:rFonts w:ascii="Arial" w:hAnsi="Arial" w:cs="Arial"/>
          <w:b w:val="0"/>
          <w:bCs w:val="0"/>
          <w:sz w:val="22"/>
          <w:szCs w:val="22"/>
        </w:rPr>
        <w:t xml:space="preserve"> (UN, 2026).</w:t>
      </w:r>
    </w:p>
    <w:p w14:paraId="7B2D1DE1" w14:textId="77777777" w:rsidR="003D6590" w:rsidRPr="00D27D45" w:rsidRDefault="003D6590" w:rsidP="00D27D45">
      <w:pPr>
        <w:pStyle w:val="p2"/>
        <w:spacing w:line="360" w:lineRule="auto"/>
        <w:rPr>
          <w:rFonts w:ascii="Arial" w:hAnsi="Arial" w:cs="Arial"/>
          <w:sz w:val="22"/>
          <w:szCs w:val="22"/>
        </w:rPr>
      </w:pPr>
    </w:p>
    <w:p w14:paraId="0CE04BE2"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Local Initiative</w:t>
      </w:r>
      <w:r w:rsidRPr="00D27D45">
        <w:rPr>
          <w:rStyle w:val="apple-converted-space"/>
          <w:rFonts w:ascii="Arial" w:hAnsi="Arial" w:cs="Arial"/>
          <w:sz w:val="22"/>
          <w:szCs w:val="22"/>
        </w:rPr>
        <w:t> </w:t>
      </w:r>
    </w:p>
    <w:p w14:paraId="13CBDC6B" w14:textId="77777777" w:rsidR="003D6590" w:rsidRPr="00D27D45" w:rsidRDefault="003D6590" w:rsidP="00D27D45">
      <w:pPr>
        <w:pStyle w:val="p2"/>
        <w:spacing w:line="360" w:lineRule="auto"/>
        <w:rPr>
          <w:rFonts w:ascii="Arial" w:hAnsi="Arial" w:cs="Arial"/>
          <w:sz w:val="22"/>
          <w:szCs w:val="22"/>
        </w:rPr>
      </w:pPr>
    </w:p>
    <w:p w14:paraId="0ED3BB02"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At the local level, the Energise Me initiative demonstrates an alternative approach, focusing on increasing physical activity among individuals with long-term conditions (Local Government Association, 2026; Energise Me, 2026). By working with community providers, the programme aims to create more inclusive and accessible opportunities for participation, supported by local data, training and collaboration (Local Government Association, 2026; Energise Me, 2026). This reflects a shift towards preventative health, targeting groups at higher risk of poor health outcomes.</w:t>
      </w:r>
    </w:p>
    <w:p w14:paraId="6BB9EFCD" w14:textId="77777777" w:rsidR="003D6590" w:rsidRPr="00D27D45" w:rsidRDefault="003D6590" w:rsidP="00D27D45">
      <w:pPr>
        <w:pStyle w:val="p2"/>
        <w:spacing w:line="360" w:lineRule="auto"/>
        <w:rPr>
          <w:rFonts w:ascii="Arial" w:hAnsi="Arial" w:cs="Arial"/>
          <w:sz w:val="22"/>
          <w:szCs w:val="22"/>
        </w:rPr>
      </w:pPr>
    </w:p>
    <w:p w14:paraId="109CCED2" w14:textId="42BC8B4C" w:rsidR="00AD0E49"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Rather than focusing solely on individual behaviour, the initiative seeks to strengthen local systems and reduce barriers to participation (Energise Me, 2026; Local Government Association, 2026). This aligns with the Socio-Ecological Model, as interventions are </w:t>
      </w:r>
      <w:r w:rsidRPr="00D27D45">
        <w:rPr>
          <w:rStyle w:val="s1"/>
          <w:rFonts w:ascii="Arial" w:hAnsi="Arial" w:cs="Arial"/>
          <w:b w:val="0"/>
          <w:bCs w:val="0"/>
          <w:sz w:val="22"/>
          <w:szCs w:val="22"/>
        </w:rPr>
        <w:lastRenderedPageBreak/>
        <w:t>delivered through community networks and organisational support</w:t>
      </w:r>
      <w:r w:rsidR="006629D4" w:rsidRPr="00D27D45">
        <w:rPr>
          <w:rStyle w:val="s1"/>
          <w:rFonts w:ascii="Arial" w:hAnsi="Arial" w:cs="Arial"/>
          <w:b w:val="0"/>
          <w:bCs w:val="0"/>
          <w:sz w:val="22"/>
          <w:szCs w:val="22"/>
        </w:rPr>
        <w:t xml:space="preserve"> (Ewald, Orsini &amp; Strack, 2024)</w:t>
      </w:r>
      <w:r w:rsidRPr="00D27D45">
        <w:rPr>
          <w:rStyle w:val="s1"/>
          <w:rFonts w:ascii="Arial" w:hAnsi="Arial" w:cs="Arial"/>
          <w:b w:val="0"/>
          <w:bCs w:val="0"/>
          <w:sz w:val="22"/>
          <w:szCs w:val="22"/>
        </w:rPr>
        <w:t>. The Health Belief Model is reflected in efforts to increase confidence and reduce perceived barriers, which are commonly reported among individuals with long-term conditions (UK Government, 2025</w:t>
      </w:r>
      <w:r w:rsidR="00AD0E49" w:rsidRPr="00D27D45">
        <w:rPr>
          <w:rStyle w:val="s1"/>
          <w:rFonts w:ascii="Arial" w:hAnsi="Arial" w:cs="Arial"/>
          <w:b w:val="0"/>
          <w:bCs w:val="0"/>
          <w:sz w:val="22"/>
          <w:szCs w:val="22"/>
        </w:rPr>
        <w:t xml:space="preserve">; </w:t>
      </w:r>
      <w:proofErr w:type="spellStart"/>
      <w:r w:rsidR="00AD0E49" w:rsidRPr="00D27D45">
        <w:rPr>
          <w:rStyle w:val="s1"/>
          <w:rFonts w:ascii="Arial" w:hAnsi="Arial" w:cs="Arial"/>
          <w:b w:val="0"/>
          <w:bCs w:val="0"/>
          <w:sz w:val="22"/>
          <w:szCs w:val="22"/>
        </w:rPr>
        <w:t>Alyafei</w:t>
      </w:r>
      <w:proofErr w:type="spellEnd"/>
      <w:r w:rsidR="00AD0E49" w:rsidRPr="00D27D45">
        <w:rPr>
          <w:rStyle w:val="s1"/>
          <w:rFonts w:ascii="Arial" w:hAnsi="Arial" w:cs="Arial"/>
          <w:b w:val="0"/>
          <w:bCs w:val="0"/>
          <w:sz w:val="22"/>
          <w:szCs w:val="22"/>
        </w:rPr>
        <w:t xml:space="preserve"> &amp; Carr, 2024).</w:t>
      </w:r>
    </w:p>
    <w:p w14:paraId="57316E87" w14:textId="6AB715EB" w:rsidR="003D6590" w:rsidRPr="00D27D45" w:rsidRDefault="003D6590" w:rsidP="00D27D45">
      <w:pPr>
        <w:pStyle w:val="p1"/>
        <w:spacing w:line="360" w:lineRule="auto"/>
        <w:rPr>
          <w:rFonts w:ascii="Arial" w:hAnsi="Arial" w:cs="Arial"/>
          <w:sz w:val="22"/>
          <w:szCs w:val="22"/>
        </w:rPr>
      </w:pPr>
    </w:p>
    <w:p w14:paraId="1E6A0FD4" w14:textId="77777777" w:rsidR="003D6590" w:rsidRPr="00D27D45" w:rsidRDefault="003D6590" w:rsidP="00D27D45">
      <w:pPr>
        <w:pStyle w:val="p2"/>
        <w:spacing w:line="360" w:lineRule="auto"/>
        <w:rPr>
          <w:rFonts w:ascii="Arial" w:hAnsi="Arial" w:cs="Arial"/>
          <w:sz w:val="22"/>
          <w:szCs w:val="22"/>
        </w:rPr>
      </w:pPr>
    </w:p>
    <w:p w14:paraId="65EE093C"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Despite these strengths, the impact of the initiative is shaped by local capacity and resources. Evidence suggests that maintaining physical activity among people with long-term conditions requires ongoing feedback, monitoring, social support and accessible local opportunities, which are not always consistently available across community settings (Gavin et al., 2025). Variations in provider engagement, local partnership working and available support may therefore limit the consistency and long-term effectiveness of such interventions. In addition, broader structural factors, including deprivation, transport barriers and cost, continue to influence participation (Gavin et al., 2025). This suggests that while local interventions can improve access and initial engagement, they are unlikely to address wider inequalities in isolation.</w:t>
      </w:r>
    </w:p>
    <w:p w14:paraId="77E53F1A" w14:textId="77777777" w:rsidR="003D6590" w:rsidRPr="00D27D45" w:rsidRDefault="003D6590" w:rsidP="00D27D45">
      <w:pPr>
        <w:pStyle w:val="p2"/>
        <w:spacing w:line="360" w:lineRule="auto"/>
        <w:rPr>
          <w:rFonts w:ascii="Arial" w:hAnsi="Arial" w:cs="Arial"/>
          <w:sz w:val="22"/>
          <w:szCs w:val="22"/>
        </w:rPr>
      </w:pPr>
    </w:p>
    <w:p w14:paraId="30B2AF66"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Recommendations</w:t>
      </w:r>
      <w:r w:rsidRPr="00D27D45">
        <w:rPr>
          <w:rStyle w:val="apple-converted-space"/>
          <w:rFonts w:ascii="Arial" w:hAnsi="Arial" w:cs="Arial"/>
          <w:sz w:val="22"/>
          <w:szCs w:val="22"/>
        </w:rPr>
        <w:t> </w:t>
      </w:r>
    </w:p>
    <w:p w14:paraId="51FFA58F" w14:textId="77777777" w:rsidR="003D6590" w:rsidRPr="00D27D45" w:rsidRDefault="003D6590" w:rsidP="00D27D45">
      <w:pPr>
        <w:pStyle w:val="p2"/>
        <w:spacing w:line="360" w:lineRule="auto"/>
        <w:rPr>
          <w:rFonts w:ascii="Arial" w:hAnsi="Arial" w:cs="Arial"/>
          <w:sz w:val="22"/>
          <w:szCs w:val="22"/>
        </w:rPr>
      </w:pPr>
    </w:p>
    <w:p w14:paraId="577F400E"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Overall, these examples suggest that progress towards SDG 3 requires stronger alignment with SDG 10 if health gains are to be distributed more equitably. First, global immunisation initiatives such as Gavi should place greater emphasis on reducing structural barriers to vaccine access by strengthening health infrastructure, supporting local delivery systems and prioritising marginalised populations in underserved settings (Zimba et al., 2024; </w:t>
      </w:r>
      <w:proofErr w:type="spellStart"/>
      <w:r w:rsidRPr="00D27D45">
        <w:rPr>
          <w:rStyle w:val="s1"/>
          <w:rFonts w:ascii="Arial" w:hAnsi="Arial" w:cs="Arial"/>
          <w:b w:val="0"/>
          <w:bCs w:val="0"/>
          <w:sz w:val="22"/>
          <w:szCs w:val="22"/>
        </w:rPr>
        <w:t>Decouttere</w:t>
      </w:r>
      <w:proofErr w:type="spellEnd"/>
      <w:r w:rsidRPr="00D27D45">
        <w:rPr>
          <w:rStyle w:val="s1"/>
          <w:rFonts w:ascii="Arial" w:hAnsi="Arial" w:cs="Arial"/>
          <w:b w:val="0"/>
          <w:bCs w:val="0"/>
          <w:sz w:val="22"/>
          <w:szCs w:val="22"/>
        </w:rPr>
        <w:t>, De Boeck and Vandaele, 2021). Second, national prevention programmes such as the NHS Diabetes Prevention Programme should move beyond standardised behaviour-change models and adopt more flexible, targeted approaches for deprived and high-risk groups, including improved follow-up, accessible delivery formats and support that addresses health literacy and wider social barriers (Whelan and Bell, 2022; Watkinson et al., 2024). Third, local initiatives such as Energise Me should be supported through sustained funding, stronger cross-sector collaboration and longer-term monitoring to improve continuity of support for people with long-term conditions (Gavin et al., 2025; Local Government Association, 2026). Without these changes, interventions may continue to improve access and outcomes overall, while leaving underlying inequalities largely intact.</w:t>
      </w:r>
    </w:p>
    <w:p w14:paraId="47C94283" w14:textId="77777777" w:rsidR="003D6590" w:rsidRPr="00B53ACB" w:rsidRDefault="003D6590" w:rsidP="00D27D45">
      <w:pPr>
        <w:pStyle w:val="p2"/>
        <w:spacing w:line="360" w:lineRule="auto"/>
        <w:rPr>
          <w:rFonts w:ascii="Arial" w:hAnsi="Arial" w:cs="Arial"/>
          <w:b/>
          <w:bCs/>
          <w:sz w:val="22"/>
          <w:szCs w:val="22"/>
        </w:rPr>
      </w:pPr>
    </w:p>
    <w:p w14:paraId="0F0964DF" w14:textId="77777777" w:rsidR="003D6590" w:rsidRPr="00B53ACB" w:rsidRDefault="003D6590" w:rsidP="00D27D45">
      <w:pPr>
        <w:pStyle w:val="p1"/>
        <w:spacing w:line="360" w:lineRule="auto"/>
        <w:rPr>
          <w:rFonts w:ascii="Arial" w:hAnsi="Arial" w:cs="Arial"/>
          <w:b/>
          <w:bCs/>
          <w:sz w:val="22"/>
          <w:szCs w:val="22"/>
        </w:rPr>
      </w:pPr>
      <w:r w:rsidRPr="00B53ACB">
        <w:rPr>
          <w:rStyle w:val="apple-converted-space"/>
          <w:rFonts w:ascii="Arial" w:hAnsi="Arial" w:cs="Arial"/>
          <w:b/>
          <w:bCs/>
          <w:sz w:val="22"/>
          <w:szCs w:val="22"/>
        </w:rPr>
        <w:t> </w:t>
      </w:r>
      <w:r w:rsidRPr="00B53ACB">
        <w:rPr>
          <w:rStyle w:val="s1"/>
          <w:rFonts w:ascii="Arial" w:hAnsi="Arial" w:cs="Arial"/>
          <w:b w:val="0"/>
          <w:bCs w:val="0"/>
          <w:sz w:val="22"/>
          <w:szCs w:val="22"/>
        </w:rPr>
        <w:t>Section 2: SDG 10 – Reduced Inequalities</w:t>
      </w:r>
    </w:p>
    <w:p w14:paraId="766F8B36" w14:textId="77777777" w:rsidR="003D6590" w:rsidRPr="00D27D45" w:rsidRDefault="003D6590" w:rsidP="00D27D45">
      <w:pPr>
        <w:pStyle w:val="p2"/>
        <w:spacing w:line="360" w:lineRule="auto"/>
        <w:rPr>
          <w:rFonts w:ascii="Arial" w:hAnsi="Arial" w:cs="Arial"/>
          <w:sz w:val="22"/>
          <w:szCs w:val="22"/>
        </w:rPr>
      </w:pPr>
    </w:p>
    <w:p w14:paraId="303C8C68" w14:textId="1974A2F9"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lastRenderedPageBreak/>
        <w:t xml:space="preserve">SDG 10 aims to reduce inequalities within and between countries, recognising that unequal access to resources, services and opportunities remains a significant barrier to sustainable development (UN, 2026). While often framed in economic terms, inequality is closely linked to health and wellbeing, as social and structural disadvantage shapes both exposure to health risks and access to care (Abdi et al., </w:t>
      </w:r>
      <w:proofErr w:type="spellStart"/>
      <w:r w:rsidRPr="00D27D45">
        <w:rPr>
          <w:rStyle w:val="s1"/>
          <w:rFonts w:ascii="Arial" w:hAnsi="Arial" w:cs="Arial"/>
          <w:b w:val="0"/>
          <w:bCs w:val="0"/>
          <w:sz w:val="22"/>
          <w:szCs w:val="22"/>
        </w:rPr>
        <w:t>Lakioti</w:t>
      </w:r>
      <w:proofErr w:type="spellEnd"/>
      <w:r w:rsidRPr="00D27D45">
        <w:rPr>
          <w:rStyle w:val="s1"/>
          <w:rFonts w:ascii="Arial" w:hAnsi="Arial" w:cs="Arial"/>
          <w:b w:val="0"/>
          <w:bCs w:val="0"/>
          <w:sz w:val="22"/>
          <w:szCs w:val="22"/>
        </w:rPr>
        <w:t xml:space="preserve"> et al., 2025). As a result, progress towards SDG 10 is fundamental to achieving SDG 3, as persistent inequalities continue to drive disparities in health outcomes across populations (Abdi et al., 2025; </w:t>
      </w:r>
      <w:proofErr w:type="spellStart"/>
      <w:r w:rsidRPr="00D27D45">
        <w:rPr>
          <w:rStyle w:val="s1"/>
          <w:rFonts w:ascii="Arial" w:hAnsi="Arial" w:cs="Arial"/>
          <w:b w:val="0"/>
          <w:bCs w:val="0"/>
          <w:sz w:val="22"/>
          <w:szCs w:val="22"/>
        </w:rPr>
        <w:t>Lakioti</w:t>
      </w:r>
      <w:proofErr w:type="spellEnd"/>
      <w:r w:rsidRPr="00D27D45">
        <w:rPr>
          <w:rStyle w:val="s1"/>
          <w:rFonts w:ascii="Arial" w:hAnsi="Arial" w:cs="Arial"/>
          <w:b w:val="0"/>
          <w:bCs w:val="0"/>
          <w:sz w:val="22"/>
          <w:szCs w:val="22"/>
        </w:rPr>
        <w:t xml:space="preserve"> et al., 2025</w:t>
      </w:r>
      <w:r w:rsidR="00B53ACB">
        <w:rPr>
          <w:rStyle w:val="s1"/>
          <w:rFonts w:ascii="Arial" w:hAnsi="Arial" w:cs="Arial"/>
          <w:b w:val="0"/>
          <w:bCs w:val="0"/>
          <w:sz w:val="22"/>
          <w:szCs w:val="22"/>
        </w:rPr>
        <w:t xml:space="preserve">; </w:t>
      </w:r>
      <w:r w:rsidR="00B53ACB" w:rsidRPr="00D27D45">
        <w:rPr>
          <w:rStyle w:val="s1"/>
          <w:rFonts w:ascii="Arial" w:hAnsi="Arial" w:cs="Arial"/>
          <w:b w:val="0"/>
          <w:bCs w:val="0"/>
          <w:sz w:val="22"/>
          <w:szCs w:val="22"/>
        </w:rPr>
        <w:t>UN, 2026</w:t>
      </w:r>
      <w:r w:rsidRPr="00D27D45">
        <w:rPr>
          <w:rStyle w:val="s1"/>
          <w:rFonts w:ascii="Arial" w:hAnsi="Arial" w:cs="Arial"/>
          <w:b w:val="0"/>
          <w:bCs w:val="0"/>
          <w:sz w:val="22"/>
          <w:szCs w:val="22"/>
        </w:rPr>
        <w:t>).</w:t>
      </w:r>
    </w:p>
    <w:p w14:paraId="1DE339F1" w14:textId="77777777" w:rsidR="003D6590" w:rsidRPr="00D27D45" w:rsidRDefault="003D6590" w:rsidP="00D27D45">
      <w:pPr>
        <w:pStyle w:val="p2"/>
        <w:spacing w:line="360" w:lineRule="auto"/>
        <w:rPr>
          <w:rFonts w:ascii="Arial" w:hAnsi="Arial" w:cs="Arial"/>
          <w:sz w:val="22"/>
          <w:szCs w:val="22"/>
        </w:rPr>
      </w:pPr>
    </w:p>
    <w:p w14:paraId="313282F5"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Global Initiative</w:t>
      </w:r>
      <w:r w:rsidRPr="00D27D45">
        <w:rPr>
          <w:rStyle w:val="apple-converted-space"/>
          <w:rFonts w:ascii="Arial" w:hAnsi="Arial" w:cs="Arial"/>
          <w:sz w:val="22"/>
          <w:szCs w:val="22"/>
        </w:rPr>
        <w:t> </w:t>
      </w:r>
    </w:p>
    <w:p w14:paraId="79D6B184" w14:textId="77777777" w:rsidR="003D6590" w:rsidRPr="00D27D45" w:rsidRDefault="003D6590" w:rsidP="00D27D45">
      <w:pPr>
        <w:pStyle w:val="p2"/>
        <w:spacing w:line="360" w:lineRule="auto"/>
        <w:rPr>
          <w:rFonts w:ascii="Arial" w:hAnsi="Arial" w:cs="Arial"/>
          <w:sz w:val="22"/>
          <w:szCs w:val="22"/>
        </w:rPr>
      </w:pPr>
    </w:p>
    <w:p w14:paraId="3C64FDDA" w14:textId="3AAF68A9"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At the global level, the World Health Organization’s Universal Health Coverage (UHC) agenda represents a key initiative to reduce inequalities in access to healthcare (WHO, 2026). UHC aims to ensure that all individuals can access essential health services without financial hardship, addressing disparities in both availability and affordability (WHO, 2026). From a Socio-Ecological Model perspective, UHC operates primarily at the structural level by strengthening health systems and removing financial barriers (WHO, 2026). However, the Health Belief Model highlights that access alone does not ensure utilisation, as individual perceptions such as trust, perceived need and cultural acceptability influence engagement with services</w:t>
      </w:r>
      <w:r w:rsidR="00FD30E2" w:rsidRPr="00D27D45">
        <w:rPr>
          <w:rStyle w:val="s1"/>
          <w:rFonts w:ascii="Arial" w:hAnsi="Arial" w:cs="Arial"/>
          <w:b w:val="0"/>
          <w:bCs w:val="0"/>
          <w:sz w:val="22"/>
          <w:szCs w:val="22"/>
        </w:rPr>
        <w:t xml:space="preserve"> (</w:t>
      </w:r>
      <w:proofErr w:type="spellStart"/>
      <w:r w:rsidR="00FD30E2" w:rsidRPr="00D27D45">
        <w:rPr>
          <w:rStyle w:val="s1"/>
          <w:rFonts w:ascii="Arial" w:hAnsi="Arial" w:cs="Arial"/>
          <w:b w:val="0"/>
          <w:bCs w:val="0"/>
          <w:sz w:val="22"/>
          <w:szCs w:val="22"/>
        </w:rPr>
        <w:t>Alyafei</w:t>
      </w:r>
      <w:proofErr w:type="spellEnd"/>
      <w:r w:rsidR="00FD30E2" w:rsidRPr="00D27D45">
        <w:rPr>
          <w:rStyle w:val="s1"/>
          <w:rFonts w:ascii="Arial" w:hAnsi="Arial" w:cs="Arial"/>
          <w:b w:val="0"/>
          <w:bCs w:val="0"/>
          <w:sz w:val="22"/>
          <w:szCs w:val="22"/>
        </w:rPr>
        <w:t xml:space="preserve"> &amp; Carr, 2024)</w:t>
      </w:r>
      <w:r w:rsidR="00FD30E2" w:rsidRPr="00D27D45">
        <w:rPr>
          <w:rFonts w:ascii="Arial" w:hAnsi="Arial" w:cs="Arial"/>
          <w:sz w:val="22"/>
          <w:szCs w:val="22"/>
        </w:rPr>
        <w:t>.</w:t>
      </w:r>
    </w:p>
    <w:p w14:paraId="096B796D" w14:textId="77777777" w:rsidR="003D6590" w:rsidRPr="00D27D45" w:rsidRDefault="003D6590" w:rsidP="00D27D45">
      <w:pPr>
        <w:pStyle w:val="p2"/>
        <w:spacing w:line="360" w:lineRule="auto"/>
        <w:rPr>
          <w:rFonts w:ascii="Arial" w:hAnsi="Arial" w:cs="Arial"/>
          <w:sz w:val="22"/>
          <w:szCs w:val="22"/>
        </w:rPr>
      </w:pPr>
    </w:p>
    <w:p w14:paraId="7B1E0D48" w14:textId="0E11C779"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Despite its global ambition, progress remains uneven. Many low- and middle-income countries continue to face </w:t>
      </w:r>
      <w:proofErr w:type="gramStart"/>
      <w:r w:rsidRPr="00D27D45">
        <w:rPr>
          <w:rStyle w:val="s1"/>
          <w:rFonts w:ascii="Arial" w:hAnsi="Arial" w:cs="Arial"/>
          <w:b w:val="0"/>
          <w:bCs w:val="0"/>
          <w:sz w:val="22"/>
          <w:szCs w:val="22"/>
        </w:rPr>
        <w:t>limited service</w:t>
      </w:r>
      <w:proofErr w:type="gramEnd"/>
      <w:r w:rsidRPr="00D27D45">
        <w:rPr>
          <w:rStyle w:val="s1"/>
          <w:rFonts w:ascii="Arial" w:hAnsi="Arial" w:cs="Arial"/>
          <w:b w:val="0"/>
          <w:bCs w:val="0"/>
          <w:sz w:val="22"/>
          <w:szCs w:val="22"/>
        </w:rPr>
        <w:t xml:space="preserve"> coverage and insufficient financial protection, reflecting broader economic inequalities (</w:t>
      </w:r>
      <w:proofErr w:type="spellStart"/>
      <w:r w:rsidRPr="00D27D45">
        <w:rPr>
          <w:rStyle w:val="s1"/>
          <w:rFonts w:ascii="Arial" w:hAnsi="Arial" w:cs="Arial"/>
          <w:b w:val="0"/>
          <w:bCs w:val="0"/>
          <w:sz w:val="22"/>
          <w:szCs w:val="22"/>
        </w:rPr>
        <w:t>Endalamaw</w:t>
      </w:r>
      <w:proofErr w:type="spellEnd"/>
      <w:r w:rsidRPr="00D27D45">
        <w:rPr>
          <w:rStyle w:val="s1"/>
          <w:rFonts w:ascii="Arial" w:hAnsi="Arial" w:cs="Arial"/>
          <w:b w:val="0"/>
          <w:bCs w:val="0"/>
          <w:sz w:val="22"/>
          <w:szCs w:val="22"/>
        </w:rPr>
        <w:t xml:space="preserve"> et al., 2025; Kumah, 2025). In addition, variations in service quality and accessibility persist, meaning that disadvantaged populations often experience poorer outcomes even where services are available (Porras &amp; </w:t>
      </w:r>
      <w:proofErr w:type="spellStart"/>
      <w:r w:rsidRPr="00D27D45">
        <w:rPr>
          <w:rStyle w:val="s1"/>
          <w:rFonts w:ascii="Arial" w:hAnsi="Arial" w:cs="Arial"/>
          <w:b w:val="0"/>
          <w:bCs w:val="0"/>
          <w:sz w:val="22"/>
          <w:szCs w:val="22"/>
        </w:rPr>
        <w:t>Penniecook</w:t>
      </w:r>
      <w:proofErr w:type="spellEnd"/>
      <w:r w:rsidRPr="00D27D45">
        <w:rPr>
          <w:rStyle w:val="s1"/>
          <w:rFonts w:ascii="Arial" w:hAnsi="Arial" w:cs="Arial"/>
          <w:b w:val="0"/>
          <w:bCs w:val="0"/>
          <w:sz w:val="22"/>
          <w:szCs w:val="22"/>
        </w:rPr>
        <w:t>, 2023; Kumah, 2025; Greaux et al., 2023). This suggests that while UHC addresses access, it does not fully resolve the wider structural inequalities that underpin health disparities, limiting its overall contribution to SDG 10 and SDG 3</w:t>
      </w:r>
      <w:r w:rsidR="00B53ACB" w:rsidRPr="00D27D45">
        <w:rPr>
          <w:rStyle w:val="s1"/>
          <w:rFonts w:ascii="Arial" w:hAnsi="Arial" w:cs="Arial"/>
          <w:b w:val="0"/>
          <w:bCs w:val="0"/>
          <w:sz w:val="22"/>
          <w:szCs w:val="22"/>
        </w:rPr>
        <w:t>(UN, 2026)</w:t>
      </w:r>
      <w:r w:rsidR="00B53ACB">
        <w:rPr>
          <w:rStyle w:val="s1"/>
          <w:rFonts w:ascii="Arial" w:hAnsi="Arial" w:cs="Arial"/>
          <w:b w:val="0"/>
          <w:bCs w:val="0"/>
          <w:sz w:val="22"/>
          <w:szCs w:val="22"/>
        </w:rPr>
        <w:t>.</w:t>
      </w:r>
    </w:p>
    <w:p w14:paraId="4AF07652" w14:textId="77777777" w:rsidR="003D6590" w:rsidRPr="00D27D45" w:rsidRDefault="003D6590" w:rsidP="00D27D45">
      <w:pPr>
        <w:pStyle w:val="p2"/>
        <w:spacing w:line="360" w:lineRule="auto"/>
        <w:rPr>
          <w:rFonts w:ascii="Arial" w:hAnsi="Arial" w:cs="Arial"/>
          <w:sz w:val="22"/>
          <w:szCs w:val="22"/>
        </w:rPr>
      </w:pPr>
    </w:p>
    <w:p w14:paraId="05F808AD"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National Initiative</w:t>
      </w:r>
    </w:p>
    <w:p w14:paraId="17718302" w14:textId="77777777" w:rsidR="003D6590" w:rsidRPr="00D27D45" w:rsidRDefault="003D6590" w:rsidP="00D27D45">
      <w:pPr>
        <w:pStyle w:val="p2"/>
        <w:spacing w:line="360" w:lineRule="auto"/>
        <w:rPr>
          <w:rFonts w:ascii="Arial" w:hAnsi="Arial" w:cs="Arial"/>
          <w:sz w:val="22"/>
          <w:szCs w:val="22"/>
        </w:rPr>
      </w:pPr>
    </w:p>
    <w:p w14:paraId="78BB9301"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At the national level, the NHS Core20PLUS5 framework provides a targeted approach to reducing health inequalities in England (NHS England, 2026b). The policy identifies the most deprived 20% of the population (‘Core20’), alongside locally defined vulnerable groups (‘PLUS’), and prioritises five key clinical areas requiring improvement, including early cancer </w:t>
      </w:r>
      <w:r w:rsidRPr="00D27D45">
        <w:rPr>
          <w:rStyle w:val="s1"/>
          <w:rFonts w:ascii="Arial" w:hAnsi="Arial" w:cs="Arial"/>
          <w:b w:val="0"/>
          <w:bCs w:val="0"/>
          <w:sz w:val="22"/>
          <w:szCs w:val="22"/>
        </w:rPr>
        <w:lastRenderedPageBreak/>
        <w:t>diagnosis and severe mental illness (NHS England, 2026b). This structured approach reflects an attempt to systematically reduce inequalities in both access and health outcomes.</w:t>
      </w:r>
    </w:p>
    <w:p w14:paraId="4F037ECE" w14:textId="77777777" w:rsidR="003D6590" w:rsidRPr="00D27D45" w:rsidRDefault="003D6590" w:rsidP="00D27D45">
      <w:pPr>
        <w:pStyle w:val="p2"/>
        <w:spacing w:line="360" w:lineRule="auto"/>
        <w:rPr>
          <w:rFonts w:ascii="Arial" w:hAnsi="Arial" w:cs="Arial"/>
          <w:sz w:val="22"/>
          <w:szCs w:val="22"/>
        </w:rPr>
      </w:pPr>
    </w:p>
    <w:p w14:paraId="47ACF5DC" w14:textId="50046851" w:rsidR="001E06D1"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From a Socio-Ecological Model perspective, Core20PLUS5 operates across multiple levels, combining national policy direction with local implementation through Integrated Care Systems (Hopson et al., 2024). It aims to address structural inequalities by targeting resources towards populations with the greatest need (NHS England, 2026b). At the same time, the Health Belief Model is relevant in explaining variation in engagement with healthcare services, as factors such as awareness, perceived risk and trust influence uptake of interventions such as immunisation programme (Taflinger &amp; Sattler, 2024</w:t>
      </w:r>
      <w:r w:rsidR="001E06D1" w:rsidRPr="00D27D45">
        <w:rPr>
          <w:rStyle w:val="s1"/>
          <w:rFonts w:ascii="Arial" w:hAnsi="Arial" w:cs="Arial"/>
          <w:b w:val="0"/>
          <w:bCs w:val="0"/>
          <w:sz w:val="22"/>
          <w:szCs w:val="22"/>
        </w:rPr>
        <w:t xml:space="preserve">; </w:t>
      </w:r>
      <w:proofErr w:type="spellStart"/>
      <w:r w:rsidR="001E06D1" w:rsidRPr="00D27D45">
        <w:rPr>
          <w:rStyle w:val="s1"/>
          <w:rFonts w:ascii="Arial" w:hAnsi="Arial" w:cs="Arial"/>
          <w:b w:val="0"/>
          <w:bCs w:val="0"/>
          <w:sz w:val="22"/>
          <w:szCs w:val="22"/>
        </w:rPr>
        <w:t>Alyafei</w:t>
      </w:r>
      <w:proofErr w:type="spellEnd"/>
      <w:r w:rsidR="001E06D1" w:rsidRPr="00D27D45">
        <w:rPr>
          <w:rStyle w:val="s1"/>
          <w:rFonts w:ascii="Arial" w:hAnsi="Arial" w:cs="Arial"/>
          <w:b w:val="0"/>
          <w:bCs w:val="0"/>
          <w:sz w:val="22"/>
          <w:szCs w:val="22"/>
        </w:rPr>
        <w:t xml:space="preserve"> &amp; Carr, 2024).</w:t>
      </w:r>
    </w:p>
    <w:p w14:paraId="17224443" w14:textId="5160DFDF" w:rsidR="003D6590" w:rsidRPr="00D27D45" w:rsidRDefault="003D6590" w:rsidP="00D27D45">
      <w:pPr>
        <w:pStyle w:val="p1"/>
        <w:spacing w:line="360" w:lineRule="auto"/>
        <w:rPr>
          <w:rFonts w:ascii="Arial" w:hAnsi="Arial" w:cs="Arial"/>
          <w:sz w:val="22"/>
          <w:szCs w:val="22"/>
        </w:rPr>
      </w:pPr>
    </w:p>
    <w:p w14:paraId="18A18F7D" w14:textId="2F13E562"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However, the effectiveness of Core20PLUS5 remains constrained by several limitations. While the framework improves targeting of high-risk groups, it focuses primarily on healthcare delivery rather than addressing broader social determinants such as housing, employment and education (NHS England, 2026b; Ewald, Orsini &amp; Strack, 2024) Evidence indicates that individuals in deprived areas continue to experience significantly worse health outcomes, reflecting the influence of wider structural inequalities beyond healthcare provision (UK Government, 2025b). Furthermore, implementation is dependent on local capacity and resources, leading to variability across regions (Elliot et al., 2025). This suggests that while Core20PLUS5 aligns strongly with SDG 10, it represents a partial approach that may reduce inequalities in access to services but is less effective in addressing their underlying causes</w:t>
      </w:r>
      <w:r w:rsidR="00B53ACB">
        <w:rPr>
          <w:rStyle w:val="s1"/>
          <w:rFonts w:ascii="Arial" w:hAnsi="Arial" w:cs="Arial"/>
          <w:b w:val="0"/>
          <w:bCs w:val="0"/>
          <w:sz w:val="22"/>
          <w:szCs w:val="22"/>
        </w:rPr>
        <w:t xml:space="preserve"> </w:t>
      </w:r>
      <w:r w:rsidR="00B53ACB" w:rsidRPr="00D27D45">
        <w:rPr>
          <w:rStyle w:val="s1"/>
          <w:rFonts w:ascii="Arial" w:hAnsi="Arial" w:cs="Arial"/>
          <w:b w:val="0"/>
          <w:bCs w:val="0"/>
          <w:sz w:val="22"/>
          <w:szCs w:val="22"/>
        </w:rPr>
        <w:t>(UN, 2026)</w:t>
      </w:r>
      <w:r w:rsidRPr="00D27D45">
        <w:rPr>
          <w:rStyle w:val="s1"/>
          <w:rFonts w:ascii="Arial" w:hAnsi="Arial" w:cs="Arial"/>
          <w:b w:val="0"/>
          <w:bCs w:val="0"/>
          <w:sz w:val="22"/>
          <w:szCs w:val="22"/>
        </w:rPr>
        <w:t>.</w:t>
      </w:r>
    </w:p>
    <w:p w14:paraId="090A7D63" w14:textId="77777777" w:rsidR="003D6590" w:rsidRPr="00D27D45" w:rsidRDefault="003D6590" w:rsidP="00D27D45">
      <w:pPr>
        <w:pStyle w:val="p2"/>
        <w:spacing w:line="360" w:lineRule="auto"/>
        <w:rPr>
          <w:rFonts w:ascii="Arial" w:hAnsi="Arial" w:cs="Arial"/>
          <w:sz w:val="22"/>
          <w:szCs w:val="22"/>
        </w:rPr>
      </w:pPr>
    </w:p>
    <w:p w14:paraId="727903AC"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Local Initiative</w:t>
      </w:r>
      <w:r w:rsidRPr="00D27D45">
        <w:rPr>
          <w:rStyle w:val="apple-converted-space"/>
          <w:rFonts w:ascii="Arial" w:hAnsi="Arial" w:cs="Arial"/>
          <w:sz w:val="22"/>
          <w:szCs w:val="22"/>
        </w:rPr>
        <w:t> </w:t>
      </w:r>
    </w:p>
    <w:p w14:paraId="278ECCFB" w14:textId="77777777" w:rsidR="003D6590" w:rsidRPr="00D27D45" w:rsidRDefault="003D6590" w:rsidP="00D27D45">
      <w:pPr>
        <w:pStyle w:val="p2"/>
        <w:spacing w:line="360" w:lineRule="auto"/>
        <w:rPr>
          <w:rFonts w:ascii="Arial" w:hAnsi="Arial" w:cs="Arial"/>
          <w:sz w:val="22"/>
          <w:szCs w:val="22"/>
        </w:rPr>
      </w:pPr>
    </w:p>
    <w:p w14:paraId="2C5A7773"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At the local level, the Dudley and Netherton Primary Care Network (PCN) breast cancer screening initiative demonstrates how targeted interventions can reduce inequalities in healthcare access (Local Government Association, 2025). The programme addressed low screening uptake in a deprived area by relocating a mobile screening unit to a more accessible central location and developing a community-led awareness campaign (Local Government Association, 2025). This resulted in increased screening uptake, with 74% of participants using the new location and many citing improved convenience and accessibility (Local Government Association, 2025).</w:t>
      </w:r>
    </w:p>
    <w:p w14:paraId="25A54E72" w14:textId="77777777" w:rsidR="003D6590" w:rsidRPr="00D27D45" w:rsidRDefault="003D6590" w:rsidP="00D27D45">
      <w:pPr>
        <w:pStyle w:val="p2"/>
        <w:spacing w:line="360" w:lineRule="auto"/>
        <w:rPr>
          <w:rFonts w:ascii="Arial" w:hAnsi="Arial" w:cs="Arial"/>
          <w:sz w:val="22"/>
          <w:szCs w:val="22"/>
        </w:rPr>
      </w:pPr>
    </w:p>
    <w:p w14:paraId="51BF32D2" w14:textId="060EB768"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This intervention reflects multiple levels of the Socio-Ecological Model, combining environmental changes (improved service location) with community engagement strategies. </w:t>
      </w:r>
      <w:r w:rsidRPr="00D27D45">
        <w:rPr>
          <w:rStyle w:val="s1"/>
          <w:rFonts w:ascii="Arial" w:hAnsi="Arial" w:cs="Arial"/>
          <w:b w:val="0"/>
          <w:bCs w:val="0"/>
          <w:sz w:val="22"/>
          <w:szCs w:val="22"/>
        </w:rPr>
        <w:lastRenderedPageBreak/>
        <w:t>The Health Belief Model is also evident, as the initiative sought to reduce perceived barriers such as accessibility and improve perceived benefits through targeted communication</w:t>
      </w:r>
      <w:r w:rsidR="00157A99" w:rsidRPr="00D27D45">
        <w:rPr>
          <w:rStyle w:val="s1"/>
          <w:rFonts w:ascii="Arial" w:hAnsi="Arial" w:cs="Arial"/>
          <w:b w:val="0"/>
          <w:bCs w:val="0"/>
          <w:sz w:val="22"/>
          <w:szCs w:val="22"/>
        </w:rPr>
        <w:t xml:space="preserve"> (</w:t>
      </w:r>
      <w:proofErr w:type="spellStart"/>
      <w:r w:rsidR="00157A99" w:rsidRPr="00D27D45">
        <w:rPr>
          <w:rStyle w:val="s1"/>
          <w:rFonts w:ascii="Arial" w:hAnsi="Arial" w:cs="Arial"/>
          <w:b w:val="0"/>
          <w:bCs w:val="0"/>
          <w:sz w:val="22"/>
          <w:szCs w:val="22"/>
        </w:rPr>
        <w:t>Alyafei</w:t>
      </w:r>
      <w:proofErr w:type="spellEnd"/>
      <w:r w:rsidR="00157A99" w:rsidRPr="00D27D45">
        <w:rPr>
          <w:rStyle w:val="s1"/>
          <w:rFonts w:ascii="Arial" w:hAnsi="Arial" w:cs="Arial"/>
          <w:b w:val="0"/>
          <w:bCs w:val="0"/>
          <w:sz w:val="22"/>
          <w:szCs w:val="22"/>
        </w:rPr>
        <w:t xml:space="preserve"> &amp; Carr, 2024). </w:t>
      </w:r>
      <w:r w:rsidRPr="00D27D45">
        <w:rPr>
          <w:rStyle w:val="s1"/>
          <w:rFonts w:ascii="Arial" w:hAnsi="Arial" w:cs="Arial"/>
          <w:b w:val="0"/>
          <w:bCs w:val="0"/>
          <w:sz w:val="22"/>
          <w:szCs w:val="22"/>
        </w:rPr>
        <w:t>Notably, co-production with local women enhanced relevance and acceptability, demonstrating the importance of community involvement in addressing inequalities (Local Government Association, 2025).</w:t>
      </w:r>
    </w:p>
    <w:p w14:paraId="2F0D801A" w14:textId="77777777" w:rsidR="003D6590" w:rsidRPr="00D27D45" w:rsidRDefault="003D6590" w:rsidP="00D27D45">
      <w:pPr>
        <w:pStyle w:val="p2"/>
        <w:spacing w:line="360" w:lineRule="auto"/>
        <w:rPr>
          <w:rFonts w:ascii="Arial" w:hAnsi="Arial" w:cs="Arial"/>
          <w:sz w:val="22"/>
          <w:szCs w:val="22"/>
        </w:rPr>
      </w:pPr>
    </w:p>
    <w:p w14:paraId="33F828CF"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 xml:space="preserve">However, limitations remain. While the intervention successfully increased screening uptake, it addresses a specific service rather than the broader determinants of inequality (Local Government Association, 2025; Scott </w:t>
      </w:r>
      <w:proofErr w:type="gramStart"/>
      <w:r w:rsidRPr="00D27D45">
        <w:rPr>
          <w:rStyle w:val="s1"/>
          <w:rFonts w:ascii="Arial" w:hAnsi="Arial" w:cs="Arial"/>
          <w:b w:val="0"/>
          <w:bCs w:val="0"/>
          <w:sz w:val="22"/>
          <w:szCs w:val="22"/>
        </w:rPr>
        <w:t>&amp;</w:t>
      </w:r>
      <w:r w:rsidRPr="00D27D45">
        <w:rPr>
          <w:rStyle w:val="apple-converted-space"/>
          <w:rFonts w:ascii="Arial" w:hAnsi="Arial" w:cs="Arial"/>
          <w:sz w:val="22"/>
          <w:szCs w:val="22"/>
        </w:rPr>
        <w:t xml:space="preserve">  </w:t>
      </w:r>
      <w:r w:rsidRPr="00D27D45">
        <w:rPr>
          <w:rStyle w:val="s1"/>
          <w:rFonts w:ascii="Arial" w:hAnsi="Arial" w:cs="Arial"/>
          <w:b w:val="0"/>
          <w:bCs w:val="0"/>
          <w:sz w:val="22"/>
          <w:szCs w:val="22"/>
        </w:rPr>
        <w:t>Hoskin</w:t>
      </w:r>
      <w:proofErr w:type="gramEnd"/>
      <w:r w:rsidRPr="00D27D45">
        <w:rPr>
          <w:rStyle w:val="s1"/>
          <w:rFonts w:ascii="Arial" w:hAnsi="Arial" w:cs="Arial"/>
          <w:b w:val="0"/>
          <w:bCs w:val="0"/>
          <w:sz w:val="22"/>
          <w:szCs w:val="22"/>
        </w:rPr>
        <w:t>, 2024). Factors such as socioeconomic deprivation, health literacy and access to wider services continue to influence health outcomes (Scott &amp; Hoskin, 2024; Slade et al., 2024). In addition, the success of the initiative is context-specific and may not be easily replicated in areas with different population needs or resource constraints (Slade et al., 2024; Scott &amp; Hoskin, 2024). This highlights the challenge of scaling local interventions to achieve sustained reductions in inequality.</w:t>
      </w:r>
    </w:p>
    <w:p w14:paraId="52424BFD" w14:textId="77777777" w:rsidR="003D6590" w:rsidRPr="00D27D45" w:rsidRDefault="003D6590" w:rsidP="00D27D45">
      <w:pPr>
        <w:pStyle w:val="p2"/>
        <w:spacing w:line="360" w:lineRule="auto"/>
        <w:rPr>
          <w:rFonts w:ascii="Arial" w:hAnsi="Arial" w:cs="Arial"/>
          <w:sz w:val="22"/>
          <w:szCs w:val="22"/>
        </w:rPr>
      </w:pPr>
    </w:p>
    <w:p w14:paraId="546A0AFE" w14:textId="77777777" w:rsidR="003D6590" w:rsidRPr="00D27D45" w:rsidRDefault="003D6590" w:rsidP="00D27D45">
      <w:pPr>
        <w:pStyle w:val="p1"/>
        <w:spacing w:line="360" w:lineRule="auto"/>
        <w:rPr>
          <w:rFonts w:ascii="Arial" w:hAnsi="Arial" w:cs="Arial"/>
          <w:sz w:val="22"/>
          <w:szCs w:val="22"/>
        </w:rPr>
      </w:pPr>
      <w:r w:rsidRPr="00D27D45">
        <w:rPr>
          <w:rStyle w:val="s1"/>
          <w:rFonts w:ascii="Arial" w:hAnsi="Arial" w:cs="Arial"/>
          <w:b w:val="0"/>
          <w:bCs w:val="0"/>
          <w:sz w:val="22"/>
          <w:szCs w:val="22"/>
        </w:rPr>
        <w:t>Recommendations</w:t>
      </w:r>
    </w:p>
    <w:p w14:paraId="03348333" w14:textId="77777777" w:rsidR="003D6590" w:rsidRPr="00D27D45" w:rsidRDefault="003D6590" w:rsidP="00D27D45">
      <w:pPr>
        <w:pStyle w:val="p2"/>
        <w:spacing w:line="360" w:lineRule="auto"/>
        <w:rPr>
          <w:rFonts w:ascii="Arial" w:hAnsi="Arial" w:cs="Arial"/>
          <w:sz w:val="22"/>
          <w:szCs w:val="22"/>
        </w:rPr>
      </w:pPr>
    </w:p>
    <w:p w14:paraId="52B93AE2" w14:textId="77777777" w:rsidR="00A045D4" w:rsidRPr="00D27D45" w:rsidRDefault="00A045D4" w:rsidP="00D27D45">
      <w:pPr>
        <w:spacing w:before="100" w:beforeAutospacing="1" w:after="100" w:afterAutospacing="1" w:line="360" w:lineRule="auto"/>
        <w:rPr>
          <w:rFonts w:ascii="Arial" w:hAnsi="Arial" w:cs="Arial"/>
          <w:kern w:val="0"/>
          <w:sz w:val="22"/>
          <w:szCs w:val="22"/>
          <w14:ligatures w14:val="none"/>
        </w:rPr>
      </w:pPr>
      <w:r w:rsidRPr="00D27D45">
        <w:rPr>
          <w:rFonts w:ascii="Arial" w:hAnsi="Arial" w:cs="Arial"/>
          <w:kern w:val="0"/>
          <w:sz w:val="22"/>
          <w:szCs w:val="22"/>
          <w14:ligatures w14:val="none"/>
        </w:rPr>
        <w:t>Overall, reducing inequalities requires coordinated action beyond healthcare access alone. At the global level, Universal Health Coverage should be strengthened through greater investment in health system capacity, workforce development and equitable service provision for disadvantaged populations. At the national level, frameworks such as Core20PLUS5 should extend beyond healthcare delivery to address wider social determinants, including housing, education and employment, through cross-sector collaboration. At the local level, targeted initiatives such as the Dudley and Netherton screening programme should be supported by sustainable funding, long-term evaluation and knowledge-sharing to enable adaptation across different contexts. In addition, prioritising community co-production and culturally appropriate engagement strategies is essential to improve trust and uptake among underserved groups.</w:t>
      </w:r>
    </w:p>
    <w:p w14:paraId="43186F0A" w14:textId="17F0C521" w:rsidR="003D6590" w:rsidRPr="00B53ACB" w:rsidRDefault="003D6590" w:rsidP="00D27D45">
      <w:pPr>
        <w:pStyle w:val="p1"/>
        <w:spacing w:line="360" w:lineRule="auto"/>
        <w:rPr>
          <w:rFonts w:ascii="Arial" w:hAnsi="Arial" w:cs="Arial"/>
          <w:sz w:val="22"/>
          <w:szCs w:val="22"/>
        </w:rPr>
      </w:pPr>
      <w:r w:rsidRPr="00B53ACB">
        <w:rPr>
          <w:rStyle w:val="s1"/>
          <w:rFonts w:ascii="Arial" w:hAnsi="Arial" w:cs="Arial"/>
          <w:sz w:val="22"/>
          <w:szCs w:val="22"/>
        </w:rPr>
        <w:t>Conclusion</w:t>
      </w:r>
    </w:p>
    <w:p w14:paraId="1B68B8C3" w14:textId="77777777" w:rsidR="003D6590" w:rsidRPr="00D27D45" w:rsidRDefault="003D6590" w:rsidP="00D27D45">
      <w:pPr>
        <w:pStyle w:val="p2"/>
        <w:spacing w:line="360" w:lineRule="auto"/>
        <w:rPr>
          <w:rFonts w:ascii="Arial" w:hAnsi="Arial" w:cs="Arial"/>
          <w:sz w:val="22"/>
          <w:szCs w:val="22"/>
        </w:rPr>
      </w:pPr>
    </w:p>
    <w:p w14:paraId="1B84DA6C" w14:textId="77777777" w:rsidR="003D6590" w:rsidRPr="00D27D45" w:rsidRDefault="003D6590" w:rsidP="00D27D45">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In conclusion, this report demonstrates the close interdependence between SDG 3 and SDG 10, highlighting that improvements in health and wellbeing cannot be achieved without addressing underlying inequalities. While global, national and local initiatives have contributed to reducing disease burden and improving access to services, their impact remains uneven due to persistent social and structural barriers. The Health Belief Model </w:t>
      </w:r>
      <w:r w:rsidRPr="00D27D45">
        <w:rPr>
          <w:rStyle w:val="s1"/>
          <w:rFonts w:ascii="Arial" w:hAnsi="Arial" w:cs="Arial"/>
          <w:b w:val="0"/>
          <w:bCs w:val="0"/>
          <w:sz w:val="22"/>
          <w:szCs w:val="22"/>
        </w:rPr>
        <w:lastRenderedPageBreak/>
        <w:t>shows how individual perceptions influence engagement, while the Socio-Ecological Model emphasises the importance of wider environmental and policy contexts. However, many interventions prioritise access and behaviour change without fully addressing the root causes of inequality, such as deprivation and limited resources. As a result, health outcomes continue to vary across populations. Achieving the aims of SDG 3 therefore depends on meaningful progress towards SDG 10, requiring integrated, multi-level strategies that reduce inequalities and ensure that health improvements are inclusive, equitable and sustainable.</w:t>
      </w:r>
    </w:p>
    <w:p w14:paraId="487D08F8" w14:textId="77777777" w:rsidR="00AB0E12" w:rsidRPr="00D27D45" w:rsidRDefault="00AB0E12" w:rsidP="00D27D45">
      <w:pPr>
        <w:pStyle w:val="p1"/>
        <w:spacing w:line="360" w:lineRule="auto"/>
        <w:rPr>
          <w:rStyle w:val="s1"/>
          <w:rFonts w:ascii="Arial" w:hAnsi="Arial" w:cs="Arial"/>
          <w:b w:val="0"/>
          <w:bCs w:val="0"/>
          <w:sz w:val="22"/>
          <w:szCs w:val="22"/>
        </w:rPr>
      </w:pPr>
    </w:p>
    <w:p w14:paraId="1A3A1D7D" w14:textId="77777777" w:rsidR="00AB0E12" w:rsidRPr="00D27D45" w:rsidRDefault="00AB0E12" w:rsidP="00D27D45">
      <w:pPr>
        <w:pStyle w:val="p1"/>
        <w:spacing w:line="360" w:lineRule="auto"/>
        <w:rPr>
          <w:rStyle w:val="s1"/>
          <w:rFonts w:ascii="Arial" w:hAnsi="Arial" w:cs="Arial"/>
          <w:b w:val="0"/>
          <w:bCs w:val="0"/>
          <w:sz w:val="22"/>
          <w:szCs w:val="22"/>
        </w:rPr>
      </w:pPr>
    </w:p>
    <w:p w14:paraId="658B99AC" w14:textId="2D10AB95" w:rsidR="00923249" w:rsidRPr="00B53ACB" w:rsidRDefault="00AB0E12" w:rsidP="00923249">
      <w:pPr>
        <w:pStyle w:val="p1"/>
        <w:spacing w:line="360" w:lineRule="auto"/>
        <w:rPr>
          <w:rFonts w:ascii="Arial" w:hAnsi="Arial" w:cs="Arial"/>
          <w:sz w:val="22"/>
          <w:szCs w:val="22"/>
        </w:rPr>
      </w:pPr>
      <w:r w:rsidRPr="00B53ACB">
        <w:rPr>
          <w:rStyle w:val="s1"/>
          <w:rFonts w:ascii="Arial" w:hAnsi="Arial" w:cs="Arial"/>
          <w:sz w:val="22"/>
          <w:szCs w:val="22"/>
        </w:rPr>
        <w:t>Referenc</w:t>
      </w:r>
      <w:r w:rsidR="00923249" w:rsidRPr="00B53ACB">
        <w:rPr>
          <w:rStyle w:val="s1"/>
          <w:rFonts w:ascii="Arial" w:hAnsi="Arial" w:cs="Arial"/>
          <w:sz w:val="22"/>
          <w:szCs w:val="22"/>
        </w:rPr>
        <w:t>es</w:t>
      </w:r>
    </w:p>
    <w:p w14:paraId="379356F8" w14:textId="77777777" w:rsidR="00923249" w:rsidRPr="00D27D45" w:rsidRDefault="00923249" w:rsidP="00923249">
      <w:pPr>
        <w:spacing w:line="360" w:lineRule="auto"/>
        <w:rPr>
          <w:rFonts w:ascii="Arial" w:hAnsi="Arial" w:cs="Arial"/>
          <w:sz w:val="22"/>
          <w:szCs w:val="22"/>
        </w:rPr>
      </w:pPr>
    </w:p>
    <w:p w14:paraId="2A7C28C2"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Abdi, Y.H., Abdi, M.S., Bashir, S.G., Ahmed, N.I. and Abdullahi, Y.B. (2025) ‘Understanding global health inequality and inequity: Causes, consequences, and the path toward justice in healthcare’, </w:t>
      </w:r>
      <w:r w:rsidRPr="00D27D45">
        <w:rPr>
          <w:rStyle w:val="s1"/>
          <w:rFonts w:ascii="Arial" w:hAnsi="Arial" w:cs="Arial"/>
          <w:b w:val="0"/>
          <w:bCs w:val="0"/>
          <w:i/>
          <w:iCs/>
          <w:sz w:val="22"/>
          <w:szCs w:val="22"/>
        </w:rPr>
        <w:t>Public Health Challenges</w:t>
      </w:r>
      <w:r w:rsidRPr="00D27D45">
        <w:rPr>
          <w:rStyle w:val="s1"/>
          <w:rFonts w:ascii="Arial" w:hAnsi="Arial" w:cs="Arial"/>
          <w:b w:val="0"/>
          <w:bCs w:val="0"/>
          <w:sz w:val="22"/>
          <w:szCs w:val="22"/>
        </w:rPr>
        <w:t xml:space="preserve">, 4(4). Available at: https://doi.org/10.1002/puh2.70156 </w:t>
      </w:r>
    </w:p>
    <w:p w14:paraId="78346AF2" w14:textId="348FF8F4"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Alyafei, A. and Easton</w:t>
      </w:r>
      <w:r w:rsidRPr="00D27D45">
        <w:rPr>
          <w:rStyle w:val="s1"/>
          <w:rFonts w:ascii="Cambria Math" w:hAnsi="Cambria Math" w:cs="Cambria Math"/>
          <w:b w:val="0"/>
          <w:bCs w:val="0"/>
          <w:sz w:val="22"/>
          <w:szCs w:val="22"/>
        </w:rPr>
        <w:t>‑</w:t>
      </w:r>
      <w:r w:rsidRPr="00D27D45">
        <w:rPr>
          <w:rStyle w:val="s1"/>
          <w:rFonts w:ascii="Arial" w:hAnsi="Arial" w:cs="Arial"/>
          <w:b w:val="0"/>
          <w:bCs w:val="0"/>
          <w:sz w:val="22"/>
          <w:szCs w:val="22"/>
        </w:rPr>
        <w:t xml:space="preserve">Carr, R. (2024) </w:t>
      </w:r>
      <w:r>
        <w:rPr>
          <w:rStyle w:val="s1"/>
          <w:rFonts w:ascii="Arial" w:hAnsi="Arial" w:cs="Arial"/>
          <w:b w:val="0"/>
          <w:bCs w:val="0"/>
          <w:sz w:val="22"/>
          <w:szCs w:val="22"/>
        </w:rPr>
        <w:t>‘</w:t>
      </w:r>
      <w:r w:rsidRPr="00D27D45">
        <w:rPr>
          <w:rStyle w:val="s1"/>
          <w:rFonts w:ascii="Arial" w:hAnsi="Arial" w:cs="Arial"/>
          <w:b w:val="0"/>
          <w:bCs w:val="0"/>
          <w:sz w:val="22"/>
          <w:szCs w:val="22"/>
        </w:rPr>
        <w:t xml:space="preserve">The Health Belief Model of </w:t>
      </w:r>
      <w:proofErr w:type="spellStart"/>
      <w:r w:rsidRPr="00D27D45">
        <w:rPr>
          <w:rStyle w:val="s1"/>
          <w:rFonts w:ascii="Arial" w:hAnsi="Arial" w:cs="Arial"/>
          <w:b w:val="0"/>
          <w:bCs w:val="0"/>
          <w:sz w:val="22"/>
          <w:szCs w:val="22"/>
        </w:rPr>
        <w:t>Behavior</w:t>
      </w:r>
      <w:proofErr w:type="spellEnd"/>
      <w:r w:rsidRPr="00D27D45">
        <w:rPr>
          <w:rStyle w:val="s1"/>
          <w:rFonts w:ascii="Arial" w:hAnsi="Arial" w:cs="Arial"/>
          <w:b w:val="0"/>
          <w:bCs w:val="0"/>
          <w:sz w:val="22"/>
          <w:szCs w:val="22"/>
        </w:rPr>
        <w:t xml:space="preserve"> Change</w:t>
      </w:r>
      <w:r>
        <w:rPr>
          <w:rStyle w:val="s1"/>
          <w:rFonts w:ascii="Arial" w:hAnsi="Arial" w:cs="Arial"/>
          <w:b w:val="0"/>
          <w:bCs w:val="0"/>
          <w:sz w:val="22"/>
          <w:szCs w:val="22"/>
        </w:rPr>
        <w:t>’</w:t>
      </w:r>
      <w:r w:rsidRPr="00D27D45">
        <w:rPr>
          <w:rStyle w:val="s1"/>
          <w:rFonts w:ascii="Arial" w:hAnsi="Arial" w:cs="Arial"/>
          <w:b w:val="0"/>
          <w:bCs w:val="0"/>
          <w:sz w:val="22"/>
          <w:szCs w:val="22"/>
        </w:rPr>
        <w:t xml:space="preserve">. </w:t>
      </w:r>
      <w:r w:rsidRPr="00D27D45">
        <w:rPr>
          <w:rStyle w:val="s1"/>
          <w:rFonts w:ascii="Arial" w:hAnsi="Arial" w:cs="Arial"/>
          <w:b w:val="0"/>
          <w:bCs w:val="0"/>
          <w:i/>
          <w:iCs/>
          <w:sz w:val="22"/>
          <w:szCs w:val="22"/>
        </w:rPr>
        <w:t>StatPearls Publishing</w:t>
      </w:r>
      <w:r w:rsidRPr="00D27D45">
        <w:rPr>
          <w:rStyle w:val="s1"/>
          <w:rFonts w:ascii="Arial" w:hAnsi="Arial" w:cs="Arial"/>
          <w:b w:val="0"/>
          <w:bCs w:val="0"/>
          <w:sz w:val="22"/>
          <w:szCs w:val="22"/>
        </w:rPr>
        <w:t xml:space="preserve">. Available at: </w:t>
      </w:r>
      <w:hyperlink r:id="rId6" w:history="1">
        <w:r w:rsidRPr="00EC6569">
          <w:rPr>
            <w:rStyle w:val="Hyperlink"/>
            <w:rFonts w:ascii="Arial" w:hAnsi="Arial" w:cs="Arial"/>
            <w:sz w:val="22"/>
            <w:szCs w:val="22"/>
          </w:rPr>
          <w:t>https://www.ncbi.nlm.nih.gov/books/NBK606120/</w:t>
        </w:r>
      </w:hyperlink>
      <w:r>
        <w:rPr>
          <w:rStyle w:val="s1"/>
          <w:rFonts w:ascii="Arial" w:hAnsi="Arial" w:cs="Arial"/>
          <w:b w:val="0"/>
          <w:bCs w:val="0"/>
          <w:sz w:val="22"/>
          <w:szCs w:val="22"/>
        </w:rPr>
        <w:t xml:space="preserve"> </w:t>
      </w:r>
      <w:r w:rsidRPr="00D27D45">
        <w:rPr>
          <w:rStyle w:val="s1"/>
          <w:rFonts w:ascii="Arial" w:hAnsi="Arial" w:cs="Arial"/>
          <w:b w:val="0"/>
          <w:bCs w:val="0"/>
          <w:sz w:val="22"/>
          <w:szCs w:val="22"/>
        </w:rPr>
        <w:t xml:space="preserve">(Accessed: </w:t>
      </w:r>
      <w:r>
        <w:rPr>
          <w:rStyle w:val="s1"/>
          <w:rFonts w:ascii="Arial" w:hAnsi="Arial" w:cs="Arial"/>
          <w:b w:val="0"/>
          <w:bCs w:val="0"/>
          <w:sz w:val="22"/>
          <w:szCs w:val="22"/>
        </w:rPr>
        <w:t>22 March</w:t>
      </w:r>
      <w:r w:rsidRPr="00D27D45">
        <w:rPr>
          <w:rStyle w:val="s1"/>
          <w:rFonts w:ascii="Arial" w:hAnsi="Arial" w:cs="Arial"/>
          <w:b w:val="0"/>
          <w:bCs w:val="0"/>
          <w:sz w:val="22"/>
          <w:szCs w:val="22"/>
        </w:rPr>
        <w:t xml:space="preserve"> 202</w:t>
      </w:r>
      <w:r>
        <w:rPr>
          <w:rStyle w:val="s1"/>
          <w:rFonts w:ascii="Arial" w:hAnsi="Arial" w:cs="Arial"/>
          <w:b w:val="0"/>
          <w:bCs w:val="0"/>
          <w:sz w:val="22"/>
          <w:szCs w:val="22"/>
        </w:rPr>
        <w:t>6</w:t>
      </w:r>
      <w:r w:rsidRPr="00D27D45">
        <w:rPr>
          <w:rStyle w:val="s1"/>
          <w:rFonts w:ascii="Arial" w:hAnsi="Arial" w:cs="Arial"/>
          <w:b w:val="0"/>
          <w:bCs w:val="0"/>
          <w:sz w:val="22"/>
          <w:szCs w:val="22"/>
        </w:rPr>
        <w:t>).</w:t>
      </w:r>
    </w:p>
    <w:p w14:paraId="0DF7C944" w14:textId="77777777" w:rsidR="00923249" w:rsidRPr="00D27D45" w:rsidRDefault="00923249" w:rsidP="00923249">
      <w:pPr>
        <w:pStyle w:val="p1"/>
        <w:spacing w:line="360" w:lineRule="auto"/>
        <w:rPr>
          <w:rStyle w:val="s1"/>
          <w:rFonts w:ascii="Arial" w:hAnsi="Arial" w:cs="Arial"/>
          <w:b w:val="0"/>
          <w:bCs w:val="0"/>
          <w:sz w:val="22"/>
          <w:szCs w:val="22"/>
        </w:rPr>
      </w:pPr>
      <w:proofErr w:type="spellStart"/>
      <w:r w:rsidRPr="00D27D45">
        <w:rPr>
          <w:rStyle w:val="s1"/>
          <w:rFonts w:ascii="Arial" w:hAnsi="Arial" w:cs="Arial"/>
          <w:b w:val="0"/>
          <w:bCs w:val="0"/>
          <w:sz w:val="22"/>
          <w:szCs w:val="22"/>
        </w:rPr>
        <w:t>Decouttere</w:t>
      </w:r>
      <w:proofErr w:type="spellEnd"/>
      <w:r w:rsidRPr="00D27D45">
        <w:rPr>
          <w:rStyle w:val="s1"/>
          <w:rFonts w:ascii="Arial" w:hAnsi="Arial" w:cs="Arial"/>
          <w:b w:val="0"/>
          <w:bCs w:val="0"/>
          <w:sz w:val="22"/>
          <w:szCs w:val="22"/>
        </w:rPr>
        <w:t xml:space="preserve">, C., De Boeck, K. and Vandaele, N. (2021) ‘Advancing sustainable development goals through immunization: A literature review’, </w:t>
      </w:r>
      <w:r w:rsidRPr="00923249">
        <w:rPr>
          <w:rStyle w:val="s1"/>
          <w:rFonts w:ascii="Arial" w:hAnsi="Arial" w:cs="Arial"/>
          <w:b w:val="0"/>
          <w:bCs w:val="0"/>
          <w:i/>
          <w:iCs/>
          <w:sz w:val="22"/>
          <w:szCs w:val="22"/>
        </w:rPr>
        <w:t>Global Health</w:t>
      </w:r>
      <w:r w:rsidRPr="00D27D45">
        <w:rPr>
          <w:rStyle w:val="s1"/>
          <w:rFonts w:ascii="Arial" w:hAnsi="Arial" w:cs="Arial"/>
          <w:b w:val="0"/>
          <w:bCs w:val="0"/>
          <w:sz w:val="22"/>
          <w:szCs w:val="22"/>
        </w:rPr>
        <w:t>, 17, 95. Available at: https://doi.org/10.1186/s12992-021-00745-w</w:t>
      </w:r>
    </w:p>
    <w:p w14:paraId="75F0F936"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Elliott, H., Tozer, C., Fenton, A., Powers, C., Lines, C., Hill, M., Owolabi, B. and Ford, J.A. (2025) ‘From policy to action: A document content analysis reviewing the adoption of the healthcare inequalities programme in local health system plans in England’, </w:t>
      </w:r>
      <w:r w:rsidRPr="00923249">
        <w:rPr>
          <w:rStyle w:val="s1"/>
          <w:rFonts w:ascii="Arial" w:hAnsi="Arial" w:cs="Arial"/>
          <w:b w:val="0"/>
          <w:bCs w:val="0"/>
          <w:i/>
          <w:iCs/>
          <w:sz w:val="22"/>
          <w:szCs w:val="22"/>
        </w:rPr>
        <w:t>Health Services Research</w:t>
      </w:r>
      <w:r w:rsidRPr="00D27D45">
        <w:rPr>
          <w:rStyle w:val="s1"/>
          <w:rFonts w:ascii="Arial" w:hAnsi="Arial" w:cs="Arial"/>
          <w:b w:val="0"/>
          <w:bCs w:val="0"/>
          <w:sz w:val="22"/>
          <w:szCs w:val="22"/>
        </w:rPr>
        <w:t xml:space="preserve">, 15(10). Available at: https://doi.org/10.1136/bmjopen-2025-102163 </w:t>
      </w:r>
    </w:p>
    <w:p w14:paraId="38957FB5" w14:textId="77777777" w:rsidR="00923249" w:rsidRPr="00D27D45" w:rsidRDefault="00923249" w:rsidP="00923249">
      <w:pPr>
        <w:pStyle w:val="p1"/>
        <w:spacing w:line="360" w:lineRule="auto"/>
        <w:rPr>
          <w:rStyle w:val="s1"/>
          <w:rFonts w:ascii="Arial" w:hAnsi="Arial" w:cs="Arial"/>
          <w:b w:val="0"/>
          <w:bCs w:val="0"/>
          <w:sz w:val="22"/>
          <w:szCs w:val="22"/>
        </w:rPr>
      </w:pPr>
      <w:proofErr w:type="spellStart"/>
      <w:r w:rsidRPr="00D27D45">
        <w:rPr>
          <w:rStyle w:val="s1"/>
          <w:rFonts w:ascii="Arial" w:hAnsi="Arial" w:cs="Arial"/>
          <w:b w:val="0"/>
          <w:bCs w:val="0"/>
          <w:sz w:val="22"/>
          <w:szCs w:val="22"/>
        </w:rPr>
        <w:t>Endalamaw</w:t>
      </w:r>
      <w:proofErr w:type="spellEnd"/>
      <w:r w:rsidRPr="00D27D45">
        <w:rPr>
          <w:rStyle w:val="s1"/>
          <w:rFonts w:ascii="Arial" w:hAnsi="Arial" w:cs="Arial"/>
          <w:b w:val="0"/>
          <w:bCs w:val="0"/>
          <w:sz w:val="22"/>
          <w:szCs w:val="22"/>
        </w:rPr>
        <w:t xml:space="preserve">, A., Mengistu, T.S., Khatri, R.B., </w:t>
      </w:r>
      <w:proofErr w:type="spellStart"/>
      <w:r w:rsidRPr="00D27D45">
        <w:rPr>
          <w:rStyle w:val="s1"/>
          <w:rFonts w:ascii="Arial" w:hAnsi="Arial" w:cs="Arial"/>
          <w:b w:val="0"/>
          <w:bCs w:val="0"/>
          <w:sz w:val="22"/>
          <w:szCs w:val="22"/>
        </w:rPr>
        <w:t>Wolka</w:t>
      </w:r>
      <w:proofErr w:type="spellEnd"/>
      <w:r w:rsidRPr="00D27D45">
        <w:rPr>
          <w:rStyle w:val="s1"/>
          <w:rFonts w:ascii="Arial" w:hAnsi="Arial" w:cs="Arial"/>
          <w:b w:val="0"/>
          <w:bCs w:val="0"/>
          <w:sz w:val="22"/>
          <w:szCs w:val="22"/>
        </w:rPr>
        <w:t xml:space="preserve">, E., </w:t>
      </w:r>
      <w:proofErr w:type="spellStart"/>
      <w:r w:rsidRPr="00D27D45">
        <w:rPr>
          <w:rStyle w:val="s1"/>
          <w:rFonts w:ascii="Arial" w:hAnsi="Arial" w:cs="Arial"/>
          <w:b w:val="0"/>
          <w:bCs w:val="0"/>
          <w:sz w:val="22"/>
          <w:szCs w:val="22"/>
        </w:rPr>
        <w:t>Erku</w:t>
      </w:r>
      <w:proofErr w:type="spellEnd"/>
      <w:r w:rsidRPr="00D27D45">
        <w:rPr>
          <w:rStyle w:val="s1"/>
          <w:rFonts w:ascii="Arial" w:hAnsi="Arial" w:cs="Arial"/>
          <w:b w:val="0"/>
          <w:bCs w:val="0"/>
          <w:sz w:val="22"/>
          <w:szCs w:val="22"/>
        </w:rPr>
        <w:t xml:space="preserve">, D., Zewdie, A. and Assefa, Y. (2025) ‘Universal health coverage—Exploring </w:t>
      </w:r>
      <w:proofErr w:type="gramStart"/>
      <w:r w:rsidRPr="00D27D45">
        <w:rPr>
          <w:rStyle w:val="s1"/>
          <w:rFonts w:ascii="Arial" w:hAnsi="Arial" w:cs="Arial"/>
          <w:b w:val="0"/>
          <w:bCs w:val="0"/>
          <w:sz w:val="22"/>
          <w:szCs w:val="22"/>
        </w:rPr>
        <w:t>the what</w:t>
      </w:r>
      <w:proofErr w:type="gramEnd"/>
      <w:r w:rsidRPr="00D27D45">
        <w:rPr>
          <w:rStyle w:val="s1"/>
          <w:rFonts w:ascii="Arial" w:hAnsi="Arial" w:cs="Arial"/>
          <w:b w:val="0"/>
          <w:bCs w:val="0"/>
          <w:sz w:val="22"/>
          <w:szCs w:val="22"/>
        </w:rPr>
        <w:t xml:space="preserve">, how, and why using realist review’, </w:t>
      </w:r>
      <w:r w:rsidRPr="00923249">
        <w:rPr>
          <w:rStyle w:val="s1"/>
          <w:rFonts w:ascii="Arial" w:hAnsi="Arial" w:cs="Arial"/>
          <w:b w:val="0"/>
          <w:bCs w:val="0"/>
          <w:i/>
          <w:iCs/>
          <w:sz w:val="22"/>
          <w:szCs w:val="22"/>
        </w:rPr>
        <w:t>PLOS Global Public Health</w:t>
      </w:r>
      <w:r w:rsidRPr="00D27D45">
        <w:rPr>
          <w:rStyle w:val="s1"/>
          <w:rFonts w:ascii="Arial" w:hAnsi="Arial" w:cs="Arial"/>
          <w:b w:val="0"/>
          <w:bCs w:val="0"/>
          <w:sz w:val="22"/>
          <w:szCs w:val="22"/>
        </w:rPr>
        <w:t xml:space="preserve">, 5(3). Available at: https://doi.org/10.1371/journal.pgph.0003330 </w:t>
      </w:r>
    </w:p>
    <w:p w14:paraId="5A511C97"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Energise Me (2026) </w:t>
      </w:r>
      <w:r w:rsidRPr="00923249">
        <w:rPr>
          <w:rStyle w:val="s1"/>
          <w:rFonts w:ascii="Arial" w:hAnsi="Arial" w:cs="Arial"/>
          <w:b w:val="0"/>
          <w:bCs w:val="0"/>
          <w:i/>
          <w:iCs/>
          <w:sz w:val="22"/>
          <w:szCs w:val="22"/>
        </w:rPr>
        <w:t>Energise Me</w:t>
      </w:r>
      <w:r w:rsidRPr="00D27D45">
        <w:rPr>
          <w:rStyle w:val="s1"/>
          <w:rFonts w:ascii="Arial" w:hAnsi="Arial" w:cs="Arial"/>
          <w:b w:val="0"/>
          <w:bCs w:val="0"/>
          <w:sz w:val="22"/>
          <w:szCs w:val="22"/>
        </w:rPr>
        <w:t>. Available at: https://www.energiseme.org (Accessed: 19 Ma</w:t>
      </w:r>
      <w:r>
        <w:rPr>
          <w:rStyle w:val="s1"/>
          <w:rFonts w:ascii="Arial" w:hAnsi="Arial" w:cs="Arial"/>
          <w:b w:val="0"/>
          <w:bCs w:val="0"/>
          <w:sz w:val="22"/>
          <w:szCs w:val="22"/>
        </w:rPr>
        <w:t>rch</w:t>
      </w:r>
      <w:r w:rsidRPr="00D27D45">
        <w:rPr>
          <w:rStyle w:val="s1"/>
          <w:rFonts w:ascii="Arial" w:hAnsi="Arial" w:cs="Arial"/>
          <w:b w:val="0"/>
          <w:bCs w:val="0"/>
          <w:sz w:val="22"/>
          <w:szCs w:val="22"/>
        </w:rPr>
        <w:t xml:space="preserve"> 202</w:t>
      </w:r>
      <w:r>
        <w:rPr>
          <w:rStyle w:val="s1"/>
          <w:rFonts w:ascii="Arial" w:hAnsi="Arial" w:cs="Arial"/>
          <w:b w:val="0"/>
          <w:bCs w:val="0"/>
          <w:sz w:val="22"/>
          <w:szCs w:val="22"/>
        </w:rPr>
        <w:t>6</w:t>
      </w:r>
      <w:r w:rsidRPr="00D27D45">
        <w:rPr>
          <w:rStyle w:val="s1"/>
          <w:rFonts w:ascii="Arial" w:hAnsi="Arial" w:cs="Arial"/>
          <w:b w:val="0"/>
          <w:bCs w:val="0"/>
          <w:sz w:val="22"/>
          <w:szCs w:val="22"/>
        </w:rPr>
        <w:t xml:space="preserve">). </w:t>
      </w:r>
    </w:p>
    <w:p w14:paraId="74C2C4E3"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Ewald, D.R., Orsini, M.M. and Strack, R.W. (2023) ‘The path to good health: Shifting the dialogue and promoting social ecological thinking’, </w:t>
      </w:r>
      <w:r w:rsidRPr="00D27D45">
        <w:rPr>
          <w:rStyle w:val="s1"/>
          <w:rFonts w:ascii="Arial" w:hAnsi="Arial" w:cs="Arial"/>
          <w:b w:val="0"/>
          <w:bCs w:val="0"/>
          <w:i/>
          <w:iCs/>
          <w:sz w:val="22"/>
          <w:szCs w:val="22"/>
        </w:rPr>
        <w:t>SSM - Population Health</w:t>
      </w:r>
      <w:r w:rsidRPr="00D27D45">
        <w:rPr>
          <w:rStyle w:val="s1"/>
          <w:rFonts w:ascii="Arial" w:hAnsi="Arial" w:cs="Arial"/>
          <w:b w:val="0"/>
          <w:bCs w:val="0"/>
          <w:sz w:val="22"/>
          <w:szCs w:val="22"/>
        </w:rPr>
        <w:t xml:space="preserve">, 22. Available at: https://doi.org/10.1016/j.ssmph.2023.101378 </w:t>
      </w:r>
    </w:p>
    <w:p w14:paraId="6F083837"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Gavi, the Vaccine Alliance (2026a) </w:t>
      </w:r>
      <w:r w:rsidRPr="00923249">
        <w:rPr>
          <w:rStyle w:val="s1"/>
          <w:rFonts w:ascii="Arial" w:hAnsi="Arial" w:cs="Arial"/>
          <w:b w:val="0"/>
          <w:bCs w:val="0"/>
          <w:i/>
          <w:iCs/>
          <w:sz w:val="22"/>
          <w:szCs w:val="22"/>
        </w:rPr>
        <w:t>A new era of country ownership</w:t>
      </w:r>
      <w:r w:rsidRPr="00D27D45">
        <w:rPr>
          <w:rStyle w:val="s1"/>
          <w:rFonts w:ascii="Arial" w:hAnsi="Arial" w:cs="Arial"/>
          <w:b w:val="0"/>
          <w:bCs w:val="0"/>
          <w:sz w:val="22"/>
          <w:szCs w:val="22"/>
        </w:rPr>
        <w:t xml:space="preserve">. Available at: https://www.gavi.org/vaccineswork/new-era-country-ownership-introducing-gavis-first-ever-vaccine-budgets (Accessed: </w:t>
      </w:r>
      <w:r>
        <w:rPr>
          <w:rStyle w:val="s1"/>
          <w:rFonts w:ascii="Arial" w:hAnsi="Arial" w:cs="Arial"/>
          <w:b w:val="0"/>
          <w:bCs w:val="0"/>
          <w:sz w:val="22"/>
          <w:szCs w:val="22"/>
        </w:rPr>
        <w:t>22 March 2026</w:t>
      </w:r>
      <w:r w:rsidRPr="00D27D45">
        <w:rPr>
          <w:rStyle w:val="s1"/>
          <w:rFonts w:ascii="Arial" w:hAnsi="Arial" w:cs="Arial"/>
          <w:b w:val="0"/>
          <w:bCs w:val="0"/>
          <w:sz w:val="22"/>
          <w:szCs w:val="22"/>
        </w:rPr>
        <w:t>).</w:t>
      </w:r>
    </w:p>
    <w:p w14:paraId="29618AA5"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lastRenderedPageBreak/>
        <w:t xml:space="preserve">Gavi, the Vaccine Alliance (2026b) </w:t>
      </w:r>
      <w:r w:rsidRPr="00923249">
        <w:rPr>
          <w:rStyle w:val="s1"/>
          <w:rFonts w:ascii="Arial" w:hAnsi="Arial" w:cs="Arial"/>
          <w:b w:val="0"/>
          <w:bCs w:val="0"/>
          <w:i/>
          <w:iCs/>
          <w:sz w:val="22"/>
          <w:szCs w:val="22"/>
        </w:rPr>
        <w:t>Gavi progress report 2024</w:t>
      </w:r>
      <w:r w:rsidRPr="00D27D45">
        <w:rPr>
          <w:rStyle w:val="s1"/>
          <w:rFonts w:ascii="Arial" w:hAnsi="Arial" w:cs="Arial"/>
          <w:b w:val="0"/>
          <w:bCs w:val="0"/>
          <w:sz w:val="22"/>
          <w:szCs w:val="22"/>
        </w:rPr>
        <w:t xml:space="preserve">. Available at: https://www.gavi.org/progress-report (Accessed: </w:t>
      </w:r>
      <w:r>
        <w:rPr>
          <w:rStyle w:val="s1"/>
          <w:rFonts w:ascii="Arial" w:hAnsi="Arial" w:cs="Arial"/>
          <w:b w:val="0"/>
          <w:bCs w:val="0"/>
          <w:sz w:val="22"/>
          <w:szCs w:val="22"/>
        </w:rPr>
        <w:t>22 March 2026).</w:t>
      </w:r>
    </w:p>
    <w:p w14:paraId="1E10AEBD" w14:textId="77777777" w:rsidR="00923249" w:rsidRPr="00D27D45" w:rsidRDefault="00923249" w:rsidP="00923249">
      <w:pPr>
        <w:pStyle w:val="p1"/>
        <w:spacing w:line="360" w:lineRule="auto"/>
        <w:jc w:val="both"/>
        <w:rPr>
          <w:rStyle w:val="s1"/>
          <w:rFonts w:ascii="Arial" w:hAnsi="Arial" w:cs="Arial"/>
          <w:b w:val="0"/>
          <w:bCs w:val="0"/>
          <w:sz w:val="22"/>
          <w:szCs w:val="22"/>
        </w:rPr>
      </w:pPr>
      <w:r w:rsidRPr="00D27D45">
        <w:rPr>
          <w:rStyle w:val="s1"/>
          <w:rFonts w:ascii="Arial" w:hAnsi="Arial" w:cs="Arial"/>
          <w:b w:val="0"/>
          <w:bCs w:val="0"/>
          <w:sz w:val="22"/>
          <w:szCs w:val="22"/>
        </w:rPr>
        <w:t xml:space="preserve">Gavin, J.P., Holt, L.C., Muckelt, P.E., Sadler, E., McDonough, S. and Barker, M. (2025) ‘Maintaining physical activity in people with long-term conditions following engagement in physical activity referral schemes: Barriers, enablers, and intervention strategies’, </w:t>
      </w:r>
      <w:r w:rsidRPr="00923249">
        <w:rPr>
          <w:rStyle w:val="s1"/>
          <w:rFonts w:ascii="Arial" w:hAnsi="Arial" w:cs="Arial"/>
          <w:b w:val="0"/>
          <w:bCs w:val="0"/>
          <w:i/>
          <w:iCs/>
          <w:sz w:val="22"/>
          <w:szCs w:val="22"/>
        </w:rPr>
        <w:t xml:space="preserve">International Journal of </w:t>
      </w:r>
      <w:proofErr w:type="spellStart"/>
      <w:r w:rsidRPr="00923249">
        <w:rPr>
          <w:rStyle w:val="s1"/>
          <w:rFonts w:ascii="Arial" w:hAnsi="Arial" w:cs="Arial"/>
          <w:b w:val="0"/>
          <w:bCs w:val="0"/>
          <w:i/>
          <w:iCs/>
          <w:sz w:val="22"/>
          <w:szCs w:val="22"/>
        </w:rPr>
        <w:t>Behavioral</w:t>
      </w:r>
      <w:proofErr w:type="spellEnd"/>
      <w:r w:rsidRPr="00923249">
        <w:rPr>
          <w:rStyle w:val="s1"/>
          <w:rFonts w:ascii="Arial" w:hAnsi="Arial" w:cs="Arial"/>
          <w:b w:val="0"/>
          <w:bCs w:val="0"/>
          <w:i/>
          <w:iCs/>
          <w:sz w:val="22"/>
          <w:szCs w:val="22"/>
        </w:rPr>
        <w:t xml:space="preserve"> Nutrition and Physical Activity</w:t>
      </w:r>
      <w:r w:rsidRPr="00D27D45">
        <w:rPr>
          <w:rStyle w:val="s1"/>
          <w:rFonts w:ascii="Arial" w:hAnsi="Arial" w:cs="Arial"/>
          <w:b w:val="0"/>
          <w:bCs w:val="0"/>
          <w:sz w:val="22"/>
          <w:szCs w:val="22"/>
        </w:rPr>
        <w:t>, 22</w:t>
      </w:r>
      <w:r>
        <w:rPr>
          <w:rStyle w:val="s1"/>
          <w:rFonts w:ascii="Arial" w:hAnsi="Arial" w:cs="Arial"/>
          <w:b w:val="0"/>
          <w:bCs w:val="0"/>
          <w:sz w:val="22"/>
          <w:szCs w:val="22"/>
        </w:rPr>
        <w:t>(</w:t>
      </w:r>
      <w:r w:rsidRPr="00D27D45">
        <w:rPr>
          <w:rStyle w:val="s1"/>
          <w:rFonts w:ascii="Arial" w:hAnsi="Arial" w:cs="Arial"/>
          <w:b w:val="0"/>
          <w:bCs w:val="0"/>
          <w:sz w:val="22"/>
          <w:szCs w:val="22"/>
        </w:rPr>
        <w:t>102</w:t>
      </w:r>
      <w:r>
        <w:rPr>
          <w:rStyle w:val="s1"/>
          <w:rFonts w:ascii="Arial" w:hAnsi="Arial" w:cs="Arial"/>
          <w:b w:val="0"/>
          <w:bCs w:val="0"/>
          <w:sz w:val="22"/>
          <w:szCs w:val="22"/>
        </w:rPr>
        <w:t>)</w:t>
      </w:r>
      <w:r w:rsidRPr="00D27D45">
        <w:rPr>
          <w:rStyle w:val="s1"/>
          <w:rFonts w:ascii="Arial" w:hAnsi="Arial" w:cs="Arial"/>
          <w:b w:val="0"/>
          <w:bCs w:val="0"/>
          <w:sz w:val="22"/>
          <w:szCs w:val="22"/>
        </w:rPr>
        <w:t>. Available at: https://doi.org/10.1186/s12966-025-01802-y</w:t>
      </w:r>
    </w:p>
    <w:p w14:paraId="010C577D"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Gréaux, M., Moro, M.F., Kamenov, K., Russell, A.M., Barrett, D. and Cieza, A. (2023) ‘Health equity for persons with disabilities: A global scoping review on barriers and interventions in healthcare services’, </w:t>
      </w:r>
      <w:r w:rsidRPr="00923249">
        <w:rPr>
          <w:rStyle w:val="s1"/>
          <w:rFonts w:ascii="Arial" w:hAnsi="Arial" w:cs="Arial"/>
          <w:b w:val="0"/>
          <w:bCs w:val="0"/>
          <w:i/>
          <w:iCs/>
          <w:sz w:val="22"/>
          <w:szCs w:val="22"/>
        </w:rPr>
        <w:t>International Journal for Equity in Health</w:t>
      </w:r>
      <w:r w:rsidRPr="00D27D45">
        <w:rPr>
          <w:rStyle w:val="s1"/>
          <w:rFonts w:ascii="Arial" w:hAnsi="Arial" w:cs="Arial"/>
          <w:b w:val="0"/>
          <w:bCs w:val="0"/>
          <w:sz w:val="22"/>
          <w:szCs w:val="22"/>
        </w:rPr>
        <w:t>, 22, 236. Available at: https://doi.org/10.1186/s12939-023-02035-w</w:t>
      </w:r>
    </w:p>
    <w:p w14:paraId="51850D2F"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Hopson, C., Owolabi, B. and Naqvi, H. (2024) </w:t>
      </w:r>
      <w:r w:rsidRPr="00923249">
        <w:rPr>
          <w:rStyle w:val="s1"/>
          <w:rFonts w:ascii="Arial" w:hAnsi="Arial" w:cs="Arial"/>
          <w:b w:val="0"/>
          <w:bCs w:val="0"/>
          <w:i/>
          <w:iCs/>
          <w:sz w:val="22"/>
          <w:szCs w:val="22"/>
        </w:rPr>
        <w:t>Annual report on NHS England’s work on healthcare inequalities and the NHS Race and Health Observatory</w:t>
      </w:r>
      <w:r w:rsidRPr="00D27D45">
        <w:rPr>
          <w:rStyle w:val="s1"/>
          <w:rFonts w:ascii="Arial" w:hAnsi="Arial" w:cs="Arial"/>
          <w:b w:val="0"/>
          <w:bCs w:val="0"/>
          <w:sz w:val="22"/>
          <w:szCs w:val="22"/>
        </w:rPr>
        <w:t>. Available at: https://www.england.nhs.uk/long-read/annual-report-on-nhs-englands-work-on-healthcare-inequalities-and-the-nhs-race-and-health-observatory-2/ (Accessed: 19 Ma</w:t>
      </w:r>
      <w:r>
        <w:rPr>
          <w:rStyle w:val="s1"/>
          <w:rFonts w:ascii="Arial" w:hAnsi="Arial" w:cs="Arial"/>
          <w:b w:val="0"/>
          <w:bCs w:val="0"/>
          <w:sz w:val="22"/>
          <w:szCs w:val="22"/>
        </w:rPr>
        <w:t xml:space="preserve">rch </w:t>
      </w:r>
      <w:r w:rsidRPr="00D27D45">
        <w:rPr>
          <w:rStyle w:val="s1"/>
          <w:rFonts w:ascii="Arial" w:hAnsi="Arial" w:cs="Arial"/>
          <w:b w:val="0"/>
          <w:bCs w:val="0"/>
          <w:sz w:val="22"/>
          <w:szCs w:val="22"/>
        </w:rPr>
        <w:t>202</w:t>
      </w:r>
      <w:r>
        <w:rPr>
          <w:rStyle w:val="s1"/>
          <w:rFonts w:ascii="Arial" w:hAnsi="Arial" w:cs="Arial"/>
          <w:b w:val="0"/>
          <w:bCs w:val="0"/>
          <w:sz w:val="22"/>
          <w:szCs w:val="22"/>
        </w:rPr>
        <w:t>6</w:t>
      </w:r>
      <w:r w:rsidRPr="00D27D45">
        <w:rPr>
          <w:rStyle w:val="s1"/>
          <w:rFonts w:ascii="Arial" w:hAnsi="Arial" w:cs="Arial"/>
          <w:b w:val="0"/>
          <w:bCs w:val="0"/>
          <w:sz w:val="22"/>
          <w:szCs w:val="22"/>
        </w:rPr>
        <w:t>).</w:t>
      </w:r>
    </w:p>
    <w:p w14:paraId="78579572"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Kumah, A. (2025) ‘Poor quality care in healthcare settings: An overlooked epidemic’, </w:t>
      </w:r>
      <w:r w:rsidRPr="00923249">
        <w:rPr>
          <w:rStyle w:val="s1"/>
          <w:rFonts w:ascii="Arial" w:hAnsi="Arial" w:cs="Arial"/>
          <w:b w:val="0"/>
          <w:bCs w:val="0"/>
          <w:i/>
          <w:iCs/>
          <w:sz w:val="22"/>
          <w:szCs w:val="22"/>
        </w:rPr>
        <w:t>Frontiers in Public Health</w:t>
      </w:r>
      <w:r w:rsidRPr="00D27D45">
        <w:rPr>
          <w:rStyle w:val="s1"/>
          <w:rFonts w:ascii="Arial" w:hAnsi="Arial" w:cs="Arial"/>
          <w:b w:val="0"/>
          <w:bCs w:val="0"/>
          <w:sz w:val="22"/>
          <w:szCs w:val="22"/>
        </w:rPr>
        <w:t>, 13. Available at: https://doi.org/10.3389/fpubh.2025.1504172</w:t>
      </w:r>
    </w:p>
    <w:p w14:paraId="530D25C2" w14:textId="77777777" w:rsidR="00923249" w:rsidRPr="00D27D45" w:rsidRDefault="00923249" w:rsidP="00923249">
      <w:pPr>
        <w:pStyle w:val="p1"/>
        <w:spacing w:line="360" w:lineRule="auto"/>
        <w:rPr>
          <w:rStyle w:val="s1"/>
          <w:rFonts w:ascii="Arial" w:hAnsi="Arial" w:cs="Arial"/>
          <w:b w:val="0"/>
          <w:bCs w:val="0"/>
          <w:sz w:val="22"/>
          <w:szCs w:val="22"/>
        </w:rPr>
      </w:pPr>
      <w:proofErr w:type="spellStart"/>
      <w:r w:rsidRPr="00D27D45">
        <w:rPr>
          <w:rStyle w:val="s1"/>
          <w:rFonts w:ascii="Arial" w:hAnsi="Arial" w:cs="Arial"/>
          <w:b w:val="0"/>
          <w:bCs w:val="0"/>
          <w:sz w:val="22"/>
          <w:szCs w:val="22"/>
        </w:rPr>
        <w:t>Lakioti</w:t>
      </w:r>
      <w:proofErr w:type="spellEnd"/>
      <w:r w:rsidRPr="00D27D45">
        <w:rPr>
          <w:rStyle w:val="s1"/>
          <w:rFonts w:ascii="Arial" w:hAnsi="Arial" w:cs="Arial"/>
          <w:b w:val="0"/>
          <w:bCs w:val="0"/>
          <w:sz w:val="22"/>
          <w:szCs w:val="22"/>
        </w:rPr>
        <w:t xml:space="preserve">, E., Pagonis, N., </w:t>
      </w:r>
      <w:proofErr w:type="spellStart"/>
      <w:r w:rsidRPr="00D27D45">
        <w:rPr>
          <w:rStyle w:val="s1"/>
          <w:rFonts w:ascii="Arial" w:hAnsi="Arial" w:cs="Arial"/>
          <w:b w:val="0"/>
          <w:bCs w:val="0"/>
          <w:sz w:val="22"/>
          <w:szCs w:val="22"/>
        </w:rPr>
        <w:t>Flegkas</w:t>
      </w:r>
      <w:proofErr w:type="spellEnd"/>
      <w:r w:rsidRPr="00D27D45">
        <w:rPr>
          <w:rStyle w:val="s1"/>
          <w:rFonts w:ascii="Arial" w:hAnsi="Arial" w:cs="Arial"/>
          <w:b w:val="0"/>
          <w:bCs w:val="0"/>
          <w:sz w:val="22"/>
          <w:szCs w:val="22"/>
        </w:rPr>
        <w:t xml:space="preserve">, D., Itziou, A., Moustakas, K. and </w:t>
      </w:r>
      <w:proofErr w:type="spellStart"/>
      <w:r w:rsidRPr="00D27D45">
        <w:rPr>
          <w:rStyle w:val="s1"/>
          <w:rFonts w:ascii="Arial" w:hAnsi="Arial" w:cs="Arial"/>
          <w:b w:val="0"/>
          <w:bCs w:val="0"/>
          <w:sz w:val="22"/>
          <w:szCs w:val="22"/>
        </w:rPr>
        <w:t>Karayannis</w:t>
      </w:r>
      <w:proofErr w:type="spellEnd"/>
      <w:r w:rsidRPr="00D27D45">
        <w:rPr>
          <w:rStyle w:val="s1"/>
          <w:rFonts w:ascii="Arial" w:hAnsi="Arial" w:cs="Arial"/>
          <w:b w:val="0"/>
          <w:bCs w:val="0"/>
          <w:sz w:val="22"/>
          <w:szCs w:val="22"/>
        </w:rPr>
        <w:t xml:space="preserve">, V. (2025) ‘Social factors and policies promoting good health and well-being as a sustainable development goal: Current achievements and future pathways’, </w:t>
      </w:r>
      <w:r w:rsidRPr="00D27D45">
        <w:rPr>
          <w:rStyle w:val="s1"/>
          <w:rFonts w:ascii="Arial" w:hAnsi="Arial" w:cs="Arial"/>
          <w:b w:val="0"/>
          <w:bCs w:val="0"/>
          <w:i/>
          <w:iCs/>
          <w:sz w:val="22"/>
          <w:szCs w:val="22"/>
        </w:rPr>
        <w:t>Sustainability</w:t>
      </w:r>
      <w:r w:rsidRPr="00D27D45">
        <w:rPr>
          <w:rStyle w:val="s1"/>
          <w:rFonts w:ascii="Arial" w:hAnsi="Arial" w:cs="Arial"/>
          <w:b w:val="0"/>
          <w:bCs w:val="0"/>
          <w:sz w:val="22"/>
          <w:szCs w:val="22"/>
        </w:rPr>
        <w:t xml:space="preserve">, 17(11). Available at: https://doi.org/10.3390/su17115063 </w:t>
      </w:r>
    </w:p>
    <w:p w14:paraId="3A6E5A52"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Lazo-Porras, M. and </w:t>
      </w:r>
      <w:proofErr w:type="spellStart"/>
      <w:r w:rsidRPr="00D27D45">
        <w:rPr>
          <w:rStyle w:val="s1"/>
          <w:rFonts w:ascii="Arial" w:hAnsi="Arial" w:cs="Arial"/>
          <w:b w:val="0"/>
          <w:bCs w:val="0"/>
          <w:sz w:val="22"/>
          <w:szCs w:val="22"/>
        </w:rPr>
        <w:t>Penniecook</w:t>
      </w:r>
      <w:proofErr w:type="spellEnd"/>
      <w:r w:rsidRPr="00D27D45">
        <w:rPr>
          <w:rStyle w:val="s1"/>
          <w:rFonts w:ascii="Arial" w:hAnsi="Arial" w:cs="Arial"/>
          <w:b w:val="0"/>
          <w:bCs w:val="0"/>
          <w:sz w:val="22"/>
          <w:szCs w:val="22"/>
        </w:rPr>
        <w:t xml:space="preserve">, T. (2023) ‘Health equity: Access to quality services and caring for underserved populations’, </w:t>
      </w:r>
      <w:r w:rsidRPr="00923249">
        <w:rPr>
          <w:rStyle w:val="s1"/>
          <w:rFonts w:ascii="Arial" w:hAnsi="Arial" w:cs="Arial"/>
          <w:b w:val="0"/>
          <w:bCs w:val="0"/>
          <w:i/>
          <w:iCs/>
          <w:sz w:val="22"/>
          <w:szCs w:val="22"/>
        </w:rPr>
        <w:t>Health Policy and Planning</w:t>
      </w:r>
      <w:r w:rsidRPr="00D27D45">
        <w:rPr>
          <w:rStyle w:val="s1"/>
          <w:rFonts w:ascii="Arial" w:hAnsi="Arial" w:cs="Arial"/>
          <w:b w:val="0"/>
          <w:bCs w:val="0"/>
          <w:sz w:val="22"/>
          <w:szCs w:val="22"/>
        </w:rPr>
        <w:t>, 38(</w:t>
      </w:r>
      <w:proofErr w:type="spellStart"/>
      <w:r w:rsidRPr="00D27D45">
        <w:rPr>
          <w:rStyle w:val="s1"/>
          <w:rFonts w:ascii="Arial" w:hAnsi="Arial" w:cs="Arial"/>
          <w:b w:val="0"/>
          <w:bCs w:val="0"/>
          <w:sz w:val="22"/>
          <w:szCs w:val="22"/>
        </w:rPr>
        <w:t>Suppl</w:t>
      </w:r>
      <w:proofErr w:type="spellEnd"/>
      <w:r w:rsidRPr="00D27D45">
        <w:rPr>
          <w:rStyle w:val="s1"/>
          <w:rFonts w:ascii="Arial" w:hAnsi="Arial" w:cs="Arial"/>
          <w:b w:val="0"/>
          <w:bCs w:val="0"/>
          <w:sz w:val="22"/>
          <w:szCs w:val="22"/>
        </w:rPr>
        <w:t xml:space="preserve"> 2), ii1–ii2. Available at: https://doi.org/10.1093/heapol/czad073</w:t>
      </w:r>
    </w:p>
    <w:p w14:paraId="368BC346"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Local Government Association (2025) </w:t>
      </w:r>
      <w:r w:rsidRPr="00D27D45">
        <w:rPr>
          <w:rStyle w:val="s1"/>
          <w:rFonts w:ascii="Arial" w:hAnsi="Arial" w:cs="Arial"/>
          <w:b w:val="0"/>
          <w:bCs w:val="0"/>
          <w:i/>
          <w:iCs/>
          <w:sz w:val="22"/>
          <w:szCs w:val="22"/>
        </w:rPr>
        <w:t>Health inequalities - Breast cancer screening rates in Dudley and Netherton PCN</w:t>
      </w:r>
      <w:r w:rsidRPr="00D27D45">
        <w:rPr>
          <w:rStyle w:val="s1"/>
          <w:rFonts w:ascii="Arial" w:hAnsi="Arial" w:cs="Arial"/>
          <w:b w:val="0"/>
          <w:bCs w:val="0"/>
          <w:sz w:val="22"/>
          <w:szCs w:val="22"/>
        </w:rPr>
        <w:t>. Available at: https://www.local.gov.uk/case-studies/health-inequalities-breast-cancer-screening-rates-dudley-and-netherton-pcn (Accessed:</w:t>
      </w:r>
      <w:r>
        <w:rPr>
          <w:rStyle w:val="s1"/>
          <w:rFonts w:ascii="Arial" w:hAnsi="Arial" w:cs="Arial"/>
          <w:b w:val="0"/>
          <w:bCs w:val="0"/>
          <w:sz w:val="22"/>
          <w:szCs w:val="22"/>
        </w:rPr>
        <w:t xml:space="preserve"> 22 March 2026</w:t>
      </w:r>
      <w:r w:rsidRPr="00D27D45">
        <w:rPr>
          <w:rStyle w:val="s1"/>
          <w:rFonts w:ascii="Arial" w:hAnsi="Arial" w:cs="Arial"/>
          <w:b w:val="0"/>
          <w:bCs w:val="0"/>
          <w:sz w:val="22"/>
          <w:szCs w:val="22"/>
        </w:rPr>
        <w:t>).</w:t>
      </w:r>
    </w:p>
    <w:p w14:paraId="2ACF12D9"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Local Government Association (2026) </w:t>
      </w:r>
      <w:r w:rsidRPr="00D27D45">
        <w:rPr>
          <w:rStyle w:val="s1"/>
          <w:rFonts w:ascii="Arial" w:hAnsi="Arial" w:cs="Arial"/>
          <w:b w:val="0"/>
          <w:bCs w:val="0"/>
          <w:i/>
          <w:iCs/>
          <w:sz w:val="22"/>
          <w:szCs w:val="22"/>
        </w:rPr>
        <w:t>Strengthening community provision for people with long-term conditions</w:t>
      </w:r>
      <w:r w:rsidRPr="00D27D45">
        <w:rPr>
          <w:rStyle w:val="s1"/>
          <w:rFonts w:ascii="Arial" w:hAnsi="Arial" w:cs="Arial"/>
          <w:b w:val="0"/>
          <w:bCs w:val="0"/>
          <w:sz w:val="22"/>
          <w:szCs w:val="22"/>
        </w:rPr>
        <w:t xml:space="preserve">. Available at: https://www.local.gov.uk/case-studies/strengthening-community-provision-people-long-term-conditions (Accessed: </w:t>
      </w:r>
      <w:r>
        <w:rPr>
          <w:rStyle w:val="s1"/>
          <w:rFonts w:ascii="Arial" w:hAnsi="Arial" w:cs="Arial"/>
          <w:b w:val="0"/>
          <w:bCs w:val="0"/>
          <w:sz w:val="22"/>
          <w:szCs w:val="22"/>
        </w:rPr>
        <w:t>22 March 2026</w:t>
      </w:r>
      <w:r w:rsidRPr="00D27D45">
        <w:rPr>
          <w:rStyle w:val="s1"/>
          <w:rFonts w:ascii="Arial" w:hAnsi="Arial" w:cs="Arial"/>
          <w:b w:val="0"/>
          <w:bCs w:val="0"/>
          <w:sz w:val="22"/>
          <w:szCs w:val="22"/>
        </w:rPr>
        <w:t>).</w:t>
      </w:r>
    </w:p>
    <w:p w14:paraId="6512CE12"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NHS England (2024) </w:t>
      </w:r>
      <w:r w:rsidRPr="00923249">
        <w:rPr>
          <w:rStyle w:val="s1"/>
          <w:rFonts w:ascii="Arial" w:hAnsi="Arial" w:cs="Arial"/>
          <w:b w:val="0"/>
          <w:bCs w:val="0"/>
          <w:i/>
          <w:iCs/>
          <w:sz w:val="22"/>
          <w:szCs w:val="22"/>
        </w:rPr>
        <w:t>Annual report on NHS England’s work on healthcare inequalities and the NHS Race and Health Observatory</w:t>
      </w:r>
      <w:r w:rsidRPr="00D27D45">
        <w:rPr>
          <w:rStyle w:val="s1"/>
          <w:rFonts w:ascii="Arial" w:hAnsi="Arial" w:cs="Arial"/>
          <w:b w:val="0"/>
          <w:bCs w:val="0"/>
          <w:sz w:val="22"/>
          <w:szCs w:val="22"/>
        </w:rPr>
        <w:t>. Available at: https://www.england.nhs.uk/long-read/annual-report-on-nhs-englands-work-on-healthcare-inequalities-and-the-nhs-race-and-health-observatory-2/ (Accessed: 19 Ma</w:t>
      </w:r>
      <w:r>
        <w:rPr>
          <w:rStyle w:val="s1"/>
          <w:rFonts w:ascii="Arial" w:hAnsi="Arial" w:cs="Arial"/>
          <w:b w:val="0"/>
          <w:bCs w:val="0"/>
          <w:sz w:val="22"/>
          <w:szCs w:val="22"/>
        </w:rPr>
        <w:t>rch</w:t>
      </w:r>
      <w:r w:rsidRPr="00D27D45">
        <w:rPr>
          <w:rStyle w:val="s1"/>
          <w:rFonts w:ascii="Arial" w:hAnsi="Arial" w:cs="Arial"/>
          <w:b w:val="0"/>
          <w:bCs w:val="0"/>
          <w:sz w:val="22"/>
          <w:szCs w:val="22"/>
        </w:rPr>
        <w:t xml:space="preserve"> 202</w:t>
      </w:r>
      <w:r>
        <w:rPr>
          <w:rStyle w:val="s1"/>
          <w:rFonts w:ascii="Arial" w:hAnsi="Arial" w:cs="Arial"/>
          <w:b w:val="0"/>
          <w:bCs w:val="0"/>
          <w:sz w:val="22"/>
          <w:szCs w:val="22"/>
        </w:rPr>
        <w:t>6</w:t>
      </w:r>
      <w:r w:rsidRPr="00D27D45">
        <w:rPr>
          <w:rStyle w:val="s1"/>
          <w:rFonts w:ascii="Arial" w:hAnsi="Arial" w:cs="Arial"/>
          <w:b w:val="0"/>
          <w:bCs w:val="0"/>
          <w:sz w:val="22"/>
          <w:szCs w:val="22"/>
        </w:rPr>
        <w:t>).</w:t>
      </w:r>
    </w:p>
    <w:p w14:paraId="1D786E12"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NHS England (2026</w:t>
      </w:r>
      <w:r>
        <w:rPr>
          <w:rStyle w:val="s1"/>
          <w:rFonts w:ascii="Arial" w:hAnsi="Arial" w:cs="Arial"/>
          <w:b w:val="0"/>
          <w:bCs w:val="0"/>
          <w:sz w:val="22"/>
          <w:szCs w:val="22"/>
        </w:rPr>
        <w:t>a</w:t>
      </w:r>
      <w:r w:rsidRPr="00D27D45">
        <w:rPr>
          <w:rStyle w:val="s1"/>
          <w:rFonts w:ascii="Arial" w:hAnsi="Arial" w:cs="Arial"/>
          <w:b w:val="0"/>
          <w:bCs w:val="0"/>
          <w:sz w:val="22"/>
          <w:szCs w:val="22"/>
        </w:rPr>
        <w:t>) NHS Diabetes Prevention Programme. Available at: https://www.england.nhs.uk/diabetes/diabetes-prevention/ (Accessed: 19 Ma</w:t>
      </w:r>
      <w:r>
        <w:rPr>
          <w:rStyle w:val="s1"/>
          <w:rFonts w:ascii="Arial" w:hAnsi="Arial" w:cs="Arial"/>
          <w:b w:val="0"/>
          <w:bCs w:val="0"/>
          <w:sz w:val="22"/>
          <w:szCs w:val="22"/>
        </w:rPr>
        <w:t>rch</w:t>
      </w:r>
      <w:r w:rsidRPr="00D27D45">
        <w:rPr>
          <w:rStyle w:val="s1"/>
          <w:rFonts w:ascii="Arial" w:hAnsi="Arial" w:cs="Arial"/>
          <w:b w:val="0"/>
          <w:bCs w:val="0"/>
          <w:sz w:val="22"/>
          <w:szCs w:val="22"/>
        </w:rPr>
        <w:t xml:space="preserve"> 202</w:t>
      </w:r>
      <w:r>
        <w:rPr>
          <w:rStyle w:val="s1"/>
          <w:rFonts w:ascii="Arial" w:hAnsi="Arial" w:cs="Arial"/>
          <w:b w:val="0"/>
          <w:bCs w:val="0"/>
          <w:sz w:val="22"/>
          <w:szCs w:val="22"/>
        </w:rPr>
        <w:t>6</w:t>
      </w:r>
      <w:r w:rsidRPr="00D27D45">
        <w:rPr>
          <w:rStyle w:val="s1"/>
          <w:rFonts w:ascii="Arial" w:hAnsi="Arial" w:cs="Arial"/>
          <w:b w:val="0"/>
          <w:bCs w:val="0"/>
          <w:sz w:val="22"/>
          <w:szCs w:val="22"/>
        </w:rPr>
        <w:t xml:space="preserve">).  </w:t>
      </w:r>
    </w:p>
    <w:p w14:paraId="302360BD"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lastRenderedPageBreak/>
        <w:t>NHS England (2026</w:t>
      </w:r>
      <w:r>
        <w:rPr>
          <w:rStyle w:val="s1"/>
          <w:rFonts w:ascii="Arial" w:hAnsi="Arial" w:cs="Arial"/>
          <w:b w:val="0"/>
          <w:bCs w:val="0"/>
          <w:sz w:val="22"/>
          <w:szCs w:val="22"/>
        </w:rPr>
        <w:t>b</w:t>
      </w:r>
      <w:r w:rsidRPr="00D27D45">
        <w:rPr>
          <w:rStyle w:val="s1"/>
          <w:rFonts w:ascii="Arial" w:hAnsi="Arial" w:cs="Arial"/>
          <w:b w:val="0"/>
          <w:bCs w:val="0"/>
          <w:sz w:val="22"/>
          <w:szCs w:val="22"/>
        </w:rPr>
        <w:t xml:space="preserve">) </w:t>
      </w:r>
      <w:r w:rsidRPr="00923249">
        <w:rPr>
          <w:rStyle w:val="s1"/>
          <w:rFonts w:ascii="Arial" w:hAnsi="Arial" w:cs="Arial"/>
          <w:b w:val="0"/>
          <w:bCs w:val="0"/>
          <w:i/>
          <w:iCs/>
          <w:sz w:val="22"/>
          <w:szCs w:val="22"/>
        </w:rPr>
        <w:t>Core20PLUS5 (adults) – an approach to reducing healthcare inequalities</w:t>
      </w:r>
      <w:r w:rsidRPr="00D27D45">
        <w:rPr>
          <w:rStyle w:val="s1"/>
          <w:rFonts w:ascii="Arial" w:hAnsi="Arial" w:cs="Arial"/>
          <w:b w:val="0"/>
          <w:bCs w:val="0"/>
          <w:sz w:val="22"/>
          <w:szCs w:val="22"/>
        </w:rPr>
        <w:t>. Available at: https://www.england.nhs.uk/about/equality/equality-hub/national-healthcare-inequalities-improvement-programme/core20plus5/ (Accessed: 19 Ma</w:t>
      </w:r>
      <w:r>
        <w:rPr>
          <w:rStyle w:val="s1"/>
          <w:rFonts w:ascii="Arial" w:hAnsi="Arial" w:cs="Arial"/>
          <w:b w:val="0"/>
          <w:bCs w:val="0"/>
          <w:sz w:val="22"/>
          <w:szCs w:val="22"/>
        </w:rPr>
        <w:t>rch</w:t>
      </w:r>
      <w:r w:rsidRPr="00D27D45">
        <w:rPr>
          <w:rStyle w:val="s1"/>
          <w:rFonts w:ascii="Arial" w:hAnsi="Arial" w:cs="Arial"/>
          <w:b w:val="0"/>
          <w:bCs w:val="0"/>
          <w:sz w:val="22"/>
          <w:szCs w:val="22"/>
        </w:rPr>
        <w:t xml:space="preserve"> 202</w:t>
      </w:r>
      <w:r>
        <w:rPr>
          <w:rStyle w:val="s1"/>
          <w:rFonts w:ascii="Arial" w:hAnsi="Arial" w:cs="Arial"/>
          <w:b w:val="0"/>
          <w:bCs w:val="0"/>
          <w:sz w:val="22"/>
          <w:szCs w:val="22"/>
        </w:rPr>
        <w:t>6</w:t>
      </w:r>
      <w:r w:rsidRPr="00D27D45">
        <w:rPr>
          <w:rStyle w:val="s1"/>
          <w:rFonts w:ascii="Arial" w:hAnsi="Arial" w:cs="Arial"/>
          <w:b w:val="0"/>
          <w:bCs w:val="0"/>
          <w:sz w:val="22"/>
          <w:szCs w:val="22"/>
        </w:rPr>
        <w:t xml:space="preserve">).  </w:t>
      </w:r>
    </w:p>
    <w:p w14:paraId="5842EEFA"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Public Health England (2018) </w:t>
      </w:r>
      <w:r w:rsidRPr="00D27D45">
        <w:rPr>
          <w:rStyle w:val="s1"/>
          <w:rFonts w:ascii="Arial" w:hAnsi="Arial" w:cs="Arial"/>
          <w:b w:val="0"/>
          <w:bCs w:val="0"/>
          <w:i/>
          <w:iCs/>
          <w:sz w:val="22"/>
          <w:szCs w:val="22"/>
        </w:rPr>
        <w:t>Chapter 6: Wider determinants of health, Health profile for England: 2018</w:t>
      </w:r>
      <w:r w:rsidRPr="00D27D45">
        <w:rPr>
          <w:rStyle w:val="s1"/>
          <w:rFonts w:ascii="Arial" w:hAnsi="Arial" w:cs="Arial"/>
          <w:b w:val="0"/>
          <w:bCs w:val="0"/>
          <w:sz w:val="22"/>
          <w:szCs w:val="22"/>
        </w:rPr>
        <w:t xml:space="preserve">. Available at: https://www.gov.uk/government/publications/health-profile-for-england-2018/chapter-6-wider-determinants-of-health (Accessed: </w:t>
      </w:r>
      <w:r>
        <w:rPr>
          <w:rStyle w:val="s1"/>
          <w:rFonts w:ascii="Arial" w:hAnsi="Arial" w:cs="Arial"/>
          <w:b w:val="0"/>
          <w:bCs w:val="0"/>
          <w:sz w:val="22"/>
          <w:szCs w:val="22"/>
        </w:rPr>
        <w:t>22 March 2026</w:t>
      </w:r>
      <w:r w:rsidRPr="00D27D45">
        <w:rPr>
          <w:rStyle w:val="s1"/>
          <w:rFonts w:ascii="Arial" w:hAnsi="Arial" w:cs="Arial"/>
          <w:b w:val="0"/>
          <w:bCs w:val="0"/>
          <w:sz w:val="22"/>
          <w:szCs w:val="22"/>
        </w:rPr>
        <w:t>).</w:t>
      </w:r>
    </w:p>
    <w:p w14:paraId="1AD6CF21"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Reeves, D., Ablitt Woodham, A., French, D., Bower, P., Holland, F., </w:t>
      </w:r>
      <w:proofErr w:type="spellStart"/>
      <w:r w:rsidRPr="00D27D45">
        <w:rPr>
          <w:rStyle w:val="s1"/>
          <w:rFonts w:ascii="Arial" w:hAnsi="Arial" w:cs="Arial"/>
          <w:b w:val="0"/>
          <w:bCs w:val="0"/>
          <w:sz w:val="22"/>
          <w:szCs w:val="22"/>
        </w:rPr>
        <w:t>Kontopantelis</w:t>
      </w:r>
      <w:proofErr w:type="spellEnd"/>
      <w:r w:rsidRPr="00D27D45">
        <w:rPr>
          <w:rStyle w:val="s1"/>
          <w:rFonts w:ascii="Arial" w:hAnsi="Arial" w:cs="Arial"/>
          <w:b w:val="0"/>
          <w:bCs w:val="0"/>
          <w:sz w:val="22"/>
          <w:szCs w:val="22"/>
        </w:rPr>
        <w:t xml:space="preserve">, E. and Cotterill, S. (2023) ‘The influence of demographic, health and psychosocial factors on patient uptake of the English NHS Diabetes Prevention Programme’, </w:t>
      </w:r>
      <w:r w:rsidRPr="00923249">
        <w:rPr>
          <w:rStyle w:val="s1"/>
          <w:rFonts w:ascii="Arial" w:hAnsi="Arial" w:cs="Arial"/>
          <w:b w:val="0"/>
          <w:bCs w:val="0"/>
          <w:i/>
          <w:iCs/>
          <w:sz w:val="22"/>
          <w:szCs w:val="22"/>
        </w:rPr>
        <w:t>BMC Health Services Research</w:t>
      </w:r>
      <w:r w:rsidRPr="00D27D45">
        <w:rPr>
          <w:rStyle w:val="s1"/>
          <w:rFonts w:ascii="Arial" w:hAnsi="Arial" w:cs="Arial"/>
          <w:b w:val="0"/>
          <w:bCs w:val="0"/>
          <w:sz w:val="22"/>
          <w:szCs w:val="22"/>
        </w:rPr>
        <w:t>, 23. Available at: https://doi.org/10.1186/s12913-023-09195-z</w:t>
      </w:r>
    </w:p>
    <w:p w14:paraId="3DD4E474"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Scott, E.C.S. and Hoskin, P.J. (2024) ‘Health inequalities in cancer care: A literature review of pathways to diagnosis in the United Kingdom’, </w:t>
      </w:r>
      <w:r w:rsidRPr="00923249">
        <w:rPr>
          <w:rStyle w:val="s1"/>
          <w:rFonts w:ascii="Arial" w:hAnsi="Arial" w:cs="Arial"/>
          <w:b w:val="0"/>
          <w:bCs w:val="0"/>
          <w:i/>
          <w:iCs/>
          <w:sz w:val="22"/>
          <w:szCs w:val="22"/>
        </w:rPr>
        <w:t xml:space="preserve">eClinicalMedicine, </w:t>
      </w:r>
      <w:r w:rsidRPr="00D27D45">
        <w:rPr>
          <w:rStyle w:val="s1"/>
          <w:rFonts w:ascii="Arial" w:hAnsi="Arial" w:cs="Arial"/>
          <w:b w:val="0"/>
          <w:bCs w:val="0"/>
          <w:sz w:val="22"/>
          <w:szCs w:val="22"/>
        </w:rPr>
        <w:t>76. Available at: https://doi.org/10.1016/j.eclinm.2024.102864</w:t>
      </w:r>
    </w:p>
    <w:p w14:paraId="2B4D0A36"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Singh, S., Bawa, J., Singh, B. and Bika, S.L. (2022) ‘</w:t>
      </w:r>
      <w:proofErr w:type="spellStart"/>
      <w:r w:rsidRPr="00D27D45">
        <w:rPr>
          <w:rStyle w:val="s1"/>
          <w:rFonts w:ascii="Arial" w:hAnsi="Arial" w:cs="Arial"/>
          <w:b w:val="0"/>
          <w:bCs w:val="0"/>
          <w:sz w:val="22"/>
          <w:szCs w:val="22"/>
        </w:rPr>
        <w:t>Analyzing</w:t>
      </w:r>
      <w:proofErr w:type="spellEnd"/>
      <w:r w:rsidRPr="00D27D45">
        <w:rPr>
          <w:rStyle w:val="s1"/>
          <w:rFonts w:ascii="Arial" w:hAnsi="Arial" w:cs="Arial"/>
          <w:b w:val="0"/>
          <w:bCs w:val="0"/>
          <w:sz w:val="22"/>
          <w:szCs w:val="22"/>
        </w:rPr>
        <w:t xml:space="preserve"> GAVI the Vaccine Alliance as a global health partnership model: A constructivist analysis of the global health crisis’, Global Health Review, 15(3). Available at: https://doi.org/10.1177/09763996221116283 </w:t>
      </w:r>
    </w:p>
    <w:p w14:paraId="458D8BD0"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Slade, E., </w:t>
      </w:r>
      <w:proofErr w:type="spellStart"/>
      <w:r w:rsidRPr="00D27D45">
        <w:rPr>
          <w:rStyle w:val="s1"/>
          <w:rFonts w:ascii="Arial" w:hAnsi="Arial" w:cs="Arial"/>
          <w:b w:val="0"/>
          <w:bCs w:val="0"/>
          <w:sz w:val="22"/>
          <w:szCs w:val="22"/>
        </w:rPr>
        <w:t>Luckham</w:t>
      </w:r>
      <w:proofErr w:type="spellEnd"/>
      <w:r w:rsidRPr="00D27D45">
        <w:rPr>
          <w:rStyle w:val="s1"/>
          <w:rFonts w:ascii="Arial" w:hAnsi="Arial" w:cs="Arial"/>
          <w:b w:val="0"/>
          <w:bCs w:val="0"/>
          <w:sz w:val="22"/>
          <w:szCs w:val="22"/>
        </w:rPr>
        <w:t xml:space="preserve">, K., Heath, A. and Owen, L. (2024) ‘Health inequalities in breast cancer in England: A pragmatic review to inform National Institute for Care and Excellence (NICE) recommendations’, </w:t>
      </w:r>
      <w:r w:rsidRPr="00923249">
        <w:rPr>
          <w:rStyle w:val="s1"/>
          <w:rFonts w:ascii="Arial" w:hAnsi="Arial" w:cs="Arial"/>
          <w:b w:val="0"/>
          <w:bCs w:val="0"/>
          <w:i/>
          <w:iCs/>
          <w:sz w:val="22"/>
          <w:szCs w:val="22"/>
        </w:rPr>
        <w:t>Cancer Control</w:t>
      </w:r>
      <w:r w:rsidRPr="00D27D45">
        <w:rPr>
          <w:rStyle w:val="s1"/>
          <w:rFonts w:ascii="Arial" w:hAnsi="Arial" w:cs="Arial"/>
          <w:b w:val="0"/>
          <w:bCs w:val="0"/>
          <w:sz w:val="22"/>
          <w:szCs w:val="22"/>
        </w:rPr>
        <w:t>, 31. Available at: https://doi.org/10.1177/10732748241293976</w:t>
      </w:r>
    </w:p>
    <w:p w14:paraId="62398E5D"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Taflinger, S. and Sattler, S. (2024) ‘A situational test of the health belief model: How perceived susceptibility mediates the effects of the environment on </w:t>
      </w:r>
      <w:proofErr w:type="spellStart"/>
      <w:r w:rsidRPr="00D27D45">
        <w:rPr>
          <w:rStyle w:val="s1"/>
          <w:rFonts w:ascii="Arial" w:hAnsi="Arial" w:cs="Arial"/>
          <w:b w:val="0"/>
          <w:bCs w:val="0"/>
          <w:sz w:val="22"/>
          <w:szCs w:val="22"/>
        </w:rPr>
        <w:t>behavioral</w:t>
      </w:r>
      <w:proofErr w:type="spellEnd"/>
      <w:r w:rsidRPr="00D27D45">
        <w:rPr>
          <w:rStyle w:val="s1"/>
          <w:rFonts w:ascii="Arial" w:hAnsi="Arial" w:cs="Arial"/>
          <w:b w:val="0"/>
          <w:bCs w:val="0"/>
          <w:sz w:val="22"/>
          <w:szCs w:val="22"/>
        </w:rPr>
        <w:t xml:space="preserve"> intentions’, </w:t>
      </w:r>
      <w:r w:rsidRPr="00923249">
        <w:rPr>
          <w:rStyle w:val="s1"/>
          <w:rFonts w:ascii="Arial" w:hAnsi="Arial" w:cs="Arial"/>
          <w:b w:val="0"/>
          <w:bCs w:val="0"/>
          <w:i/>
          <w:iCs/>
          <w:sz w:val="22"/>
          <w:szCs w:val="22"/>
        </w:rPr>
        <w:t>Social Science &amp; Medicine</w:t>
      </w:r>
      <w:r w:rsidRPr="00D27D45">
        <w:rPr>
          <w:rStyle w:val="s1"/>
          <w:rFonts w:ascii="Arial" w:hAnsi="Arial" w:cs="Arial"/>
          <w:b w:val="0"/>
          <w:bCs w:val="0"/>
          <w:sz w:val="22"/>
          <w:szCs w:val="22"/>
        </w:rPr>
        <w:t>, 346. Available at: https://doi.org/10.1016/j.socscimed.2024.116715</w:t>
      </w:r>
    </w:p>
    <w:p w14:paraId="551783E3"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UK Government (2025) </w:t>
      </w:r>
      <w:r w:rsidRPr="00923249">
        <w:rPr>
          <w:rStyle w:val="s1"/>
          <w:rFonts w:ascii="Arial" w:hAnsi="Arial" w:cs="Arial"/>
          <w:b w:val="0"/>
          <w:bCs w:val="0"/>
          <w:i/>
          <w:iCs/>
          <w:sz w:val="22"/>
          <w:szCs w:val="22"/>
        </w:rPr>
        <w:t>The lived experience of disabled people in the UK: A review of evidence</w:t>
      </w:r>
      <w:r w:rsidRPr="00D27D45">
        <w:rPr>
          <w:rStyle w:val="s1"/>
          <w:rFonts w:ascii="Arial" w:hAnsi="Arial" w:cs="Arial"/>
          <w:b w:val="0"/>
          <w:bCs w:val="0"/>
          <w:sz w:val="22"/>
          <w:szCs w:val="22"/>
        </w:rPr>
        <w:t>. Available at: https://www.gov.uk/government/publications/the-lived-experience-of-disabled-people-in-the-uk-a-review-of-evidence/the-lived-experience-of-disabled-people-in-the-uk-a-review-of-evidence (Accessed: 19 Ma</w:t>
      </w:r>
      <w:r>
        <w:rPr>
          <w:rStyle w:val="s1"/>
          <w:rFonts w:ascii="Arial" w:hAnsi="Arial" w:cs="Arial"/>
          <w:b w:val="0"/>
          <w:bCs w:val="0"/>
          <w:sz w:val="22"/>
          <w:szCs w:val="22"/>
        </w:rPr>
        <w:t>rch</w:t>
      </w:r>
      <w:r w:rsidRPr="00D27D45">
        <w:rPr>
          <w:rStyle w:val="s1"/>
          <w:rFonts w:ascii="Arial" w:hAnsi="Arial" w:cs="Arial"/>
          <w:b w:val="0"/>
          <w:bCs w:val="0"/>
          <w:sz w:val="22"/>
          <w:szCs w:val="22"/>
        </w:rPr>
        <w:t xml:space="preserve"> 202</w:t>
      </w:r>
      <w:r>
        <w:rPr>
          <w:rStyle w:val="s1"/>
          <w:rFonts w:ascii="Arial" w:hAnsi="Arial" w:cs="Arial"/>
          <w:b w:val="0"/>
          <w:bCs w:val="0"/>
          <w:sz w:val="22"/>
          <w:szCs w:val="22"/>
        </w:rPr>
        <w:t>6</w:t>
      </w:r>
      <w:r w:rsidRPr="00D27D45">
        <w:rPr>
          <w:rStyle w:val="s1"/>
          <w:rFonts w:ascii="Arial" w:hAnsi="Arial" w:cs="Arial"/>
          <w:b w:val="0"/>
          <w:bCs w:val="0"/>
          <w:sz w:val="22"/>
          <w:szCs w:val="22"/>
        </w:rPr>
        <w:t>).</w:t>
      </w:r>
    </w:p>
    <w:p w14:paraId="022B9035"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UK Government (2025b) </w:t>
      </w:r>
      <w:r w:rsidRPr="00923249">
        <w:rPr>
          <w:rStyle w:val="s1"/>
          <w:rFonts w:ascii="Arial" w:hAnsi="Arial" w:cs="Arial"/>
          <w:b w:val="0"/>
          <w:bCs w:val="0"/>
          <w:i/>
          <w:iCs/>
          <w:sz w:val="22"/>
          <w:szCs w:val="22"/>
        </w:rPr>
        <w:t>Health inequalities in health protection report 2025</w:t>
      </w:r>
      <w:r w:rsidRPr="00D27D45">
        <w:rPr>
          <w:rStyle w:val="s1"/>
          <w:rFonts w:ascii="Arial" w:hAnsi="Arial" w:cs="Arial"/>
          <w:b w:val="0"/>
          <w:bCs w:val="0"/>
          <w:sz w:val="22"/>
          <w:szCs w:val="22"/>
        </w:rPr>
        <w:t>. Available at: https://www.gov.uk/government/publications/health-inequalities-in-health-protection-report/health-inequalities-in-health-protection-report-2025 (Accessed: 19 Ma</w:t>
      </w:r>
      <w:r>
        <w:rPr>
          <w:rStyle w:val="s1"/>
          <w:rFonts w:ascii="Arial" w:hAnsi="Arial" w:cs="Arial"/>
          <w:b w:val="0"/>
          <w:bCs w:val="0"/>
          <w:sz w:val="22"/>
          <w:szCs w:val="22"/>
        </w:rPr>
        <w:t>rch</w:t>
      </w:r>
      <w:r w:rsidRPr="00D27D45">
        <w:rPr>
          <w:rStyle w:val="s1"/>
          <w:rFonts w:ascii="Arial" w:hAnsi="Arial" w:cs="Arial"/>
          <w:b w:val="0"/>
          <w:bCs w:val="0"/>
          <w:sz w:val="22"/>
          <w:szCs w:val="22"/>
        </w:rPr>
        <w:t xml:space="preserve"> 202</w:t>
      </w:r>
      <w:r>
        <w:rPr>
          <w:rStyle w:val="s1"/>
          <w:rFonts w:ascii="Arial" w:hAnsi="Arial" w:cs="Arial"/>
          <w:b w:val="0"/>
          <w:bCs w:val="0"/>
          <w:sz w:val="22"/>
          <w:szCs w:val="22"/>
        </w:rPr>
        <w:t>6</w:t>
      </w:r>
      <w:r w:rsidRPr="00D27D45">
        <w:rPr>
          <w:rStyle w:val="s1"/>
          <w:rFonts w:ascii="Arial" w:hAnsi="Arial" w:cs="Arial"/>
          <w:b w:val="0"/>
          <w:bCs w:val="0"/>
          <w:sz w:val="22"/>
          <w:szCs w:val="22"/>
        </w:rPr>
        <w:t>).</w:t>
      </w:r>
    </w:p>
    <w:p w14:paraId="5C47F494"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Watkinson, R., McManus, E., Meacock, R. and Sutton, M. (2024) ‘Age</w:t>
      </w:r>
      <w:r w:rsidRPr="00D27D45">
        <w:rPr>
          <w:rStyle w:val="s1"/>
          <w:rFonts w:ascii="Cambria Math" w:hAnsi="Cambria Math" w:cs="Cambria Math"/>
          <w:b w:val="0"/>
          <w:bCs w:val="0"/>
          <w:sz w:val="22"/>
          <w:szCs w:val="22"/>
        </w:rPr>
        <w:t>‑</w:t>
      </w:r>
      <w:r w:rsidRPr="00D27D45">
        <w:rPr>
          <w:rStyle w:val="s1"/>
          <w:rFonts w:ascii="Arial" w:hAnsi="Arial" w:cs="Arial"/>
          <w:b w:val="0"/>
          <w:bCs w:val="0"/>
          <w:sz w:val="22"/>
          <w:szCs w:val="22"/>
        </w:rPr>
        <w:t xml:space="preserve"> and deprivation</w:t>
      </w:r>
      <w:r w:rsidRPr="00D27D45">
        <w:rPr>
          <w:rStyle w:val="s1"/>
          <w:rFonts w:ascii="Cambria Math" w:hAnsi="Cambria Math" w:cs="Cambria Math"/>
          <w:b w:val="0"/>
          <w:bCs w:val="0"/>
          <w:sz w:val="22"/>
          <w:szCs w:val="22"/>
        </w:rPr>
        <w:t>‑</w:t>
      </w:r>
      <w:r w:rsidRPr="00D27D45">
        <w:rPr>
          <w:rStyle w:val="s1"/>
          <w:rFonts w:ascii="Arial" w:hAnsi="Arial" w:cs="Arial"/>
          <w:b w:val="0"/>
          <w:bCs w:val="0"/>
          <w:sz w:val="22"/>
          <w:szCs w:val="22"/>
        </w:rPr>
        <w:t xml:space="preserve">related inequalities in identification of people at high risk of type 2 diabetes in England’, </w:t>
      </w:r>
      <w:r w:rsidRPr="00923249">
        <w:rPr>
          <w:rStyle w:val="s1"/>
          <w:rFonts w:ascii="Arial" w:hAnsi="Arial" w:cs="Arial"/>
          <w:b w:val="0"/>
          <w:bCs w:val="0"/>
          <w:i/>
          <w:iCs/>
          <w:sz w:val="22"/>
          <w:szCs w:val="22"/>
        </w:rPr>
        <w:t>BMC Public Health</w:t>
      </w:r>
      <w:r w:rsidRPr="00D27D45">
        <w:rPr>
          <w:rStyle w:val="s1"/>
          <w:rFonts w:ascii="Arial" w:hAnsi="Arial" w:cs="Arial"/>
          <w:b w:val="0"/>
          <w:bCs w:val="0"/>
          <w:sz w:val="22"/>
          <w:szCs w:val="22"/>
        </w:rPr>
        <w:t>, 24. Available at: https://doi.org/10.1186/s12889-024-19571-x</w:t>
      </w:r>
    </w:p>
    <w:p w14:paraId="4F7EBBDE"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Whelan, M. and Bell, L. (2022) ‘The English National Health Service Diabetes Prevention Programme (NHS DPP): A scoping review of existing evidence’, </w:t>
      </w:r>
      <w:r w:rsidRPr="00923249">
        <w:rPr>
          <w:rStyle w:val="s1"/>
          <w:rFonts w:ascii="Arial" w:hAnsi="Arial" w:cs="Arial"/>
          <w:b w:val="0"/>
          <w:bCs w:val="0"/>
          <w:i/>
          <w:iCs/>
          <w:sz w:val="22"/>
          <w:szCs w:val="22"/>
        </w:rPr>
        <w:t>Diabetic Medicine</w:t>
      </w:r>
      <w:r w:rsidRPr="00D27D45">
        <w:rPr>
          <w:rStyle w:val="s1"/>
          <w:rFonts w:ascii="Arial" w:hAnsi="Arial" w:cs="Arial"/>
          <w:b w:val="0"/>
          <w:bCs w:val="0"/>
          <w:sz w:val="22"/>
          <w:szCs w:val="22"/>
        </w:rPr>
        <w:t>, 39(7), e14855. Available at: https://doi.org/10.1111/dme.14855</w:t>
      </w:r>
    </w:p>
    <w:p w14:paraId="4BFA05EB"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lastRenderedPageBreak/>
        <w:t xml:space="preserve">World Health Organization (2026) </w:t>
      </w:r>
      <w:r w:rsidRPr="00923249">
        <w:rPr>
          <w:rStyle w:val="s1"/>
          <w:rFonts w:ascii="Arial" w:hAnsi="Arial" w:cs="Arial"/>
          <w:b w:val="0"/>
          <w:bCs w:val="0"/>
          <w:i/>
          <w:iCs/>
          <w:sz w:val="22"/>
          <w:szCs w:val="22"/>
        </w:rPr>
        <w:t>Universal health coverage</w:t>
      </w:r>
      <w:r w:rsidRPr="00D27D45">
        <w:rPr>
          <w:rStyle w:val="s1"/>
          <w:rFonts w:ascii="Arial" w:hAnsi="Arial" w:cs="Arial"/>
          <w:b w:val="0"/>
          <w:bCs w:val="0"/>
          <w:sz w:val="22"/>
          <w:szCs w:val="22"/>
        </w:rPr>
        <w:t>. Available at: https://www.who.int/health-topics/universal-health-coverage#tab=tab_1 (Accessed: 19 Ma</w:t>
      </w:r>
      <w:r>
        <w:rPr>
          <w:rStyle w:val="s1"/>
          <w:rFonts w:ascii="Arial" w:hAnsi="Arial" w:cs="Arial"/>
          <w:b w:val="0"/>
          <w:bCs w:val="0"/>
          <w:sz w:val="22"/>
          <w:szCs w:val="22"/>
        </w:rPr>
        <w:t>rch</w:t>
      </w:r>
      <w:r w:rsidRPr="00D27D45">
        <w:rPr>
          <w:rStyle w:val="s1"/>
          <w:rFonts w:ascii="Arial" w:hAnsi="Arial" w:cs="Arial"/>
          <w:b w:val="0"/>
          <w:bCs w:val="0"/>
          <w:sz w:val="22"/>
          <w:szCs w:val="22"/>
        </w:rPr>
        <w:t xml:space="preserve"> 202</w:t>
      </w:r>
      <w:r>
        <w:rPr>
          <w:rStyle w:val="s1"/>
          <w:rFonts w:ascii="Arial" w:hAnsi="Arial" w:cs="Arial"/>
          <w:b w:val="0"/>
          <w:bCs w:val="0"/>
          <w:sz w:val="22"/>
          <w:szCs w:val="22"/>
        </w:rPr>
        <w:t>6</w:t>
      </w:r>
      <w:r w:rsidRPr="00D27D45">
        <w:rPr>
          <w:rStyle w:val="s1"/>
          <w:rFonts w:ascii="Arial" w:hAnsi="Arial" w:cs="Arial"/>
          <w:b w:val="0"/>
          <w:bCs w:val="0"/>
          <w:sz w:val="22"/>
          <w:szCs w:val="22"/>
        </w:rPr>
        <w:t xml:space="preserve">). </w:t>
      </w:r>
    </w:p>
    <w:p w14:paraId="51C1F325" w14:textId="77777777" w:rsidR="00923249" w:rsidRPr="00D27D45" w:rsidRDefault="00923249" w:rsidP="00923249">
      <w:pPr>
        <w:pStyle w:val="p1"/>
        <w:spacing w:line="360" w:lineRule="auto"/>
        <w:rPr>
          <w:rStyle w:val="s1"/>
          <w:rFonts w:ascii="Arial" w:hAnsi="Arial" w:cs="Arial"/>
          <w:b w:val="0"/>
          <w:bCs w:val="0"/>
          <w:sz w:val="22"/>
          <w:szCs w:val="22"/>
        </w:rPr>
      </w:pPr>
      <w:r w:rsidRPr="00D27D45">
        <w:rPr>
          <w:rStyle w:val="s1"/>
          <w:rFonts w:ascii="Arial" w:hAnsi="Arial" w:cs="Arial"/>
          <w:b w:val="0"/>
          <w:bCs w:val="0"/>
          <w:sz w:val="22"/>
          <w:szCs w:val="22"/>
        </w:rPr>
        <w:t xml:space="preserve">Zimba, B., Mpinganjira, S., </w:t>
      </w:r>
      <w:proofErr w:type="spellStart"/>
      <w:r w:rsidRPr="00D27D45">
        <w:rPr>
          <w:rStyle w:val="s1"/>
          <w:rFonts w:ascii="Arial" w:hAnsi="Arial" w:cs="Arial"/>
          <w:b w:val="0"/>
          <w:bCs w:val="0"/>
          <w:sz w:val="22"/>
          <w:szCs w:val="22"/>
        </w:rPr>
        <w:t>Msosa</w:t>
      </w:r>
      <w:proofErr w:type="spellEnd"/>
      <w:r w:rsidRPr="00D27D45">
        <w:rPr>
          <w:rStyle w:val="s1"/>
          <w:rFonts w:ascii="Arial" w:hAnsi="Arial" w:cs="Arial"/>
          <w:b w:val="0"/>
          <w:bCs w:val="0"/>
          <w:sz w:val="22"/>
          <w:szCs w:val="22"/>
        </w:rPr>
        <w:t xml:space="preserve">, T. and </w:t>
      </w:r>
      <w:proofErr w:type="spellStart"/>
      <w:r w:rsidRPr="00D27D45">
        <w:rPr>
          <w:rStyle w:val="s1"/>
          <w:rFonts w:ascii="Arial" w:hAnsi="Arial" w:cs="Arial"/>
          <w:b w:val="0"/>
          <w:bCs w:val="0"/>
          <w:sz w:val="22"/>
          <w:szCs w:val="22"/>
        </w:rPr>
        <w:t>Bickton</w:t>
      </w:r>
      <w:proofErr w:type="spellEnd"/>
      <w:r w:rsidRPr="00D27D45">
        <w:rPr>
          <w:rStyle w:val="s1"/>
          <w:rFonts w:ascii="Arial" w:hAnsi="Arial" w:cs="Arial"/>
          <w:b w:val="0"/>
          <w:bCs w:val="0"/>
          <w:sz w:val="22"/>
          <w:szCs w:val="22"/>
        </w:rPr>
        <w:t xml:space="preserve">, F.M. (2024) ‘The urban-poor vaccination: Challenges and strategies in low-and-middle income countries’, </w:t>
      </w:r>
      <w:r w:rsidRPr="00923249">
        <w:rPr>
          <w:rStyle w:val="s1"/>
          <w:rFonts w:ascii="Arial" w:hAnsi="Arial" w:cs="Arial"/>
          <w:b w:val="0"/>
          <w:bCs w:val="0"/>
          <w:i/>
          <w:iCs/>
          <w:sz w:val="22"/>
          <w:szCs w:val="22"/>
        </w:rPr>
        <w:t>Human Vaccines &amp; Immunotherapeutics</w:t>
      </w:r>
      <w:r w:rsidRPr="00D27D45">
        <w:rPr>
          <w:rStyle w:val="s1"/>
          <w:rFonts w:ascii="Arial" w:hAnsi="Arial" w:cs="Arial"/>
          <w:b w:val="0"/>
          <w:bCs w:val="0"/>
          <w:sz w:val="22"/>
          <w:szCs w:val="22"/>
        </w:rPr>
        <w:t>, 20(1). Available at: https://doi.org/10.1080/21645515.2023.2295977</w:t>
      </w:r>
    </w:p>
    <w:sectPr w:rsidR="00923249" w:rsidRPr="00D27D4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7E62B" w14:textId="77777777" w:rsidR="00615322" w:rsidRDefault="00615322" w:rsidP="00B53ACB">
      <w:pPr>
        <w:spacing w:after="0" w:line="240" w:lineRule="auto"/>
      </w:pPr>
      <w:r>
        <w:separator/>
      </w:r>
    </w:p>
  </w:endnote>
  <w:endnote w:type="continuationSeparator" w:id="0">
    <w:p w14:paraId="73A44B22" w14:textId="77777777" w:rsidR="00615322" w:rsidRDefault="00615322" w:rsidP="00B53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Emphasized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2402862"/>
      <w:docPartObj>
        <w:docPartGallery w:val="Page Numbers (Bottom of Page)"/>
        <w:docPartUnique/>
      </w:docPartObj>
    </w:sdtPr>
    <w:sdtContent>
      <w:p w14:paraId="763C7D09" w14:textId="4DC61692" w:rsidR="00B53ACB" w:rsidRDefault="00B53ACB">
        <w:pPr>
          <w:pStyle w:val="Footer"/>
        </w:pPr>
        <w:r>
          <w:fldChar w:fldCharType="begin"/>
        </w:r>
        <w:r>
          <w:instrText>PAGE   \* MERGEFORMAT</w:instrText>
        </w:r>
        <w:r>
          <w:fldChar w:fldCharType="separate"/>
        </w:r>
        <w:r>
          <w:t>2</w:t>
        </w:r>
        <w:r>
          <w:fldChar w:fldCharType="end"/>
        </w:r>
      </w:p>
    </w:sdtContent>
  </w:sdt>
  <w:p w14:paraId="528E9E55" w14:textId="77777777" w:rsidR="00B53ACB" w:rsidRDefault="00B53A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E13D3" w14:textId="77777777" w:rsidR="00615322" w:rsidRDefault="00615322" w:rsidP="00B53ACB">
      <w:pPr>
        <w:spacing w:after="0" w:line="240" w:lineRule="auto"/>
      </w:pPr>
      <w:r>
        <w:separator/>
      </w:r>
    </w:p>
  </w:footnote>
  <w:footnote w:type="continuationSeparator" w:id="0">
    <w:p w14:paraId="60C9B6E8" w14:textId="77777777" w:rsidR="00615322" w:rsidRDefault="00615322" w:rsidP="00B53AC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590"/>
    <w:rsid w:val="00157A99"/>
    <w:rsid w:val="001E06D1"/>
    <w:rsid w:val="003D6590"/>
    <w:rsid w:val="0054449C"/>
    <w:rsid w:val="00615322"/>
    <w:rsid w:val="006629D4"/>
    <w:rsid w:val="008427D4"/>
    <w:rsid w:val="00892068"/>
    <w:rsid w:val="009112B6"/>
    <w:rsid w:val="00923249"/>
    <w:rsid w:val="00A045D4"/>
    <w:rsid w:val="00A82C31"/>
    <w:rsid w:val="00AB0E12"/>
    <w:rsid w:val="00AC4139"/>
    <w:rsid w:val="00AD0E49"/>
    <w:rsid w:val="00B53ACB"/>
    <w:rsid w:val="00C03002"/>
    <w:rsid w:val="00C72BB9"/>
    <w:rsid w:val="00D27D45"/>
    <w:rsid w:val="00E66CB7"/>
    <w:rsid w:val="00ED1C57"/>
    <w:rsid w:val="00EF1530"/>
    <w:rsid w:val="00FC642B"/>
    <w:rsid w:val="00FD3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AF0C3"/>
  <w15:chartTrackingRefBased/>
  <w15:docId w15:val="{12D25FAB-A63E-7C4E-80AF-321934342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5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65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65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65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65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65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65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65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65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5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65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65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65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65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65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65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65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6590"/>
    <w:rPr>
      <w:rFonts w:eastAsiaTheme="majorEastAsia" w:cstheme="majorBidi"/>
      <w:color w:val="272727" w:themeColor="text1" w:themeTint="D8"/>
    </w:rPr>
  </w:style>
  <w:style w:type="paragraph" w:styleId="Title">
    <w:name w:val="Title"/>
    <w:basedOn w:val="Normal"/>
    <w:next w:val="Normal"/>
    <w:link w:val="TitleChar"/>
    <w:uiPriority w:val="10"/>
    <w:qFormat/>
    <w:rsid w:val="003D65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65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65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65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6590"/>
    <w:pPr>
      <w:spacing w:before="160"/>
      <w:jc w:val="center"/>
    </w:pPr>
    <w:rPr>
      <w:i/>
      <w:iCs/>
      <w:color w:val="404040" w:themeColor="text1" w:themeTint="BF"/>
    </w:rPr>
  </w:style>
  <w:style w:type="character" w:customStyle="1" w:styleId="QuoteChar">
    <w:name w:val="Quote Char"/>
    <w:basedOn w:val="DefaultParagraphFont"/>
    <w:link w:val="Quote"/>
    <w:uiPriority w:val="29"/>
    <w:rsid w:val="003D6590"/>
    <w:rPr>
      <w:i/>
      <w:iCs/>
      <w:color w:val="404040" w:themeColor="text1" w:themeTint="BF"/>
    </w:rPr>
  </w:style>
  <w:style w:type="paragraph" w:styleId="ListParagraph">
    <w:name w:val="List Paragraph"/>
    <w:basedOn w:val="Normal"/>
    <w:uiPriority w:val="34"/>
    <w:qFormat/>
    <w:rsid w:val="003D6590"/>
    <w:pPr>
      <w:ind w:left="720"/>
      <w:contextualSpacing/>
    </w:pPr>
  </w:style>
  <w:style w:type="character" w:styleId="IntenseEmphasis">
    <w:name w:val="Intense Emphasis"/>
    <w:basedOn w:val="DefaultParagraphFont"/>
    <w:uiPriority w:val="21"/>
    <w:qFormat/>
    <w:rsid w:val="003D6590"/>
    <w:rPr>
      <w:i/>
      <w:iCs/>
      <w:color w:val="0F4761" w:themeColor="accent1" w:themeShade="BF"/>
    </w:rPr>
  </w:style>
  <w:style w:type="paragraph" w:styleId="IntenseQuote">
    <w:name w:val="Intense Quote"/>
    <w:basedOn w:val="Normal"/>
    <w:next w:val="Normal"/>
    <w:link w:val="IntenseQuoteChar"/>
    <w:uiPriority w:val="30"/>
    <w:qFormat/>
    <w:rsid w:val="003D65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6590"/>
    <w:rPr>
      <w:i/>
      <w:iCs/>
      <w:color w:val="0F4761" w:themeColor="accent1" w:themeShade="BF"/>
    </w:rPr>
  </w:style>
  <w:style w:type="character" w:styleId="IntenseReference">
    <w:name w:val="Intense Reference"/>
    <w:basedOn w:val="DefaultParagraphFont"/>
    <w:uiPriority w:val="32"/>
    <w:qFormat/>
    <w:rsid w:val="003D6590"/>
    <w:rPr>
      <w:b/>
      <w:bCs/>
      <w:smallCaps/>
      <w:color w:val="0F4761" w:themeColor="accent1" w:themeShade="BF"/>
      <w:spacing w:val="5"/>
    </w:rPr>
  </w:style>
  <w:style w:type="paragraph" w:customStyle="1" w:styleId="p1">
    <w:name w:val="p1"/>
    <w:basedOn w:val="Normal"/>
    <w:rsid w:val="003D6590"/>
    <w:pPr>
      <w:spacing w:after="0" w:line="240" w:lineRule="auto"/>
    </w:pPr>
    <w:rPr>
      <w:rFonts w:ascii=".AppleSystemUIFont" w:hAnsi=".AppleSystemUIFont" w:cs="Times New Roman"/>
      <w:kern w:val="0"/>
      <w:sz w:val="29"/>
      <w:szCs w:val="29"/>
      <w14:ligatures w14:val="none"/>
    </w:rPr>
  </w:style>
  <w:style w:type="paragraph" w:customStyle="1" w:styleId="p2">
    <w:name w:val="p2"/>
    <w:basedOn w:val="Normal"/>
    <w:rsid w:val="003D6590"/>
    <w:pPr>
      <w:spacing w:after="0" w:line="240" w:lineRule="auto"/>
    </w:pPr>
    <w:rPr>
      <w:rFonts w:ascii=".AppleSystemUIFont" w:hAnsi=".AppleSystemUIFont" w:cs="Times New Roman"/>
      <w:kern w:val="0"/>
      <w:sz w:val="29"/>
      <w:szCs w:val="29"/>
      <w14:ligatures w14:val="none"/>
    </w:rPr>
  </w:style>
  <w:style w:type="character" w:customStyle="1" w:styleId="s1">
    <w:name w:val="s1"/>
    <w:basedOn w:val="DefaultParagraphFont"/>
    <w:rsid w:val="003D6590"/>
    <w:rPr>
      <w:rFonts w:ascii="UICTFontTextStyleEmphasizedBody" w:hAnsi="UICTFontTextStyleEmphasizedBody" w:hint="default"/>
      <w:b/>
      <w:bCs/>
      <w:i w:val="0"/>
      <w:iCs w:val="0"/>
      <w:sz w:val="29"/>
      <w:szCs w:val="29"/>
    </w:rPr>
  </w:style>
  <w:style w:type="character" w:customStyle="1" w:styleId="s2">
    <w:name w:val="s2"/>
    <w:basedOn w:val="DefaultParagraphFont"/>
    <w:rsid w:val="003D6590"/>
    <w:rPr>
      <w:rFonts w:ascii="UICTFontTextStyleEmphasizedBody" w:hAnsi="UICTFontTextStyleEmphasizedBody" w:hint="default"/>
      <w:b/>
      <w:bCs/>
      <w:i w:val="0"/>
      <w:iCs w:val="0"/>
      <w:sz w:val="29"/>
      <w:szCs w:val="29"/>
      <w:u w:val="single"/>
    </w:rPr>
  </w:style>
  <w:style w:type="character" w:customStyle="1" w:styleId="apple-converted-space">
    <w:name w:val="apple-converted-space"/>
    <w:basedOn w:val="DefaultParagraphFont"/>
    <w:rsid w:val="003D6590"/>
  </w:style>
  <w:style w:type="character" w:styleId="Hyperlink">
    <w:name w:val="Hyperlink"/>
    <w:basedOn w:val="DefaultParagraphFont"/>
    <w:uiPriority w:val="99"/>
    <w:unhideWhenUsed/>
    <w:rsid w:val="00D27D45"/>
    <w:rPr>
      <w:color w:val="467886" w:themeColor="hyperlink"/>
      <w:u w:val="single"/>
    </w:rPr>
  </w:style>
  <w:style w:type="character" w:styleId="UnresolvedMention">
    <w:name w:val="Unresolved Mention"/>
    <w:basedOn w:val="DefaultParagraphFont"/>
    <w:uiPriority w:val="99"/>
    <w:semiHidden/>
    <w:unhideWhenUsed/>
    <w:rsid w:val="00D27D45"/>
    <w:rPr>
      <w:color w:val="605E5C"/>
      <w:shd w:val="clear" w:color="auto" w:fill="E1DFDD"/>
    </w:rPr>
  </w:style>
  <w:style w:type="paragraph" w:styleId="Header">
    <w:name w:val="header"/>
    <w:basedOn w:val="Normal"/>
    <w:link w:val="HeaderChar"/>
    <w:uiPriority w:val="99"/>
    <w:unhideWhenUsed/>
    <w:rsid w:val="00B53A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ACB"/>
  </w:style>
  <w:style w:type="paragraph" w:styleId="Footer">
    <w:name w:val="footer"/>
    <w:basedOn w:val="Normal"/>
    <w:link w:val="FooterChar"/>
    <w:uiPriority w:val="99"/>
    <w:unhideWhenUsed/>
    <w:rsid w:val="00B53A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A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books/NBK60612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3895</Words>
  <Characters>22206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Gaiu (2332587)</dc:creator>
  <cp:keywords/>
  <dc:description/>
  <cp:lastModifiedBy>Alexandru Gaiu (2332587)</cp:lastModifiedBy>
  <cp:revision>2</cp:revision>
  <dcterms:created xsi:type="dcterms:W3CDTF">2026-03-22T13:47:00Z</dcterms:created>
  <dcterms:modified xsi:type="dcterms:W3CDTF">2026-03-22T13:47:00Z</dcterms:modified>
</cp:coreProperties>
</file>