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C28D5" w14:textId="77777777" w:rsidR="002C4DBC" w:rsidRDefault="002C4DBC" w:rsidP="002C4DBC">
      <w:pPr>
        <w:spacing w:line="360" w:lineRule="auto"/>
        <w:jc w:val="center"/>
        <w:rPr>
          <w:rFonts w:ascii="Times New Roman" w:hAnsi="Times New Roman" w:cs="Times New Roman"/>
          <w:b/>
          <w:bCs/>
          <w:sz w:val="32"/>
          <w:szCs w:val="32"/>
        </w:rPr>
      </w:pPr>
    </w:p>
    <w:p w14:paraId="0A474103" w14:textId="77777777" w:rsidR="002C4DBC" w:rsidRDefault="002C4DBC" w:rsidP="002C4DBC">
      <w:pPr>
        <w:spacing w:line="360" w:lineRule="auto"/>
        <w:jc w:val="center"/>
        <w:rPr>
          <w:rFonts w:ascii="Times New Roman" w:hAnsi="Times New Roman" w:cs="Times New Roman"/>
          <w:b/>
          <w:bCs/>
          <w:sz w:val="32"/>
          <w:szCs w:val="32"/>
        </w:rPr>
      </w:pPr>
    </w:p>
    <w:p w14:paraId="6A95BB19" w14:textId="77777777" w:rsidR="002C4DBC" w:rsidRDefault="002C4DBC" w:rsidP="002C4DBC">
      <w:pPr>
        <w:spacing w:line="360" w:lineRule="auto"/>
        <w:jc w:val="center"/>
        <w:rPr>
          <w:rFonts w:ascii="Times New Roman" w:hAnsi="Times New Roman" w:cs="Times New Roman"/>
          <w:b/>
          <w:bCs/>
          <w:sz w:val="32"/>
          <w:szCs w:val="32"/>
        </w:rPr>
      </w:pPr>
    </w:p>
    <w:p w14:paraId="0D3791F7" w14:textId="77777777" w:rsidR="002C4DBC" w:rsidRDefault="002C4DBC" w:rsidP="002C4DBC">
      <w:pPr>
        <w:spacing w:line="360" w:lineRule="auto"/>
        <w:jc w:val="center"/>
        <w:rPr>
          <w:rFonts w:ascii="Times New Roman" w:hAnsi="Times New Roman" w:cs="Times New Roman"/>
          <w:b/>
          <w:bCs/>
          <w:sz w:val="32"/>
          <w:szCs w:val="32"/>
        </w:rPr>
      </w:pPr>
    </w:p>
    <w:p w14:paraId="27E76914" w14:textId="77777777" w:rsidR="002C4DBC" w:rsidRDefault="002C4DBC" w:rsidP="002C4DBC">
      <w:pPr>
        <w:spacing w:line="360" w:lineRule="auto"/>
        <w:jc w:val="center"/>
        <w:rPr>
          <w:rFonts w:ascii="Times New Roman" w:hAnsi="Times New Roman" w:cs="Times New Roman"/>
          <w:b/>
          <w:bCs/>
          <w:sz w:val="32"/>
          <w:szCs w:val="32"/>
        </w:rPr>
      </w:pPr>
    </w:p>
    <w:p w14:paraId="73B6EE84" w14:textId="77777777" w:rsidR="002C4DBC" w:rsidRDefault="002C4DBC" w:rsidP="002C4DBC">
      <w:pPr>
        <w:spacing w:line="360" w:lineRule="auto"/>
        <w:jc w:val="center"/>
        <w:rPr>
          <w:rFonts w:ascii="Times New Roman" w:hAnsi="Times New Roman" w:cs="Times New Roman"/>
          <w:b/>
          <w:bCs/>
          <w:sz w:val="32"/>
          <w:szCs w:val="32"/>
        </w:rPr>
      </w:pPr>
    </w:p>
    <w:p w14:paraId="4BE93E61" w14:textId="77777777" w:rsidR="002C4DBC" w:rsidRDefault="002C4DBC" w:rsidP="002C4DBC">
      <w:pPr>
        <w:spacing w:line="360" w:lineRule="auto"/>
        <w:jc w:val="center"/>
        <w:rPr>
          <w:rFonts w:ascii="Times New Roman" w:hAnsi="Times New Roman" w:cs="Times New Roman"/>
          <w:b/>
          <w:bCs/>
          <w:sz w:val="32"/>
          <w:szCs w:val="32"/>
        </w:rPr>
      </w:pPr>
    </w:p>
    <w:p w14:paraId="4E0AF5F7" w14:textId="77777777" w:rsidR="002C4DBC" w:rsidRDefault="002C4DBC" w:rsidP="002C4DBC">
      <w:pPr>
        <w:spacing w:line="360" w:lineRule="auto"/>
        <w:jc w:val="center"/>
        <w:rPr>
          <w:rFonts w:ascii="Times New Roman" w:hAnsi="Times New Roman" w:cs="Times New Roman"/>
          <w:b/>
          <w:bCs/>
          <w:sz w:val="32"/>
          <w:szCs w:val="32"/>
        </w:rPr>
      </w:pPr>
    </w:p>
    <w:p w14:paraId="158ADFB2" w14:textId="77777777" w:rsidR="00C50005" w:rsidRDefault="00C50005" w:rsidP="002C4DBC">
      <w:pPr>
        <w:spacing w:line="360" w:lineRule="auto"/>
        <w:jc w:val="center"/>
        <w:rPr>
          <w:rFonts w:ascii="Times New Roman" w:hAnsi="Times New Roman" w:cs="Times New Roman"/>
          <w:b/>
          <w:bCs/>
          <w:sz w:val="32"/>
          <w:szCs w:val="32"/>
        </w:rPr>
      </w:pPr>
    </w:p>
    <w:p w14:paraId="0BB476C6" w14:textId="77777777" w:rsidR="00C50005" w:rsidRDefault="00C50005" w:rsidP="002C4DBC">
      <w:pPr>
        <w:spacing w:line="360" w:lineRule="auto"/>
        <w:jc w:val="center"/>
        <w:rPr>
          <w:rFonts w:ascii="Times New Roman" w:hAnsi="Times New Roman" w:cs="Times New Roman"/>
          <w:b/>
          <w:bCs/>
          <w:sz w:val="32"/>
          <w:szCs w:val="32"/>
        </w:rPr>
      </w:pPr>
    </w:p>
    <w:p w14:paraId="253D4BDE" w14:textId="77777777" w:rsidR="005D7A47" w:rsidRDefault="005D7A47" w:rsidP="002C4DBC">
      <w:pPr>
        <w:spacing w:line="360" w:lineRule="auto"/>
        <w:jc w:val="center"/>
        <w:rPr>
          <w:rFonts w:ascii="Times New Roman" w:hAnsi="Times New Roman" w:cs="Times New Roman"/>
          <w:b/>
          <w:bCs/>
          <w:sz w:val="32"/>
          <w:szCs w:val="32"/>
        </w:rPr>
      </w:pPr>
    </w:p>
    <w:p w14:paraId="3B94577E" w14:textId="77777777" w:rsidR="005D7A47" w:rsidRDefault="005D7A47" w:rsidP="002C4DBC">
      <w:pPr>
        <w:spacing w:line="360" w:lineRule="auto"/>
        <w:jc w:val="center"/>
        <w:rPr>
          <w:rFonts w:ascii="Times New Roman" w:hAnsi="Times New Roman" w:cs="Times New Roman"/>
          <w:b/>
          <w:bCs/>
          <w:sz w:val="32"/>
          <w:szCs w:val="32"/>
        </w:rPr>
      </w:pPr>
    </w:p>
    <w:p w14:paraId="44ED606E" w14:textId="77777777" w:rsidR="00B803D4" w:rsidRPr="002C4DBC" w:rsidRDefault="005D7A47" w:rsidP="002C4DB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Assessment 2 </w:t>
      </w:r>
      <w:r w:rsidR="002C4DBC" w:rsidRPr="002C4DBC">
        <w:rPr>
          <w:rFonts w:ascii="Times New Roman" w:hAnsi="Times New Roman" w:cs="Times New Roman"/>
          <w:b/>
          <w:bCs/>
          <w:sz w:val="32"/>
          <w:szCs w:val="32"/>
        </w:rPr>
        <w:t xml:space="preserve">Community Engagement </w:t>
      </w:r>
    </w:p>
    <w:p w14:paraId="619925C3" w14:textId="77777777" w:rsidR="00B803D4" w:rsidRDefault="00B803D4">
      <w:pPr>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color w:val="auto"/>
          <w:sz w:val="22"/>
          <w:szCs w:val="22"/>
          <w:lang w:val="en-GB" w:eastAsia="en-IN"/>
        </w:rPr>
        <w:id w:val="-1541196445"/>
        <w:docPartObj>
          <w:docPartGallery w:val="Table of Contents"/>
          <w:docPartUnique/>
        </w:docPartObj>
      </w:sdtPr>
      <w:sdtEndPr>
        <w:rPr>
          <w:b/>
          <w:bCs/>
          <w:noProof/>
        </w:rPr>
      </w:sdtEndPr>
      <w:sdtContent>
        <w:p w14:paraId="4B4AA6D2" w14:textId="77777777" w:rsidR="00B803D4" w:rsidRPr="00B803D4" w:rsidRDefault="00B803D4" w:rsidP="00B803D4">
          <w:pPr>
            <w:pStyle w:val="TOCHeading"/>
            <w:jc w:val="center"/>
            <w:rPr>
              <w:rFonts w:ascii="Times New Roman" w:hAnsi="Times New Roman" w:cs="Times New Roman"/>
              <w:b/>
              <w:bCs/>
              <w:color w:val="000000" w:themeColor="text1"/>
              <w:sz w:val="28"/>
              <w:szCs w:val="28"/>
            </w:rPr>
          </w:pPr>
          <w:r w:rsidRPr="00B803D4">
            <w:rPr>
              <w:rFonts w:ascii="Times New Roman" w:hAnsi="Times New Roman" w:cs="Times New Roman"/>
              <w:b/>
              <w:bCs/>
              <w:color w:val="000000" w:themeColor="text1"/>
              <w:sz w:val="28"/>
              <w:szCs w:val="28"/>
            </w:rPr>
            <w:t>Table of Contents</w:t>
          </w:r>
        </w:p>
        <w:p w14:paraId="09EE9F3C" w14:textId="77777777" w:rsidR="00B803D4" w:rsidRPr="00B803D4" w:rsidRDefault="00B803D4">
          <w:pPr>
            <w:pStyle w:val="TOC1"/>
            <w:tabs>
              <w:tab w:val="right" w:leader="dot" w:pos="9019"/>
            </w:tabs>
            <w:rPr>
              <w:rFonts w:ascii="Times New Roman" w:hAnsi="Times New Roman" w:cs="Times New Roman"/>
              <w:noProof/>
              <w:sz w:val="24"/>
              <w:szCs w:val="24"/>
            </w:rPr>
          </w:pPr>
          <w:r w:rsidRPr="00B803D4">
            <w:rPr>
              <w:rFonts w:ascii="Times New Roman" w:hAnsi="Times New Roman" w:cs="Times New Roman"/>
              <w:sz w:val="24"/>
              <w:szCs w:val="24"/>
            </w:rPr>
            <w:fldChar w:fldCharType="begin"/>
          </w:r>
          <w:r w:rsidRPr="00B803D4">
            <w:rPr>
              <w:rFonts w:ascii="Times New Roman" w:hAnsi="Times New Roman" w:cs="Times New Roman"/>
              <w:sz w:val="24"/>
              <w:szCs w:val="24"/>
            </w:rPr>
            <w:instrText xml:space="preserve"> TOC \o "1-3" \h \z \u </w:instrText>
          </w:r>
          <w:r w:rsidRPr="00B803D4">
            <w:rPr>
              <w:rFonts w:ascii="Times New Roman" w:hAnsi="Times New Roman" w:cs="Times New Roman"/>
              <w:sz w:val="24"/>
              <w:szCs w:val="24"/>
            </w:rPr>
            <w:fldChar w:fldCharType="separate"/>
          </w:r>
          <w:hyperlink w:anchor="_Toc77603985" w:history="1">
            <w:r w:rsidRPr="00B803D4">
              <w:rPr>
                <w:rStyle w:val="Hyperlink"/>
                <w:rFonts w:ascii="Times New Roman" w:hAnsi="Times New Roman" w:cs="Times New Roman"/>
                <w:noProof/>
                <w:sz w:val="24"/>
                <w:szCs w:val="24"/>
              </w:rPr>
              <w:t>Introduction:</w:t>
            </w:r>
            <w:r w:rsidRPr="00B803D4">
              <w:rPr>
                <w:rFonts w:ascii="Times New Roman" w:hAnsi="Times New Roman" w:cs="Times New Roman"/>
                <w:noProof/>
                <w:webHidden/>
                <w:sz w:val="24"/>
                <w:szCs w:val="24"/>
              </w:rPr>
              <w:tab/>
            </w:r>
            <w:r w:rsidRPr="00B803D4">
              <w:rPr>
                <w:rFonts w:ascii="Times New Roman" w:hAnsi="Times New Roman" w:cs="Times New Roman"/>
                <w:noProof/>
                <w:webHidden/>
                <w:sz w:val="24"/>
                <w:szCs w:val="24"/>
              </w:rPr>
              <w:fldChar w:fldCharType="begin"/>
            </w:r>
            <w:r w:rsidRPr="00B803D4">
              <w:rPr>
                <w:rFonts w:ascii="Times New Roman" w:hAnsi="Times New Roman" w:cs="Times New Roman"/>
                <w:noProof/>
                <w:webHidden/>
                <w:sz w:val="24"/>
                <w:szCs w:val="24"/>
              </w:rPr>
              <w:instrText xml:space="preserve"> PAGEREF _Toc77603985 \h </w:instrText>
            </w:r>
            <w:r w:rsidRPr="00B803D4">
              <w:rPr>
                <w:rFonts w:ascii="Times New Roman" w:hAnsi="Times New Roman" w:cs="Times New Roman"/>
                <w:noProof/>
                <w:webHidden/>
                <w:sz w:val="24"/>
                <w:szCs w:val="24"/>
              </w:rPr>
            </w:r>
            <w:r w:rsidRPr="00B803D4">
              <w:rPr>
                <w:rFonts w:ascii="Times New Roman" w:hAnsi="Times New Roman" w:cs="Times New Roman"/>
                <w:noProof/>
                <w:webHidden/>
                <w:sz w:val="24"/>
                <w:szCs w:val="24"/>
              </w:rPr>
              <w:fldChar w:fldCharType="separate"/>
            </w:r>
            <w:r w:rsidRPr="00B803D4">
              <w:rPr>
                <w:rFonts w:ascii="Times New Roman" w:hAnsi="Times New Roman" w:cs="Times New Roman"/>
                <w:noProof/>
                <w:webHidden/>
                <w:sz w:val="24"/>
                <w:szCs w:val="24"/>
              </w:rPr>
              <w:t>3</w:t>
            </w:r>
            <w:r w:rsidRPr="00B803D4">
              <w:rPr>
                <w:rFonts w:ascii="Times New Roman" w:hAnsi="Times New Roman" w:cs="Times New Roman"/>
                <w:noProof/>
                <w:webHidden/>
                <w:sz w:val="24"/>
                <w:szCs w:val="24"/>
              </w:rPr>
              <w:fldChar w:fldCharType="end"/>
            </w:r>
          </w:hyperlink>
        </w:p>
        <w:p w14:paraId="225F6537" w14:textId="77777777" w:rsidR="00B803D4" w:rsidRPr="00B803D4" w:rsidRDefault="009302AD">
          <w:pPr>
            <w:pStyle w:val="TOC1"/>
            <w:tabs>
              <w:tab w:val="right" w:leader="dot" w:pos="9019"/>
            </w:tabs>
            <w:rPr>
              <w:rFonts w:ascii="Times New Roman" w:hAnsi="Times New Roman" w:cs="Times New Roman"/>
              <w:noProof/>
              <w:sz w:val="24"/>
              <w:szCs w:val="24"/>
            </w:rPr>
          </w:pPr>
          <w:hyperlink w:anchor="_Toc77603986" w:history="1">
            <w:r w:rsidR="00B803D4" w:rsidRPr="00B803D4">
              <w:rPr>
                <w:rStyle w:val="Hyperlink"/>
                <w:rFonts w:ascii="Times New Roman" w:hAnsi="Times New Roman" w:cs="Times New Roman"/>
                <w:noProof/>
                <w:sz w:val="24"/>
                <w:szCs w:val="24"/>
              </w:rPr>
              <w:t>Difference between the Projects:</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_Toc77603986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4</w:t>
            </w:r>
            <w:r w:rsidR="00B803D4" w:rsidRPr="00B803D4">
              <w:rPr>
                <w:rFonts w:ascii="Times New Roman" w:hAnsi="Times New Roman" w:cs="Times New Roman"/>
                <w:noProof/>
                <w:webHidden/>
                <w:sz w:val="24"/>
                <w:szCs w:val="24"/>
              </w:rPr>
              <w:fldChar w:fldCharType="end"/>
            </w:r>
          </w:hyperlink>
        </w:p>
        <w:p w14:paraId="40BAAD19" w14:textId="77777777" w:rsidR="00B803D4" w:rsidRPr="00B803D4" w:rsidRDefault="009302AD">
          <w:pPr>
            <w:pStyle w:val="TOC2"/>
            <w:tabs>
              <w:tab w:val="right" w:leader="dot" w:pos="9019"/>
            </w:tabs>
            <w:rPr>
              <w:rFonts w:ascii="Times New Roman" w:hAnsi="Times New Roman" w:cs="Times New Roman"/>
              <w:noProof/>
              <w:sz w:val="24"/>
              <w:szCs w:val="24"/>
            </w:rPr>
          </w:pPr>
          <w:hyperlink w:anchor="_Toc77603987" w:history="1">
            <w:r w:rsidR="00B803D4" w:rsidRPr="00B803D4">
              <w:rPr>
                <w:rStyle w:val="Hyperlink"/>
                <w:rFonts w:ascii="Times New Roman" w:hAnsi="Times New Roman" w:cs="Times New Roman"/>
                <w:noProof/>
                <w:sz w:val="24"/>
                <w:szCs w:val="24"/>
              </w:rPr>
              <w:t>Best Practices:</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_Toc77603987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5</w:t>
            </w:r>
            <w:r w:rsidR="00B803D4" w:rsidRPr="00B803D4">
              <w:rPr>
                <w:rFonts w:ascii="Times New Roman" w:hAnsi="Times New Roman" w:cs="Times New Roman"/>
                <w:noProof/>
                <w:webHidden/>
                <w:sz w:val="24"/>
                <w:szCs w:val="24"/>
              </w:rPr>
              <w:fldChar w:fldCharType="end"/>
            </w:r>
          </w:hyperlink>
        </w:p>
        <w:p w14:paraId="548F61CF" w14:textId="77777777" w:rsidR="00B803D4" w:rsidRPr="00B803D4" w:rsidRDefault="009302AD">
          <w:pPr>
            <w:pStyle w:val="TOC2"/>
            <w:tabs>
              <w:tab w:val="right" w:leader="dot" w:pos="9019"/>
            </w:tabs>
            <w:rPr>
              <w:rFonts w:ascii="Times New Roman" w:hAnsi="Times New Roman" w:cs="Times New Roman"/>
              <w:noProof/>
              <w:sz w:val="24"/>
              <w:szCs w:val="24"/>
            </w:rPr>
          </w:pPr>
          <w:hyperlink w:anchor="_Toc77603988" w:history="1">
            <w:r w:rsidR="00B803D4" w:rsidRPr="00B803D4">
              <w:rPr>
                <w:rStyle w:val="Hyperlink"/>
                <w:rFonts w:ascii="Times New Roman" w:hAnsi="Times New Roman" w:cs="Times New Roman"/>
                <w:noProof/>
                <w:sz w:val="24"/>
                <w:szCs w:val="24"/>
              </w:rPr>
              <w:t>Community Research Methods:</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_Toc77603988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6</w:t>
            </w:r>
            <w:r w:rsidR="00B803D4" w:rsidRPr="00B803D4">
              <w:rPr>
                <w:rFonts w:ascii="Times New Roman" w:hAnsi="Times New Roman" w:cs="Times New Roman"/>
                <w:noProof/>
                <w:webHidden/>
                <w:sz w:val="24"/>
                <w:szCs w:val="24"/>
              </w:rPr>
              <w:fldChar w:fldCharType="end"/>
            </w:r>
          </w:hyperlink>
        </w:p>
        <w:p w14:paraId="1BA83837" w14:textId="77777777" w:rsidR="00B803D4" w:rsidRPr="00B803D4" w:rsidRDefault="009302AD">
          <w:pPr>
            <w:pStyle w:val="TOC2"/>
            <w:tabs>
              <w:tab w:val="right" w:leader="dot" w:pos="9019"/>
            </w:tabs>
            <w:rPr>
              <w:rFonts w:ascii="Times New Roman" w:hAnsi="Times New Roman" w:cs="Times New Roman"/>
              <w:noProof/>
              <w:sz w:val="24"/>
              <w:szCs w:val="24"/>
            </w:rPr>
          </w:pPr>
          <w:hyperlink w:anchor="_Toc77603989" w:history="1">
            <w:r w:rsidR="00B803D4" w:rsidRPr="00B803D4">
              <w:rPr>
                <w:rStyle w:val="Hyperlink"/>
                <w:rFonts w:ascii="Times New Roman" w:hAnsi="Times New Roman" w:cs="Times New Roman"/>
                <w:noProof/>
                <w:sz w:val="24"/>
                <w:szCs w:val="24"/>
              </w:rPr>
              <w:t>Community Mapping:</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_Toc77603989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6</w:t>
            </w:r>
            <w:r w:rsidR="00B803D4" w:rsidRPr="00B803D4">
              <w:rPr>
                <w:rFonts w:ascii="Times New Roman" w:hAnsi="Times New Roman" w:cs="Times New Roman"/>
                <w:noProof/>
                <w:webHidden/>
                <w:sz w:val="24"/>
                <w:szCs w:val="24"/>
              </w:rPr>
              <w:fldChar w:fldCharType="end"/>
            </w:r>
          </w:hyperlink>
        </w:p>
        <w:p w14:paraId="1F814CAE" w14:textId="77777777" w:rsidR="00B803D4" w:rsidRPr="00B803D4" w:rsidRDefault="009302AD">
          <w:pPr>
            <w:pStyle w:val="TOC2"/>
            <w:tabs>
              <w:tab w:val="right" w:leader="dot" w:pos="9019"/>
            </w:tabs>
            <w:rPr>
              <w:rFonts w:ascii="Times New Roman" w:hAnsi="Times New Roman" w:cs="Times New Roman"/>
              <w:noProof/>
              <w:sz w:val="24"/>
              <w:szCs w:val="24"/>
            </w:rPr>
          </w:pPr>
          <w:hyperlink w:anchor="_Toc77603990" w:history="1">
            <w:r w:rsidR="00B803D4" w:rsidRPr="00B803D4">
              <w:rPr>
                <w:rStyle w:val="Hyperlink"/>
                <w:rFonts w:ascii="Times New Roman" w:hAnsi="Times New Roman" w:cs="Times New Roman"/>
                <w:noProof/>
                <w:sz w:val="24"/>
                <w:szCs w:val="24"/>
              </w:rPr>
              <w:t>Social Media Engagement:</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_Toc77603990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6</w:t>
            </w:r>
            <w:r w:rsidR="00B803D4" w:rsidRPr="00B803D4">
              <w:rPr>
                <w:rFonts w:ascii="Times New Roman" w:hAnsi="Times New Roman" w:cs="Times New Roman"/>
                <w:noProof/>
                <w:webHidden/>
                <w:sz w:val="24"/>
                <w:szCs w:val="24"/>
              </w:rPr>
              <w:fldChar w:fldCharType="end"/>
            </w:r>
          </w:hyperlink>
        </w:p>
        <w:p w14:paraId="3E67799D" w14:textId="77777777" w:rsidR="00B803D4" w:rsidRPr="00B803D4" w:rsidRDefault="009302AD">
          <w:pPr>
            <w:pStyle w:val="TOC2"/>
            <w:tabs>
              <w:tab w:val="right" w:leader="dot" w:pos="9019"/>
            </w:tabs>
            <w:rPr>
              <w:rFonts w:ascii="Times New Roman" w:hAnsi="Times New Roman" w:cs="Times New Roman"/>
              <w:noProof/>
              <w:sz w:val="24"/>
              <w:szCs w:val="24"/>
            </w:rPr>
          </w:pPr>
          <w:hyperlink w:anchor="_Toc77603991" w:history="1">
            <w:r w:rsidR="00B803D4" w:rsidRPr="00B803D4">
              <w:rPr>
                <w:rStyle w:val="Hyperlink"/>
                <w:rFonts w:ascii="Times New Roman" w:hAnsi="Times New Roman" w:cs="Times New Roman"/>
                <w:noProof/>
                <w:sz w:val="24"/>
                <w:szCs w:val="24"/>
              </w:rPr>
              <w:t>Impact Analysis:</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_Toc77603991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7</w:t>
            </w:r>
            <w:r w:rsidR="00B803D4" w:rsidRPr="00B803D4">
              <w:rPr>
                <w:rFonts w:ascii="Times New Roman" w:hAnsi="Times New Roman" w:cs="Times New Roman"/>
                <w:noProof/>
                <w:webHidden/>
                <w:sz w:val="24"/>
                <w:szCs w:val="24"/>
              </w:rPr>
              <w:fldChar w:fldCharType="end"/>
            </w:r>
          </w:hyperlink>
        </w:p>
        <w:p w14:paraId="22B1640A" w14:textId="77777777" w:rsidR="00B803D4" w:rsidRPr="00B803D4" w:rsidRDefault="009302AD">
          <w:pPr>
            <w:pStyle w:val="TOC1"/>
            <w:tabs>
              <w:tab w:val="right" w:leader="dot" w:pos="9019"/>
            </w:tabs>
            <w:rPr>
              <w:rFonts w:ascii="Times New Roman" w:hAnsi="Times New Roman" w:cs="Times New Roman"/>
              <w:noProof/>
              <w:sz w:val="24"/>
              <w:szCs w:val="24"/>
            </w:rPr>
          </w:pPr>
          <w:hyperlink w:anchor="_Toc77603992" w:history="1">
            <w:r w:rsidR="00B803D4" w:rsidRPr="00B803D4">
              <w:rPr>
                <w:rStyle w:val="Hyperlink"/>
                <w:rFonts w:ascii="Times New Roman" w:hAnsi="Times New Roman" w:cs="Times New Roman"/>
                <w:noProof/>
                <w:sz w:val="24"/>
                <w:szCs w:val="24"/>
              </w:rPr>
              <w:t>Differences made by Effective Communication, Stakeholder Participation, and Inclusion:</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_Toc77603992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8</w:t>
            </w:r>
            <w:r w:rsidR="00B803D4" w:rsidRPr="00B803D4">
              <w:rPr>
                <w:rFonts w:ascii="Times New Roman" w:hAnsi="Times New Roman" w:cs="Times New Roman"/>
                <w:noProof/>
                <w:webHidden/>
                <w:sz w:val="24"/>
                <w:szCs w:val="24"/>
              </w:rPr>
              <w:fldChar w:fldCharType="end"/>
            </w:r>
          </w:hyperlink>
        </w:p>
        <w:p w14:paraId="0A578B9C" w14:textId="77777777" w:rsidR="00B803D4" w:rsidRPr="00B803D4" w:rsidRDefault="009302AD">
          <w:pPr>
            <w:pStyle w:val="TOC2"/>
            <w:tabs>
              <w:tab w:val="right" w:leader="dot" w:pos="9019"/>
            </w:tabs>
            <w:rPr>
              <w:rFonts w:ascii="Times New Roman" w:hAnsi="Times New Roman" w:cs="Times New Roman"/>
              <w:noProof/>
              <w:sz w:val="24"/>
              <w:szCs w:val="24"/>
            </w:rPr>
          </w:pPr>
          <w:hyperlink w:anchor="_Toc77603993" w:history="1">
            <w:r w:rsidR="00B803D4" w:rsidRPr="00B803D4">
              <w:rPr>
                <w:rStyle w:val="Hyperlink"/>
                <w:rFonts w:ascii="Times New Roman" w:hAnsi="Times New Roman" w:cs="Times New Roman"/>
                <w:noProof/>
                <w:sz w:val="24"/>
                <w:szCs w:val="24"/>
              </w:rPr>
              <w:t>Effective Communication:</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_Toc77603993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8</w:t>
            </w:r>
            <w:r w:rsidR="00B803D4" w:rsidRPr="00B803D4">
              <w:rPr>
                <w:rFonts w:ascii="Times New Roman" w:hAnsi="Times New Roman" w:cs="Times New Roman"/>
                <w:noProof/>
                <w:webHidden/>
                <w:sz w:val="24"/>
                <w:szCs w:val="24"/>
              </w:rPr>
              <w:fldChar w:fldCharType="end"/>
            </w:r>
          </w:hyperlink>
        </w:p>
        <w:p w14:paraId="5B938715" w14:textId="77777777" w:rsidR="00B803D4" w:rsidRPr="00B803D4" w:rsidRDefault="009302AD">
          <w:pPr>
            <w:pStyle w:val="TOC2"/>
            <w:tabs>
              <w:tab w:val="right" w:leader="dot" w:pos="9019"/>
            </w:tabs>
            <w:rPr>
              <w:rFonts w:ascii="Times New Roman" w:hAnsi="Times New Roman" w:cs="Times New Roman"/>
              <w:noProof/>
              <w:sz w:val="24"/>
              <w:szCs w:val="24"/>
            </w:rPr>
          </w:pPr>
          <w:hyperlink w:anchor="_Toc77603994" w:history="1">
            <w:r w:rsidR="00B803D4" w:rsidRPr="00B803D4">
              <w:rPr>
                <w:rStyle w:val="Hyperlink"/>
                <w:rFonts w:ascii="Times New Roman" w:hAnsi="Times New Roman" w:cs="Times New Roman"/>
                <w:noProof/>
                <w:sz w:val="24"/>
                <w:szCs w:val="24"/>
              </w:rPr>
              <w:t>Stakeholder Participation:</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_Toc77603994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9</w:t>
            </w:r>
            <w:r w:rsidR="00B803D4" w:rsidRPr="00B803D4">
              <w:rPr>
                <w:rFonts w:ascii="Times New Roman" w:hAnsi="Times New Roman" w:cs="Times New Roman"/>
                <w:noProof/>
                <w:webHidden/>
                <w:sz w:val="24"/>
                <w:szCs w:val="24"/>
              </w:rPr>
              <w:fldChar w:fldCharType="end"/>
            </w:r>
          </w:hyperlink>
        </w:p>
        <w:p w14:paraId="45B21F4C" w14:textId="77777777" w:rsidR="00B803D4" w:rsidRPr="00B803D4" w:rsidRDefault="009302AD">
          <w:pPr>
            <w:pStyle w:val="TOC2"/>
            <w:tabs>
              <w:tab w:val="right" w:leader="dot" w:pos="9019"/>
            </w:tabs>
            <w:rPr>
              <w:rFonts w:ascii="Times New Roman" w:hAnsi="Times New Roman" w:cs="Times New Roman"/>
              <w:noProof/>
              <w:sz w:val="24"/>
              <w:szCs w:val="24"/>
            </w:rPr>
          </w:pPr>
          <w:hyperlink w:anchor="_Toc77603995" w:history="1">
            <w:r w:rsidR="00B803D4" w:rsidRPr="00B803D4">
              <w:rPr>
                <w:rStyle w:val="Hyperlink"/>
                <w:rFonts w:ascii="Times New Roman" w:hAnsi="Times New Roman" w:cs="Times New Roman"/>
                <w:noProof/>
                <w:sz w:val="24"/>
                <w:szCs w:val="24"/>
              </w:rPr>
              <w:t>Inclusion:</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_Toc77603995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10</w:t>
            </w:r>
            <w:r w:rsidR="00B803D4" w:rsidRPr="00B803D4">
              <w:rPr>
                <w:rFonts w:ascii="Times New Roman" w:hAnsi="Times New Roman" w:cs="Times New Roman"/>
                <w:noProof/>
                <w:webHidden/>
                <w:sz w:val="24"/>
                <w:szCs w:val="24"/>
              </w:rPr>
              <w:fldChar w:fldCharType="end"/>
            </w:r>
          </w:hyperlink>
        </w:p>
        <w:p w14:paraId="5D678B50" w14:textId="77777777" w:rsidR="00B803D4" w:rsidRPr="00B803D4" w:rsidRDefault="009302AD">
          <w:pPr>
            <w:pStyle w:val="TOC1"/>
            <w:tabs>
              <w:tab w:val="right" w:leader="dot" w:pos="9019"/>
            </w:tabs>
            <w:rPr>
              <w:rFonts w:ascii="Times New Roman" w:hAnsi="Times New Roman" w:cs="Times New Roman"/>
              <w:noProof/>
              <w:sz w:val="24"/>
              <w:szCs w:val="24"/>
            </w:rPr>
          </w:pPr>
          <w:hyperlink w:anchor="_Toc77603996" w:history="1">
            <w:r w:rsidR="00B803D4" w:rsidRPr="00B803D4">
              <w:rPr>
                <w:rStyle w:val="Hyperlink"/>
                <w:rFonts w:ascii="Times New Roman" w:hAnsi="Times New Roman" w:cs="Times New Roman"/>
                <w:noProof/>
                <w:sz w:val="24"/>
                <w:szCs w:val="24"/>
              </w:rPr>
              <w:t>Conclusion:</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_Toc77603996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11</w:t>
            </w:r>
            <w:r w:rsidR="00B803D4" w:rsidRPr="00B803D4">
              <w:rPr>
                <w:rFonts w:ascii="Times New Roman" w:hAnsi="Times New Roman" w:cs="Times New Roman"/>
                <w:noProof/>
                <w:webHidden/>
                <w:sz w:val="24"/>
                <w:szCs w:val="24"/>
              </w:rPr>
              <w:fldChar w:fldCharType="end"/>
            </w:r>
          </w:hyperlink>
        </w:p>
        <w:p w14:paraId="68585AB2" w14:textId="77777777" w:rsidR="00B803D4" w:rsidRPr="00B803D4" w:rsidRDefault="009302AD">
          <w:pPr>
            <w:pStyle w:val="TOC1"/>
            <w:tabs>
              <w:tab w:val="right" w:leader="dot" w:pos="9019"/>
            </w:tabs>
            <w:rPr>
              <w:rFonts w:ascii="Times New Roman" w:hAnsi="Times New Roman" w:cs="Times New Roman"/>
              <w:noProof/>
              <w:sz w:val="24"/>
              <w:szCs w:val="24"/>
            </w:rPr>
          </w:pPr>
          <w:hyperlink w:anchor="_Toc77603997" w:history="1">
            <w:r w:rsidR="00B803D4" w:rsidRPr="00B803D4">
              <w:rPr>
                <w:rStyle w:val="Hyperlink"/>
                <w:rFonts w:ascii="Times New Roman" w:hAnsi="Times New Roman" w:cs="Times New Roman"/>
                <w:noProof/>
                <w:sz w:val="24"/>
                <w:szCs w:val="24"/>
              </w:rPr>
              <w:t>Reference List</w:t>
            </w:r>
            <w:r w:rsidR="00B803D4" w:rsidRPr="00B803D4">
              <w:rPr>
                <w:rFonts w:ascii="Times New Roman" w:hAnsi="Times New Roman" w:cs="Times New Roman"/>
                <w:noProof/>
                <w:webHidden/>
                <w:sz w:val="24"/>
                <w:szCs w:val="24"/>
              </w:rPr>
              <w:tab/>
            </w:r>
            <w:r w:rsidR="00B803D4" w:rsidRPr="00B803D4">
              <w:rPr>
                <w:rFonts w:ascii="Times New Roman" w:hAnsi="Times New Roman" w:cs="Times New Roman"/>
                <w:noProof/>
                <w:webHidden/>
                <w:sz w:val="24"/>
                <w:szCs w:val="24"/>
              </w:rPr>
              <w:fldChar w:fldCharType="begin"/>
            </w:r>
            <w:r w:rsidR="00B803D4" w:rsidRPr="00B803D4">
              <w:rPr>
                <w:rFonts w:ascii="Times New Roman" w:hAnsi="Times New Roman" w:cs="Times New Roman"/>
                <w:noProof/>
                <w:webHidden/>
                <w:sz w:val="24"/>
                <w:szCs w:val="24"/>
              </w:rPr>
              <w:instrText xml:space="preserve"> PAGEREF _Toc77603997 \h </w:instrText>
            </w:r>
            <w:r w:rsidR="00B803D4" w:rsidRPr="00B803D4">
              <w:rPr>
                <w:rFonts w:ascii="Times New Roman" w:hAnsi="Times New Roman" w:cs="Times New Roman"/>
                <w:noProof/>
                <w:webHidden/>
                <w:sz w:val="24"/>
                <w:szCs w:val="24"/>
              </w:rPr>
            </w:r>
            <w:r w:rsidR="00B803D4" w:rsidRPr="00B803D4">
              <w:rPr>
                <w:rFonts w:ascii="Times New Roman" w:hAnsi="Times New Roman" w:cs="Times New Roman"/>
                <w:noProof/>
                <w:webHidden/>
                <w:sz w:val="24"/>
                <w:szCs w:val="24"/>
              </w:rPr>
              <w:fldChar w:fldCharType="separate"/>
            </w:r>
            <w:r w:rsidR="00B803D4" w:rsidRPr="00B803D4">
              <w:rPr>
                <w:rFonts w:ascii="Times New Roman" w:hAnsi="Times New Roman" w:cs="Times New Roman"/>
                <w:noProof/>
                <w:webHidden/>
                <w:sz w:val="24"/>
                <w:szCs w:val="24"/>
              </w:rPr>
              <w:t>12</w:t>
            </w:r>
            <w:r w:rsidR="00B803D4" w:rsidRPr="00B803D4">
              <w:rPr>
                <w:rFonts w:ascii="Times New Roman" w:hAnsi="Times New Roman" w:cs="Times New Roman"/>
                <w:noProof/>
                <w:webHidden/>
                <w:sz w:val="24"/>
                <w:szCs w:val="24"/>
              </w:rPr>
              <w:fldChar w:fldCharType="end"/>
            </w:r>
          </w:hyperlink>
        </w:p>
        <w:p w14:paraId="209C4851" w14:textId="77777777" w:rsidR="00B803D4" w:rsidRDefault="00B803D4">
          <w:r w:rsidRPr="00B803D4">
            <w:rPr>
              <w:rFonts w:ascii="Times New Roman" w:hAnsi="Times New Roman" w:cs="Times New Roman"/>
              <w:b/>
              <w:bCs/>
              <w:noProof/>
              <w:sz w:val="24"/>
              <w:szCs w:val="24"/>
            </w:rPr>
            <w:fldChar w:fldCharType="end"/>
          </w:r>
        </w:p>
      </w:sdtContent>
    </w:sdt>
    <w:p w14:paraId="268F0340" w14:textId="77777777" w:rsidR="00B803D4" w:rsidRDefault="00B803D4" w:rsidP="00B803D4">
      <w:pPr>
        <w:spacing w:line="360" w:lineRule="auto"/>
        <w:jc w:val="both"/>
        <w:rPr>
          <w:rFonts w:ascii="Times New Roman" w:hAnsi="Times New Roman" w:cs="Times New Roman"/>
          <w:sz w:val="24"/>
          <w:szCs w:val="24"/>
        </w:rPr>
      </w:pPr>
    </w:p>
    <w:p w14:paraId="577C6E16" w14:textId="77777777" w:rsidR="00B803D4" w:rsidRDefault="00B803D4">
      <w:pPr>
        <w:rPr>
          <w:rFonts w:ascii="Times New Roman" w:hAnsi="Times New Roman" w:cs="Times New Roman"/>
          <w:sz w:val="24"/>
          <w:szCs w:val="24"/>
        </w:rPr>
      </w:pPr>
      <w:r>
        <w:rPr>
          <w:rFonts w:ascii="Times New Roman" w:hAnsi="Times New Roman" w:cs="Times New Roman"/>
          <w:sz w:val="24"/>
          <w:szCs w:val="24"/>
        </w:rPr>
        <w:br w:type="page"/>
      </w:r>
    </w:p>
    <w:p w14:paraId="5B9838E7" w14:textId="77777777" w:rsidR="00FA6845" w:rsidRPr="00B803D4" w:rsidRDefault="009143EF" w:rsidP="00B803D4">
      <w:pPr>
        <w:spacing w:line="360" w:lineRule="auto"/>
        <w:jc w:val="both"/>
        <w:rPr>
          <w:rFonts w:ascii="Times New Roman" w:hAnsi="Times New Roman" w:cs="Times New Roman"/>
          <w:b/>
          <w:bCs/>
          <w:sz w:val="28"/>
          <w:szCs w:val="28"/>
        </w:rPr>
      </w:pPr>
      <w:r w:rsidRPr="00B803D4">
        <w:rPr>
          <w:rFonts w:ascii="Times New Roman" w:hAnsi="Times New Roman" w:cs="Times New Roman"/>
          <w:b/>
          <w:bCs/>
          <w:sz w:val="28"/>
          <w:szCs w:val="28"/>
        </w:rPr>
        <w:lastRenderedPageBreak/>
        <w:t>Part B</w:t>
      </w:r>
    </w:p>
    <w:p w14:paraId="79CBD9DE" w14:textId="77777777" w:rsidR="00FA6845" w:rsidRPr="00B803D4" w:rsidRDefault="009143EF" w:rsidP="00B803D4">
      <w:pPr>
        <w:pStyle w:val="Heading1"/>
      </w:pPr>
      <w:bookmarkStart w:id="0" w:name="_Toc77603985"/>
      <w:r w:rsidRPr="00B803D4">
        <w:t>Introduction:</w:t>
      </w:r>
      <w:bookmarkEnd w:id="0"/>
    </w:p>
    <w:p w14:paraId="1C7225B1"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In this personal reflection, we wish to consider community engagement programmes organized by different charities and compare them. The community engagement programme of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was discussed in the first part. In this section, the community engagement programme of a similar organization British Heart Foundation will be evaluated. These two organizations have been doing some commendable work in their respective fields. On one hand,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UK’s main purpose is to fund good causes around the world. On the other hand, British Heart Foundation’s goal is to create awareness about pulmonary diseases and other heart problems. The personal reflection will be aiming to identify the best practices of a community engagement program. Moreover, the key challenges of a community engagement programme will be identified, and different strategies will be proposed on how to overcome them. The community engagement of the two organizations will be compared so that it can be understood what are the best steps taken by them during their community engagement programme (</w:t>
      </w:r>
      <w:proofErr w:type="spellStart"/>
      <w:r w:rsidRPr="00B803D4">
        <w:rPr>
          <w:rFonts w:ascii="Times New Roman" w:hAnsi="Times New Roman" w:cs="Times New Roman"/>
          <w:color w:val="222222"/>
          <w:sz w:val="24"/>
          <w:szCs w:val="24"/>
          <w:highlight w:val="white"/>
        </w:rPr>
        <w:t>Adhikari</w:t>
      </w:r>
      <w:proofErr w:type="spellEnd"/>
      <w:r w:rsidRPr="00B803D4">
        <w:rPr>
          <w:rFonts w:ascii="Times New Roman" w:hAnsi="Times New Roman" w:cs="Times New Roman"/>
          <w:color w:val="222222"/>
          <w:sz w:val="24"/>
          <w:szCs w:val="24"/>
          <w:highlight w:val="white"/>
        </w:rPr>
        <w:t xml:space="preserve">, Pell and </w:t>
      </w:r>
      <w:proofErr w:type="spellStart"/>
      <w:r w:rsidRPr="00B803D4">
        <w:rPr>
          <w:rFonts w:ascii="Times New Roman" w:hAnsi="Times New Roman" w:cs="Times New Roman"/>
          <w:color w:val="222222"/>
          <w:sz w:val="24"/>
          <w:szCs w:val="24"/>
          <w:highlight w:val="white"/>
        </w:rPr>
        <w:t>Cheah</w:t>
      </w:r>
      <w:proofErr w:type="spellEnd"/>
      <w:r w:rsidRPr="00B803D4">
        <w:rPr>
          <w:rFonts w:ascii="Times New Roman" w:hAnsi="Times New Roman" w:cs="Times New Roman"/>
          <w:color w:val="222222"/>
          <w:sz w:val="24"/>
          <w:szCs w:val="24"/>
          <w:highlight w:val="white"/>
        </w:rPr>
        <w:t>, 2020</w:t>
      </w:r>
      <w:r w:rsidRPr="00B803D4">
        <w:rPr>
          <w:rFonts w:ascii="Times New Roman" w:hAnsi="Times New Roman" w:cs="Times New Roman"/>
          <w:sz w:val="24"/>
          <w:szCs w:val="24"/>
        </w:rPr>
        <w:t>). The critical evaluation of the models used in these two community engagement programmes will also be done. The impact of effective communication and stakeholders’ participation during the programmes will be observed and analysed as well.</w:t>
      </w:r>
    </w:p>
    <w:p w14:paraId="621CBD82" w14:textId="77777777" w:rsidR="00FA6845" w:rsidRPr="00B803D4" w:rsidRDefault="00FA6845" w:rsidP="00B803D4">
      <w:pPr>
        <w:spacing w:line="360" w:lineRule="auto"/>
        <w:jc w:val="both"/>
        <w:rPr>
          <w:rFonts w:ascii="Times New Roman" w:hAnsi="Times New Roman" w:cs="Times New Roman"/>
          <w:sz w:val="24"/>
          <w:szCs w:val="24"/>
        </w:rPr>
      </w:pPr>
    </w:p>
    <w:p w14:paraId="039F05A3" w14:textId="77777777" w:rsidR="00FA6845" w:rsidRPr="00B803D4" w:rsidRDefault="009143EF" w:rsidP="00B803D4">
      <w:pPr>
        <w:spacing w:line="360" w:lineRule="auto"/>
        <w:jc w:val="center"/>
        <w:rPr>
          <w:rFonts w:ascii="Times New Roman" w:hAnsi="Times New Roman" w:cs="Times New Roman"/>
          <w:sz w:val="24"/>
          <w:szCs w:val="24"/>
        </w:rPr>
      </w:pPr>
      <w:r w:rsidRPr="00B803D4">
        <w:rPr>
          <w:rFonts w:ascii="Times New Roman" w:hAnsi="Times New Roman" w:cs="Times New Roman"/>
          <w:noProof/>
          <w:sz w:val="24"/>
          <w:szCs w:val="24"/>
        </w:rPr>
        <w:drawing>
          <wp:inline distT="114300" distB="114300" distL="114300" distR="114300" wp14:anchorId="571C1DFF" wp14:editId="6CB79654">
            <wp:extent cx="4586396" cy="2958226"/>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586396" cy="2958226"/>
                    </a:xfrm>
                    <a:prstGeom prst="rect">
                      <a:avLst/>
                    </a:prstGeom>
                    <a:ln/>
                  </pic:spPr>
                </pic:pic>
              </a:graphicData>
            </a:graphic>
          </wp:inline>
        </w:drawing>
      </w:r>
    </w:p>
    <w:p w14:paraId="06A7F6CA" w14:textId="77777777" w:rsidR="00FA6845" w:rsidRPr="00B803D4" w:rsidRDefault="009143EF" w:rsidP="00B803D4">
      <w:pPr>
        <w:spacing w:line="360" w:lineRule="auto"/>
        <w:jc w:val="center"/>
        <w:rPr>
          <w:rFonts w:ascii="Times New Roman" w:hAnsi="Times New Roman" w:cs="Times New Roman"/>
          <w:sz w:val="24"/>
          <w:szCs w:val="24"/>
        </w:rPr>
      </w:pPr>
      <w:r w:rsidRPr="00B803D4">
        <w:rPr>
          <w:rFonts w:ascii="Times New Roman" w:hAnsi="Times New Roman" w:cs="Times New Roman"/>
          <w:b/>
          <w:bCs/>
          <w:sz w:val="24"/>
          <w:szCs w:val="24"/>
        </w:rPr>
        <w:lastRenderedPageBreak/>
        <w:t>Image 1</w:t>
      </w:r>
      <w:r w:rsidRPr="00B803D4">
        <w:rPr>
          <w:rFonts w:ascii="Times New Roman" w:hAnsi="Times New Roman" w:cs="Times New Roman"/>
          <w:sz w:val="24"/>
          <w:szCs w:val="24"/>
        </w:rPr>
        <w:t>: British Heart Foundation</w:t>
      </w:r>
    </w:p>
    <w:p w14:paraId="74B35C2D" w14:textId="77777777" w:rsidR="00FA6845" w:rsidRPr="00B803D4" w:rsidRDefault="009143EF" w:rsidP="00B803D4">
      <w:pPr>
        <w:spacing w:line="360" w:lineRule="auto"/>
        <w:jc w:val="center"/>
        <w:rPr>
          <w:rFonts w:ascii="Times New Roman" w:hAnsi="Times New Roman" w:cs="Times New Roman"/>
          <w:sz w:val="24"/>
          <w:szCs w:val="24"/>
        </w:rPr>
      </w:pPr>
      <w:r w:rsidRPr="00B803D4">
        <w:rPr>
          <w:rFonts w:ascii="Times New Roman" w:hAnsi="Times New Roman" w:cs="Times New Roman"/>
          <w:sz w:val="24"/>
          <w:szCs w:val="24"/>
        </w:rPr>
        <w:t>(Source:</w:t>
      </w:r>
      <w:r w:rsidR="00B803D4">
        <w:rPr>
          <w:rFonts w:ascii="Times New Roman" w:hAnsi="Times New Roman" w:cs="Times New Roman"/>
          <w:sz w:val="24"/>
          <w:szCs w:val="24"/>
        </w:rPr>
        <w:t xml:space="preserve"> </w:t>
      </w:r>
      <w:proofErr w:type="spellStart"/>
      <w:r w:rsidR="00B803D4" w:rsidRPr="00B803D4">
        <w:rPr>
          <w:rFonts w:ascii="Times New Roman" w:hAnsi="Times New Roman" w:cs="Times New Roman"/>
          <w:color w:val="222222"/>
          <w:sz w:val="24"/>
          <w:szCs w:val="24"/>
          <w:highlight w:val="white"/>
        </w:rPr>
        <w:t>Adhikari</w:t>
      </w:r>
      <w:proofErr w:type="spellEnd"/>
      <w:r w:rsidR="00B803D4" w:rsidRPr="00B803D4">
        <w:rPr>
          <w:rFonts w:ascii="Times New Roman" w:hAnsi="Times New Roman" w:cs="Times New Roman"/>
          <w:color w:val="222222"/>
          <w:sz w:val="24"/>
          <w:szCs w:val="24"/>
          <w:highlight w:val="white"/>
        </w:rPr>
        <w:t xml:space="preserve">, Pell and </w:t>
      </w:r>
      <w:proofErr w:type="spellStart"/>
      <w:r w:rsidR="00B803D4" w:rsidRPr="00B803D4">
        <w:rPr>
          <w:rFonts w:ascii="Times New Roman" w:hAnsi="Times New Roman" w:cs="Times New Roman"/>
          <w:color w:val="222222"/>
          <w:sz w:val="24"/>
          <w:szCs w:val="24"/>
          <w:highlight w:val="white"/>
        </w:rPr>
        <w:t>Cheah</w:t>
      </w:r>
      <w:proofErr w:type="spellEnd"/>
      <w:r w:rsidR="00B803D4" w:rsidRPr="00B803D4">
        <w:rPr>
          <w:rFonts w:ascii="Times New Roman" w:hAnsi="Times New Roman" w:cs="Times New Roman"/>
          <w:color w:val="222222"/>
          <w:sz w:val="24"/>
          <w:szCs w:val="24"/>
          <w:highlight w:val="white"/>
        </w:rPr>
        <w:t>, 2020</w:t>
      </w:r>
      <w:r w:rsidR="00B803D4">
        <w:rPr>
          <w:rFonts w:ascii="Times New Roman" w:hAnsi="Times New Roman" w:cs="Times New Roman"/>
          <w:color w:val="222222"/>
          <w:sz w:val="24"/>
          <w:szCs w:val="24"/>
        </w:rPr>
        <w:t>)</w:t>
      </w:r>
    </w:p>
    <w:p w14:paraId="1FE41E6A" w14:textId="77777777" w:rsidR="00FA6845" w:rsidRPr="00B803D4" w:rsidRDefault="009143EF" w:rsidP="00B803D4">
      <w:pPr>
        <w:pStyle w:val="Heading1"/>
      </w:pPr>
      <w:bookmarkStart w:id="1" w:name="_Toc77603986"/>
      <w:r w:rsidRPr="00B803D4">
        <w:t>Difference between the Projects:</w:t>
      </w:r>
      <w:bookmarkEnd w:id="1"/>
      <w:r w:rsidRPr="00B803D4">
        <w:t xml:space="preserve"> </w:t>
      </w:r>
    </w:p>
    <w:p w14:paraId="0D6F89EC"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Community engagement projects mainly focus on working together with different groups of people that are directly influenced by the actions of that organization. These programmes look to create awareness about the operations of charitable organizations among the local community. There are mainly four types of community engagement methods (</w:t>
      </w:r>
      <w:proofErr w:type="spellStart"/>
      <w:r w:rsidRPr="00B803D4">
        <w:rPr>
          <w:rFonts w:ascii="Times New Roman" w:hAnsi="Times New Roman" w:cs="Times New Roman"/>
          <w:color w:val="222222"/>
          <w:sz w:val="24"/>
          <w:szCs w:val="24"/>
          <w:highlight w:val="white"/>
        </w:rPr>
        <w:t>Zanbar</w:t>
      </w:r>
      <w:proofErr w:type="spellEnd"/>
      <w:r w:rsidRPr="00B803D4">
        <w:rPr>
          <w:rFonts w:ascii="Times New Roman" w:hAnsi="Times New Roman" w:cs="Times New Roman"/>
          <w:color w:val="222222"/>
          <w:sz w:val="24"/>
          <w:szCs w:val="24"/>
          <w:highlight w:val="white"/>
        </w:rPr>
        <w:t xml:space="preserve"> and Ellison, 2019</w:t>
      </w:r>
      <w:r w:rsidRPr="00B803D4">
        <w:rPr>
          <w:rFonts w:ascii="Times New Roman" w:hAnsi="Times New Roman" w:cs="Times New Roman"/>
          <w:sz w:val="24"/>
          <w:szCs w:val="24"/>
        </w:rPr>
        <w:t xml:space="preserve">). These are community meetings, focus groups, surveys, and online engagements.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is an organization that looks to fund projects with valid social causes in different countries. On the other hand, BHF looks to help people dealing with heart and pulmonary diseases with medical expenses, operations, and others. BHF’s community engagement programmes are aimed to create awareness about heart diseases and the steps that can be taken to overcome them.</w:t>
      </w:r>
    </w:p>
    <w:p w14:paraId="0B0AEC2B"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 </w:t>
      </w:r>
    </w:p>
    <w:p w14:paraId="3D12E166"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The main difference between the community engagement programmes of the two charitable organizations is their methods and approaches.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mostly depends on online platforms for engaging communities with their programmes whereas British Heart Foundation depends on community meetings for community engagement projects. For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it is easier to reach more people through web-based platforms. As the organization is operational in almost 164 countries, they have to connect with different communities worldwide, which is easier through an online medium. However, British Heart Foundation looks to increase heart and circulatory disease-related awareness among people. That is why they have to rely on different tests through medical camps across the UK and in other countries (</w:t>
      </w:r>
      <w:r w:rsidRPr="00B803D4">
        <w:rPr>
          <w:rFonts w:ascii="Times New Roman" w:hAnsi="Times New Roman" w:cs="Times New Roman"/>
          <w:color w:val="222222"/>
          <w:sz w:val="24"/>
          <w:szCs w:val="24"/>
          <w:highlight w:val="white"/>
        </w:rPr>
        <w:t xml:space="preserve">Pratt and de </w:t>
      </w:r>
      <w:proofErr w:type="spellStart"/>
      <w:r w:rsidRPr="00B803D4">
        <w:rPr>
          <w:rFonts w:ascii="Times New Roman" w:hAnsi="Times New Roman" w:cs="Times New Roman"/>
          <w:color w:val="222222"/>
          <w:sz w:val="24"/>
          <w:szCs w:val="24"/>
          <w:highlight w:val="white"/>
        </w:rPr>
        <w:t>Vries</w:t>
      </w:r>
      <w:proofErr w:type="spellEnd"/>
      <w:r w:rsidRPr="00B803D4">
        <w:rPr>
          <w:rFonts w:ascii="Times New Roman" w:hAnsi="Times New Roman" w:cs="Times New Roman"/>
          <w:color w:val="222222"/>
          <w:sz w:val="24"/>
          <w:szCs w:val="24"/>
          <w:highlight w:val="white"/>
        </w:rPr>
        <w:t>, 2018</w:t>
      </w:r>
      <w:r w:rsidRPr="00B803D4">
        <w:rPr>
          <w:rFonts w:ascii="Times New Roman" w:hAnsi="Times New Roman" w:cs="Times New Roman"/>
          <w:sz w:val="24"/>
          <w:szCs w:val="24"/>
        </w:rPr>
        <w:t xml:space="preserve">). Although the organization is active on social media platforms as well, the major part of their community engagement programmes is done through community meetings in different places. </w:t>
      </w:r>
    </w:p>
    <w:p w14:paraId="185DCD3D"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Reasons for Using Different Types of Community Engagement Programmes are as follows-</w:t>
      </w:r>
    </w:p>
    <w:p w14:paraId="61976610" w14:textId="77777777" w:rsidR="00FA6845" w:rsidRPr="00B803D4" w:rsidRDefault="009143EF" w:rsidP="00B803D4">
      <w:pPr>
        <w:numPr>
          <w:ilvl w:val="0"/>
          <w:numId w:val="3"/>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The operations and purpose of the two organizations are very different from each other.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uses community engagement to reach more people </w:t>
      </w:r>
      <w:r w:rsidRPr="00B803D4">
        <w:rPr>
          <w:rFonts w:ascii="Times New Roman" w:hAnsi="Times New Roman" w:cs="Times New Roman"/>
          <w:sz w:val="24"/>
          <w:szCs w:val="24"/>
        </w:rPr>
        <w:lastRenderedPageBreak/>
        <w:t xml:space="preserve">across the world as a part of its crowdfunding process. Whereas, BHF uses community engagement as a tool of raising awareness about heart diseases. </w:t>
      </w:r>
    </w:p>
    <w:p w14:paraId="083369E7" w14:textId="77777777" w:rsidR="00FA6845" w:rsidRPr="00B803D4" w:rsidRDefault="009143EF" w:rsidP="00B803D4">
      <w:pPr>
        <w:numPr>
          <w:ilvl w:val="0"/>
          <w:numId w:val="3"/>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Since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is operational in 164 countries, they rely more on social media engagements. On the other hand, BHF uses community meetings to give health benefits to the communities (</w:t>
      </w:r>
      <w:proofErr w:type="spellStart"/>
      <w:r w:rsidRPr="00B803D4">
        <w:rPr>
          <w:rFonts w:ascii="Times New Roman" w:hAnsi="Times New Roman" w:cs="Times New Roman"/>
          <w:color w:val="222222"/>
          <w:sz w:val="24"/>
          <w:szCs w:val="24"/>
          <w:highlight w:val="white"/>
        </w:rPr>
        <w:t>Mosconi</w:t>
      </w:r>
      <w:proofErr w:type="spellEnd"/>
      <w:r w:rsidRPr="00B803D4">
        <w:rPr>
          <w:rFonts w:ascii="Times New Roman" w:hAnsi="Times New Roman" w:cs="Times New Roman"/>
          <w:color w:val="222222"/>
          <w:sz w:val="24"/>
          <w:szCs w:val="24"/>
          <w:highlight w:val="white"/>
        </w:rPr>
        <w:t xml:space="preserve"> et al., 2017</w:t>
      </w:r>
      <w:r w:rsidRPr="00B803D4">
        <w:rPr>
          <w:rFonts w:ascii="Times New Roman" w:hAnsi="Times New Roman" w:cs="Times New Roman"/>
          <w:sz w:val="24"/>
          <w:szCs w:val="24"/>
        </w:rPr>
        <w:t xml:space="preserve">). </w:t>
      </w:r>
    </w:p>
    <w:p w14:paraId="37728096" w14:textId="77777777" w:rsidR="00FA6845" w:rsidRPr="00B803D4" w:rsidRDefault="00FA6845" w:rsidP="00B803D4">
      <w:pPr>
        <w:spacing w:line="360" w:lineRule="auto"/>
        <w:jc w:val="both"/>
        <w:rPr>
          <w:rFonts w:ascii="Times New Roman" w:hAnsi="Times New Roman" w:cs="Times New Roman"/>
          <w:sz w:val="24"/>
          <w:szCs w:val="24"/>
        </w:rPr>
      </w:pPr>
    </w:p>
    <w:p w14:paraId="3EBBC0C6" w14:textId="77777777" w:rsidR="00B803D4" w:rsidRDefault="00B803D4" w:rsidP="00B803D4">
      <w:pPr>
        <w:pStyle w:val="Heading2"/>
      </w:pPr>
      <w:bookmarkStart w:id="2" w:name="_Toc77603987"/>
      <w:r>
        <w:t>Best Practices:</w:t>
      </w:r>
      <w:bookmarkEnd w:id="2"/>
    </w:p>
    <w:p w14:paraId="43DF544E"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The community engagement programmes of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and BHF are different from each other in terms of best practices. The main differences between the practices of these programs are discussed below. </w:t>
      </w:r>
    </w:p>
    <w:tbl>
      <w:tblPr>
        <w:tblStyle w:val="a"/>
        <w:tblW w:w="90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5"/>
        <w:gridCol w:w="3600"/>
        <w:gridCol w:w="3330"/>
      </w:tblGrid>
      <w:tr w:rsidR="00FA6845" w:rsidRPr="00B803D4" w14:paraId="77B1BD43" w14:textId="77777777">
        <w:tc>
          <w:tcPr>
            <w:tcW w:w="2085" w:type="dxa"/>
            <w:shd w:val="clear" w:color="auto" w:fill="auto"/>
            <w:tcMar>
              <w:top w:w="100" w:type="dxa"/>
              <w:left w:w="100" w:type="dxa"/>
              <w:bottom w:w="100" w:type="dxa"/>
              <w:right w:w="100" w:type="dxa"/>
            </w:tcMar>
          </w:tcPr>
          <w:p w14:paraId="69B20F26"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Aspects</w:t>
            </w:r>
          </w:p>
        </w:tc>
        <w:tc>
          <w:tcPr>
            <w:tcW w:w="3600" w:type="dxa"/>
            <w:shd w:val="clear" w:color="auto" w:fill="auto"/>
            <w:tcMar>
              <w:top w:w="100" w:type="dxa"/>
              <w:left w:w="100" w:type="dxa"/>
              <w:bottom w:w="100" w:type="dxa"/>
              <w:right w:w="100" w:type="dxa"/>
            </w:tcMar>
          </w:tcPr>
          <w:p w14:paraId="6EFC0456"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w:t>
            </w:r>
          </w:p>
        </w:tc>
        <w:tc>
          <w:tcPr>
            <w:tcW w:w="3330" w:type="dxa"/>
            <w:shd w:val="clear" w:color="auto" w:fill="auto"/>
            <w:tcMar>
              <w:top w:w="100" w:type="dxa"/>
              <w:left w:w="100" w:type="dxa"/>
              <w:bottom w:w="100" w:type="dxa"/>
              <w:right w:w="100" w:type="dxa"/>
            </w:tcMar>
          </w:tcPr>
          <w:p w14:paraId="553F47C9"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British Heart Foundations</w:t>
            </w:r>
          </w:p>
        </w:tc>
      </w:tr>
      <w:tr w:rsidR="00FA6845" w:rsidRPr="00B803D4" w14:paraId="7D08647C" w14:textId="77777777">
        <w:trPr>
          <w:trHeight w:val="1527"/>
        </w:trPr>
        <w:tc>
          <w:tcPr>
            <w:tcW w:w="2085" w:type="dxa"/>
            <w:shd w:val="clear" w:color="auto" w:fill="auto"/>
            <w:tcMar>
              <w:top w:w="100" w:type="dxa"/>
              <w:left w:w="100" w:type="dxa"/>
              <w:bottom w:w="100" w:type="dxa"/>
              <w:right w:w="100" w:type="dxa"/>
            </w:tcMar>
          </w:tcPr>
          <w:p w14:paraId="78B6ABF9"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Main goal</w:t>
            </w:r>
          </w:p>
        </w:tc>
        <w:tc>
          <w:tcPr>
            <w:tcW w:w="3600" w:type="dxa"/>
            <w:shd w:val="clear" w:color="auto" w:fill="auto"/>
            <w:tcMar>
              <w:top w:w="100" w:type="dxa"/>
              <w:left w:w="100" w:type="dxa"/>
              <w:bottom w:w="100" w:type="dxa"/>
              <w:right w:w="100" w:type="dxa"/>
            </w:tcMar>
          </w:tcPr>
          <w:p w14:paraId="12F05A62"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The main purpose of the community engagement programme of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is to look for assets that are mainly used to help different social causes across the world. </w:t>
            </w:r>
          </w:p>
        </w:tc>
        <w:tc>
          <w:tcPr>
            <w:tcW w:w="3330" w:type="dxa"/>
            <w:shd w:val="clear" w:color="auto" w:fill="auto"/>
            <w:tcMar>
              <w:top w:w="100" w:type="dxa"/>
              <w:left w:w="100" w:type="dxa"/>
              <w:bottom w:w="100" w:type="dxa"/>
              <w:right w:w="100" w:type="dxa"/>
            </w:tcMar>
          </w:tcPr>
          <w:p w14:paraId="29C81CDF"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British Heart Foundation organizes community engagement projects mainly to raise awareness about heart and other circulatory diseases. </w:t>
            </w:r>
          </w:p>
        </w:tc>
      </w:tr>
      <w:tr w:rsidR="00FA6845" w:rsidRPr="00B803D4" w14:paraId="3A7BC0AE" w14:textId="77777777">
        <w:trPr>
          <w:trHeight w:val="1542"/>
        </w:trPr>
        <w:tc>
          <w:tcPr>
            <w:tcW w:w="2085" w:type="dxa"/>
            <w:shd w:val="clear" w:color="auto" w:fill="auto"/>
            <w:tcMar>
              <w:top w:w="100" w:type="dxa"/>
              <w:left w:w="100" w:type="dxa"/>
              <w:bottom w:w="100" w:type="dxa"/>
              <w:right w:w="100" w:type="dxa"/>
            </w:tcMar>
          </w:tcPr>
          <w:p w14:paraId="4603E235"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Collaborations</w:t>
            </w:r>
          </w:p>
        </w:tc>
        <w:tc>
          <w:tcPr>
            <w:tcW w:w="3600" w:type="dxa"/>
            <w:shd w:val="clear" w:color="auto" w:fill="auto"/>
            <w:tcMar>
              <w:top w:w="100" w:type="dxa"/>
              <w:left w:w="100" w:type="dxa"/>
              <w:bottom w:w="100" w:type="dxa"/>
              <w:right w:w="100" w:type="dxa"/>
            </w:tcMar>
          </w:tcPr>
          <w:p w14:paraId="1E09DA28"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The organization collaborates with different organizations doing social good across the globe and funds them so that they can operate smoothly in the future (</w:t>
            </w:r>
            <w:r w:rsidRPr="00B803D4">
              <w:rPr>
                <w:rFonts w:ascii="Times New Roman" w:hAnsi="Times New Roman" w:cs="Times New Roman"/>
                <w:color w:val="222222"/>
                <w:sz w:val="24"/>
                <w:szCs w:val="24"/>
                <w:highlight w:val="white"/>
              </w:rPr>
              <w:t xml:space="preserve">Tan and </w:t>
            </w:r>
            <w:proofErr w:type="spellStart"/>
            <w:r w:rsidRPr="00B803D4">
              <w:rPr>
                <w:rFonts w:ascii="Times New Roman" w:hAnsi="Times New Roman" w:cs="Times New Roman"/>
                <w:color w:val="222222"/>
                <w:sz w:val="24"/>
                <w:szCs w:val="24"/>
                <w:highlight w:val="white"/>
              </w:rPr>
              <w:t>Apisit-Isariyah</w:t>
            </w:r>
            <w:proofErr w:type="spellEnd"/>
            <w:r w:rsidRPr="00B803D4">
              <w:rPr>
                <w:rFonts w:ascii="Times New Roman" w:hAnsi="Times New Roman" w:cs="Times New Roman"/>
                <w:color w:val="222222"/>
                <w:sz w:val="24"/>
                <w:szCs w:val="24"/>
                <w:highlight w:val="white"/>
              </w:rPr>
              <w:t>, 2018</w:t>
            </w:r>
            <w:r w:rsidRPr="00B803D4">
              <w:rPr>
                <w:rFonts w:ascii="Times New Roman" w:hAnsi="Times New Roman" w:cs="Times New Roman"/>
                <w:sz w:val="24"/>
                <w:szCs w:val="24"/>
              </w:rPr>
              <w:t xml:space="preserve">). </w:t>
            </w:r>
          </w:p>
        </w:tc>
        <w:tc>
          <w:tcPr>
            <w:tcW w:w="3330" w:type="dxa"/>
            <w:shd w:val="clear" w:color="auto" w:fill="auto"/>
            <w:tcMar>
              <w:top w:w="100" w:type="dxa"/>
              <w:left w:w="100" w:type="dxa"/>
              <w:bottom w:w="100" w:type="dxa"/>
              <w:right w:w="100" w:type="dxa"/>
            </w:tcMar>
          </w:tcPr>
          <w:p w14:paraId="7B02EE45"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The main collaborations of the organizations are done with different healthcare organizations to reach more people so that they can be helped. </w:t>
            </w:r>
          </w:p>
        </w:tc>
      </w:tr>
      <w:tr w:rsidR="00FA6845" w:rsidRPr="00B803D4" w14:paraId="1BDCA13E" w14:textId="77777777">
        <w:trPr>
          <w:trHeight w:val="1920"/>
        </w:trPr>
        <w:tc>
          <w:tcPr>
            <w:tcW w:w="2085" w:type="dxa"/>
            <w:shd w:val="clear" w:color="auto" w:fill="auto"/>
            <w:tcMar>
              <w:top w:w="100" w:type="dxa"/>
              <w:left w:w="100" w:type="dxa"/>
              <w:bottom w:w="100" w:type="dxa"/>
              <w:right w:w="100" w:type="dxa"/>
            </w:tcMar>
          </w:tcPr>
          <w:p w14:paraId="389BB78A"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Research and Education</w:t>
            </w:r>
          </w:p>
        </w:tc>
        <w:tc>
          <w:tcPr>
            <w:tcW w:w="3600" w:type="dxa"/>
            <w:shd w:val="clear" w:color="auto" w:fill="auto"/>
            <w:tcMar>
              <w:top w:w="100" w:type="dxa"/>
              <w:left w:w="100" w:type="dxa"/>
              <w:bottom w:w="100" w:type="dxa"/>
              <w:right w:w="100" w:type="dxa"/>
            </w:tcMar>
          </w:tcPr>
          <w:p w14:paraId="48DD0B4A"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encourages education in the communities that they include in their community engagement programmes. They fund projects that work on the </w:t>
            </w:r>
            <w:r w:rsidRPr="00B803D4">
              <w:rPr>
                <w:rFonts w:ascii="Times New Roman" w:hAnsi="Times New Roman" w:cs="Times New Roman"/>
                <w:sz w:val="24"/>
                <w:szCs w:val="24"/>
              </w:rPr>
              <w:lastRenderedPageBreak/>
              <w:t xml:space="preserve">educational development of these communities. </w:t>
            </w:r>
          </w:p>
        </w:tc>
        <w:tc>
          <w:tcPr>
            <w:tcW w:w="3330" w:type="dxa"/>
            <w:shd w:val="clear" w:color="auto" w:fill="auto"/>
            <w:tcMar>
              <w:top w:w="100" w:type="dxa"/>
              <w:left w:w="100" w:type="dxa"/>
              <w:bottom w:w="100" w:type="dxa"/>
              <w:right w:w="100" w:type="dxa"/>
            </w:tcMar>
          </w:tcPr>
          <w:p w14:paraId="6306EDC6"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lastRenderedPageBreak/>
              <w:t xml:space="preserve">British Heart Foundation aims to increase the scope of research and awareness about heart and circulatory diseases. They fund different research projects by </w:t>
            </w:r>
            <w:r w:rsidRPr="00B803D4">
              <w:rPr>
                <w:rFonts w:ascii="Times New Roman" w:hAnsi="Times New Roman" w:cs="Times New Roman"/>
                <w:sz w:val="24"/>
                <w:szCs w:val="24"/>
              </w:rPr>
              <w:lastRenderedPageBreak/>
              <w:t xml:space="preserve">collecting money through crowdfunding. </w:t>
            </w:r>
          </w:p>
        </w:tc>
      </w:tr>
      <w:tr w:rsidR="00FA6845" w:rsidRPr="00B803D4" w14:paraId="3134B373" w14:textId="77777777">
        <w:trPr>
          <w:trHeight w:val="1920"/>
        </w:trPr>
        <w:tc>
          <w:tcPr>
            <w:tcW w:w="2085" w:type="dxa"/>
            <w:shd w:val="clear" w:color="auto" w:fill="auto"/>
            <w:tcMar>
              <w:top w:w="100" w:type="dxa"/>
              <w:left w:w="100" w:type="dxa"/>
              <w:bottom w:w="100" w:type="dxa"/>
              <w:right w:w="100" w:type="dxa"/>
            </w:tcMar>
          </w:tcPr>
          <w:p w14:paraId="7A2298F8"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lastRenderedPageBreak/>
              <w:t>Cultural Integration</w:t>
            </w:r>
          </w:p>
        </w:tc>
        <w:tc>
          <w:tcPr>
            <w:tcW w:w="3600" w:type="dxa"/>
            <w:shd w:val="clear" w:color="auto" w:fill="auto"/>
            <w:tcMar>
              <w:top w:w="100" w:type="dxa"/>
              <w:left w:w="100" w:type="dxa"/>
              <w:bottom w:w="100" w:type="dxa"/>
              <w:right w:w="100" w:type="dxa"/>
            </w:tcMar>
          </w:tcPr>
          <w:p w14:paraId="1C534CF2"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aims to include different communities and cultures in their community engagement programmes, so that the different issues of those communities can be worked on through their funding. </w:t>
            </w:r>
          </w:p>
        </w:tc>
        <w:tc>
          <w:tcPr>
            <w:tcW w:w="3330" w:type="dxa"/>
            <w:shd w:val="clear" w:color="auto" w:fill="auto"/>
            <w:tcMar>
              <w:top w:w="100" w:type="dxa"/>
              <w:left w:w="100" w:type="dxa"/>
              <w:bottom w:w="100" w:type="dxa"/>
              <w:right w:w="100" w:type="dxa"/>
            </w:tcMar>
          </w:tcPr>
          <w:p w14:paraId="42BB944A" w14:textId="77777777" w:rsidR="00FA6845" w:rsidRPr="00B803D4" w:rsidRDefault="009143EF" w:rsidP="00B803D4">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BHF as an organization identifies different cultural practices that can be effective to understand the pulmonary health of a person. </w:t>
            </w:r>
          </w:p>
        </w:tc>
      </w:tr>
    </w:tbl>
    <w:p w14:paraId="4DD51114" w14:textId="77777777" w:rsidR="00FA6845" w:rsidRPr="00B803D4" w:rsidRDefault="00FA6845" w:rsidP="00B803D4">
      <w:pPr>
        <w:spacing w:line="360" w:lineRule="auto"/>
        <w:jc w:val="both"/>
        <w:rPr>
          <w:rFonts w:ascii="Times New Roman" w:hAnsi="Times New Roman" w:cs="Times New Roman"/>
          <w:sz w:val="24"/>
          <w:szCs w:val="24"/>
        </w:rPr>
      </w:pPr>
    </w:p>
    <w:p w14:paraId="01FCFEFE" w14:textId="77777777" w:rsidR="00B803D4" w:rsidRDefault="00B803D4" w:rsidP="00B803D4">
      <w:pPr>
        <w:pStyle w:val="Heading2"/>
      </w:pPr>
      <w:bookmarkStart w:id="3" w:name="_Toc77603988"/>
      <w:r>
        <w:t>Community Research Methods:</w:t>
      </w:r>
      <w:bookmarkEnd w:id="3"/>
    </w:p>
    <w:p w14:paraId="61CEF7C4"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Although the community engagement programmes of these two organizations are very different from each other, their main goal is to help communities and create awareness among them. The organizations research communities and use the factual results gained from them to make the community engagement programmes more effective and inclusive. British Heart Foundation uses Community Based Participatory Research as their method of community engagement research programmes. This research is mainly based on three steps, participation, research, and action (</w:t>
      </w:r>
      <w:proofErr w:type="spellStart"/>
      <w:r w:rsidRPr="00B803D4">
        <w:rPr>
          <w:rFonts w:ascii="Times New Roman" w:hAnsi="Times New Roman" w:cs="Times New Roman"/>
          <w:color w:val="222222"/>
          <w:sz w:val="24"/>
          <w:szCs w:val="24"/>
          <w:highlight w:val="white"/>
        </w:rPr>
        <w:t>DeJonckheere</w:t>
      </w:r>
      <w:proofErr w:type="spellEnd"/>
      <w:r w:rsidRPr="00B803D4">
        <w:rPr>
          <w:rFonts w:ascii="Times New Roman" w:hAnsi="Times New Roman" w:cs="Times New Roman"/>
          <w:color w:val="222222"/>
          <w:sz w:val="24"/>
          <w:szCs w:val="24"/>
          <w:highlight w:val="white"/>
        </w:rPr>
        <w:t xml:space="preserve"> et al., 2019</w:t>
      </w:r>
      <w:r w:rsidRPr="00B803D4">
        <w:rPr>
          <w:rFonts w:ascii="Times New Roman" w:hAnsi="Times New Roman" w:cs="Times New Roman"/>
          <w:sz w:val="24"/>
          <w:szCs w:val="24"/>
        </w:rPr>
        <w:t xml:space="preserve">). CBPR helps in increasing the value and effectiveness of community engagement projects. On the other hand,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uses Economic Development based research methods to understand the needs of the communities in terms of economic development. They use demographic data of the communities in different parts of the world to identify the areas that need to be worked on for the overall economic development of the communities. </w:t>
      </w:r>
    </w:p>
    <w:p w14:paraId="5C03FB76" w14:textId="77777777" w:rsidR="00FA6845" w:rsidRPr="00B803D4" w:rsidRDefault="00FA6845" w:rsidP="00B803D4">
      <w:pPr>
        <w:spacing w:line="360" w:lineRule="auto"/>
        <w:jc w:val="both"/>
        <w:rPr>
          <w:rFonts w:ascii="Times New Roman" w:hAnsi="Times New Roman" w:cs="Times New Roman"/>
          <w:sz w:val="24"/>
          <w:szCs w:val="24"/>
        </w:rPr>
      </w:pPr>
    </w:p>
    <w:p w14:paraId="1FD2C5DF" w14:textId="77777777" w:rsidR="00B803D4" w:rsidRDefault="00B803D4" w:rsidP="00B803D4">
      <w:pPr>
        <w:pStyle w:val="Heading2"/>
      </w:pPr>
      <w:bookmarkStart w:id="4" w:name="_Toc77603989"/>
      <w:r>
        <w:lastRenderedPageBreak/>
        <w:t>Community Mapping:</w:t>
      </w:r>
      <w:bookmarkEnd w:id="4"/>
    </w:p>
    <w:p w14:paraId="73FDB3FB"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Both organizations use community mapping as a method to understand the assets of the people living in that community and to identify the different tools that can be used to help those people. Many different methods of community mapping are used by different organizations.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uses web-based data as an effective tool for community mapping, Whereas, British Heart Foundation mainly relies on surveys to gain community mapping information. </w:t>
      </w:r>
    </w:p>
    <w:p w14:paraId="66EE9852" w14:textId="77777777" w:rsidR="00FA6845" w:rsidRPr="00B803D4" w:rsidRDefault="00FA6845" w:rsidP="00B803D4">
      <w:pPr>
        <w:spacing w:line="360" w:lineRule="auto"/>
        <w:jc w:val="both"/>
        <w:rPr>
          <w:rFonts w:ascii="Times New Roman" w:hAnsi="Times New Roman" w:cs="Times New Roman"/>
          <w:sz w:val="24"/>
          <w:szCs w:val="24"/>
        </w:rPr>
      </w:pPr>
    </w:p>
    <w:p w14:paraId="6A56709B" w14:textId="77777777" w:rsidR="00B803D4" w:rsidRDefault="00B803D4" w:rsidP="00B803D4">
      <w:pPr>
        <w:pStyle w:val="Heading2"/>
      </w:pPr>
      <w:bookmarkStart w:id="5" w:name="_Toc77603990"/>
      <w:r>
        <w:t>Social Media Engagement:</w:t>
      </w:r>
      <w:bookmarkEnd w:id="5"/>
    </w:p>
    <w:p w14:paraId="112ADCF4"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Social media is an effective tool when it comes to community engagement of different organizations. It controls the popularity of the organization by giving them a platform to reach more people to whom they can convey their message. Both organizations use social media platforms as an effective tool of community engagement.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uses social media to reach more people to raise funds for the different social causes done by different charitable organizations around the world (</w:t>
      </w:r>
      <w:proofErr w:type="spellStart"/>
      <w:r w:rsidRPr="00B803D4">
        <w:rPr>
          <w:rFonts w:ascii="Times New Roman" w:hAnsi="Times New Roman" w:cs="Times New Roman"/>
          <w:color w:val="222222"/>
          <w:sz w:val="24"/>
          <w:szCs w:val="24"/>
          <w:highlight w:val="white"/>
        </w:rPr>
        <w:t>Dessart</w:t>
      </w:r>
      <w:proofErr w:type="spellEnd"/>
      <w:r w:rsidRPr="00B803D4">
        <w:rPr>
          <w:rFonts w:ascii="Times New Roman" w:hAnsi="Times New Roman" w:cs="Times New Roman"/>
          <w:color w:val="222222"/>
          <w:sz w:val="24"/>
          <w:szCs w:val="24"/>
          <w:highlight w:val="white"/>
        </w:rPr>
        <w:t>, 2017</w:t>
      </w:r>
      <w:r w:rsidRPr="00B803D4">
        <w:rPr>
          <w:rFonts w:ascii="Times New Roman" w:hAnsi="Times New Roman" w:cs="Times New Roman"/>
          <w:sz w:val="24"/>
          <w:szCs w:val="24"/>
        </w:rPr>
        <w:t>). Also, the organization uses social media to raise awareness about the different social issues. However, BHF uses social media as a part of its programmes about raising awareness for heart and circulatory diseases. Moreover, social media is used to connect the people in need of healthcare services with healthcare professionals so that they can get all sorts of help from them.</w:t>
      </w:r>
    </w:p>
    <w:p w14:paraId="346B2CAC"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 </w:t>
      </w:r>
    </w:p>
    <w:p w14:paraId="0E9D8686" w14:textId="77777777" w:rsidR="00FA6845" w:rsidRPr="00B803D4" w:rsidRDefault="009143EF" w:rsidP="00B803D4">
      <w:pPr>
        <w:spacing w:line="360" w:lineRule="auto"/>
        <w:jc w:val="center"/>
        <w:rPr>
          <w:rFonts w:ascii="Times New Roman" w:hAnsi="Times New Roman" w:cs="Times New Roman"/>
          <w:sz w:val="24"/>
          <w:szCs w:val="24"/>
        </w:rPr>
      </w:pPr>
      <w:r w:rsidRPr="00B803D4">
        <w:rPr>
          <w:rFonts w:ascii="Times New Roman" w:hAnsi="Times New Roman" w:cs="Times New Roman"/>
          <w:noProof/>
          <w:sz w:val="24"/>
          <w:szCs w:val="24"/>
        </w:rPr>
        <w:lastRenderedPageBreak/>
        <w:drawing>
          <wp:inline distT="114300" distB="114300" distL="114300" distR="114300" wp14:anchorId="5A0EF46C" wp14:editId="0AC3C042">
            <wp:extent cx="4243411" cy="423453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43411" cy="4234533"/>
                    </a:xfrm>
                    <a:prstGeom prst="rect">
                      <a:avLst/>
                    </a:prstGeom>
                    <a:ln/>
                  </pic:spPr>
                </pic:pic>
              </a:graphicData>
            </a:graphic>
          </wp:inline>
        </w:drawing>
      </w:r>
    </w:p>
    <w:p w14:paraId="4C3E7375" w14:textId="77777777" w:rsidR="00FA6845" w:rsidRPr="00B803D4" w:rsidRDefault="009143EF" w:rsidP="00B803D4">
      <w:pPr>
        <w:spacing w:line="360" w:lineRule="auto"/>
        <w:jc w:val="center"/>
        <w:rPr>
          <w:rFonts w:ascii="Times New Roman" w:hAnsi="Times New Roman" w:cs="Times New Roman"/>
          <w:sz w:val="24"/>
          <w:szCs w:val="24"/>
        </w:rPr>
      </w:pPr>
      <w:r w:rsidRPr="00B803D4">
        <w:rPr>
          <w:rFonts w:ascii="Times New Roman" w:hAnsi="Times New Roman" w:cs="Times New Roman"/>
          <w:b/>
          <w:bCs/>
          <w:sz w:val="24"/>
          <w:szCs w:val="24"/>
        </w:rPr>
        <w:t>Image</w:t>
      </w:r>
      <w:r w:rsidR="00B803D4">
        <w:rPr>
          <w:rFonts w:ascii="Times New Roman" w:hAnsi="Times New Roman" w:cs="Times New Roman"/>
          <w:b/>
          <w:bCs/>
          <w:sz w:val="24"/>
          <w:szCs w:val="24"/>
        </w:rPr>
        <w:t xml:space="preserve"> 2</w:t>
      </w:r>
      <w:r w:rsidRPr="00B803D4">
        <w:rPr>
          <w:rFonts w:ascii="Times New Roman" w:hAnsi="Times New Roman" w:cs="Times New Roman"/>
          <w:sz w:val="24"/>
          <w:szCs w:val="24"/>
        </w:rPr>
        <w:t>: Social Media Engagement</w:t>
      </w:r>
    </w:p>
    <w:p w14:paraId="12E032DD" w14:textId="77777777" w:rsidR="00FA6845" w:rsidRPr="00B803D4" w:rsidRDefault="00B803D4" w:rsidP="00B803D4">
      <w:pPr>
        <w:spacing w:line="360" w:lineRule="auto"/>
        <w:jc w:val="center"/>
        <w:rPr>
          <w:rFonts w:ascii="Times New Roman" w:hAnsi="Times New Roman" w:cs="Times New Roman"/>
          <w:sz w:val="24"/>
          <w:szCs w:val="24"/>
        </w:rPr>
      </w:pPr>
      <w:r w:rsidRPr="00B803D4">
        <w:rPr>
          <w:rFonts w:ascii="Times New Roman" w:hAnsi="Times New Roman" w:cs="Times New Roman"/>
          <w:sz w:val="24"/>
          <w:szCs w:val="24"/>
        </w:rPr>
        <w:t>(</w:t>
      </w:r>
      <w:r w:rsidR="009143EF" w:rsidRPr="00B803D4">
        <w:rPr>
          <w:rFonts w:ascii="Times New Roman" w:hAnsi="Times New Roman" w:cs="Times New Roman"/>
          <w:sz w:val="24"/>
          <w:szCs w:val="24"/>
        </w:rPr>
        <w:t>Source:</w:t>
      </w:r>
      <w:r>
        <w:rPr>
          <w:rFonts w:ascii="Times New Roman" w:hAnsi="Times New Roman" w:cs="Times New Roman"/>
          <w:sz w:val="24"/>
          <w:szCs w:val="24"/>
        </w:rPr>
        <w:t xml:space="preserve"> </w:t>
      </w:r>
      <w:proofErr w:type="spellStart"/>
      <w:r w:rsidRPr="00B803D4">
        <w:rPr>
          <w:rFonts w:ascii="Times New Roman" w:hAnsi="Times New Roman" w:cs="Times New Roman"/>
          <w:color w:val="222222"/>
          <w:sz w:val="24"/>
          <w:szCs w:val="24"/>
          <w:highlight w:val="white"/>
        </w:rPr>
        <w:t>Dessart</w:t>
      </w:r>
      <w:proofErr w:type="spellEnd"/>
      <w:r w:rsidRPr="00B803D4">
        <w:rPr>
          <w:rFonts w:ascii="Times New Roman" w:hAnsi="Times New Roman" w:cs="Times New Roman"/>
          <w:color w:val="222222"/>
          <w:sz w:val="24"/>
          <w:szCs w:val="24"/>
          <w:highlight w:val="white"/>
        </w:rPr>
        <w:t>, 2017</w:t>
      </w:r>
      <w:r>
        <w:rPr>
          <w:rFonts w:ascii="Times New Roman" w:hAnsi="Times New Roman" w:cs="Times New Roman"/>
          <w:color w:val="222222"/>
          <w:sz w:val="24"/>
          <w:szCs w:val="24"/>
        </w:rPr>
        <w:t>)</w:t>
      </w:r>
    </w:p>
    <w:p w14:paraId="3E0BF637" w14:textId="77777777" w:rsidR="00B803D4" w:rsidRDefault="00B803D4" w:rsidP="00B803D4">
      <w:pPr>
        <w:pStyle w:val="Heading2"/>
      </w:pPr>
      <w:bookmarkStart w:id="6" w:name="_Toc77603991"/>
      <w:r>
        <w:t>Impact Analysis:</w:t>
      </w:r>
      <w:bookmarkEnd w:id="6"/>
    </w:p>
    <w:p w14:paraId="6BF18314"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The impact of these community engagement programmes is positive for both organizations. All the actions taken by BHF regarding the community engagement programmes are based on research. Therefore, the results of these programmes are more precise than what they were intended to be. Moreover, studies done by BHF show that the communities that were included have benefitted from the awareness and health programmes and there are less heart and circulatory diseases reported in these communities. Moreover, many health-related complexities could be avoided due to awareness. </w:t>
      </w:r>
    </w:p>
    <w:p w14:paraId="2B3E9412"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One of the main challenges of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was to manage social deprivation in communities. Their work in the community engagement projects has managed to reduce this issue to a large extent (</w:t>
      </w:r>
      <w:r w:rsidRPr="00B803D4">
        <w:rPr>
          <w:rFonts w:ascii="Times New Roman" w:hAnsi="Times New Roman" w:cs="Times New Roman"/>
          <w:color w:val="222222"/>
          <w:sz w:val="24"/>
          <w:szCs w:val="24"/>
          <w:highlight w:val="white"/>
        </w:rPr>
        <w:t xml:space="preserve">Tan and </w:t>
      </w:r>
      <w:proofErr w:type="spellStart"/>
      <w:r w:rsidRPr="00B803D4">
        <w:rPr>
          <w:rFonts w:ascii="Times New Roman" w:hAnsi="Times New Roman" w:cs="Times New Roman"/>
          <w:color w:val="222222"/>
          <w:sz w:val="24"/>
          <w:szCs w:val="24"/>
          <w:highlight w:val="white"/>
        </w:rPr>
        <w:t>Apisit-Isariyah</w:t>
      </w:r>
      <w:proofErr w:type="spellEnd"/>
      <w:r w:rsidRPr="00B803D4">
        <w:rPr>
          <w:rFonts w:ascii="Times New Roman" w:hAnsi="Times New Roman" w:cs="Times New Roman"/>
          <w:color w:val="222222"/>
          <w:sz w:val="24"/>
          <w:szCs w:val="24"/>
          <w:highlight w:val="white"/>
        </w:rPr>
        <w:t>, 2018</w:t>
      </w:r>
      <w:r w:rsidRPr="00B803D4">
        <w:rPr>
          <w:rFonts w:ascii="Times New Roman" w:hAnsi="Times New Roman" w:cs="Times New Roman"/>
          <w:sz w:val="24"/>
          <w:szCs w:val="24"/>
        </w:rPr>
        <w:t xml:space="preserve">). People from around the world were helped to find solutions through community development programmes. Social issues like education, awareness, cultural integration, and others were </w:t>
      </w:r>
      <w:r w:rsidRPr="00B803D4">
        <w:rPr>
          <w:rFonts w:ascii="Times New Roman" w:hAnsi="Times New Roman" w:cs="Times New Roman"/>
          <w:sz w:val="24"/>
          <w:szCs w:val="24"/>
        </w:rPr>
        <w:lastRenderedPageBreak/>
        <w:t xml:space="preserve">managed by these community engagement programmes across the world. Also, the targeted communities’ economic standard was improved through their engagement in the community engagement frameworks. </w:t>
      </w:r>
    </w:p>
    <w:p w14:paraId="1AC34F7B" w14:textId="77777777" w:rsidR="00FA6845" w:rsidRPr="00B803D4" w:rsidRDefault="00FA6845" w:rsidP="00B803D4">
      <w:pPr>
        <w:spacing w:line="360" w:lineRule="auto"/>
        <w:jc w:val="both"/>
        <w:rPr>
          <w:rFonts w:ascii="Times New Roman" w:hAnsi="Times New Roman" w:cs="Times New Roman"/>
          <w:sz w:val="24"/>
          <w:szCs w:val="24"/>
        </w:rPr>
      </w:pPr>
    </w:p>
    <w:p w14:paraId="51CCEC76" w14:textId="77777777" w:rsidR="00FA6845" w:rsidRPr="00B803D4" w:rsidRDefault="009143EF" w:rsidP="00B803D4">
      <w:pPr>
        <w:spacing w:line="360" w:lineRule="auto"/>
        <w:jc w:val="center"/>
        <w:rPr>
          <w:rFonts w:ascii="Times New Roman" w:hAnsi="Times New Roman" w:cs="Times New Roman"/>
          <w:b/>
          <w:bCs/>
          <w:sz w:val="24"/>
          <w:szCs w:val="24"/>
        </w:rPr>
      </w:pPr>
      <w:r w:rsidRPr="00B803D4">
        <w:rPr>
          <w:rFonts w:ascii="Times New Roman" w:hAnsi="Times New Roman" w:cs="Times New Roman"/>
          <w:b/>
          <w:bCs/>
          <w:noProof/>
          <w:sz w:val="24"/>
          <w:szCs w:val="24"/>
        </w:rPr>
        <w:drawing>
          <wp:inline distT="114300" distB="114300" distL="114300" distR="114300" wp14:anchorId="12B36278" wp14:editId="06D55BCE">
            <wp:extent cx="4745609" cy="3557006"/>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45609" cy="3557006"/>
                    </a:xfrm>
                    <a:prstGeom prst="rect">
                      <a:avLst/>
                    </a:prstGeom>
                    <a:ln/>
                  </pic:spPr>
                </pic:pic>
              </a:graphicData>
            </a:graphic>
          </wp:inline>
        </w:drawing>
      </w:r>
    </w:p>
    <w:p w14:paraId="3D984F59" w14:textId="77777777" w:rsidR="00FA6845" w:rsidRPr="00B803D4" w:rsidRDefault="009143EF" w:rsidP="00B803D4">
      <w:pPr>
        <w:spacing w:line="360" w:lineRule="auto"/>
        <w:jc w:val="center"/>
        <w:rPr>
          <w:rFonts w:ascii="Times New Roman" w:hAnsi="Times New Roman" w:cs="Times New Roman"/>
          <w:sz w:val="24"/>
          <w:szCs w:val="24"/>
        </w:rPr>
      </w:pPr>
      <w:r w:rsidRPr="00B803D4">
        <w:rPr>
          <w:rFonts w:ascii="Times New Roman" w:hAnsi="Times New Roman" w:cs="Times New Roman"/>
          <w:b/>
          <w:bCs/>
          <w:sz w:val="24"/>
          <w:szCs w:val="24"/>
        </w:rPr>
        <w:t>Image</w:t>
      </w:r>
      <w:r w:rsidR="00B803D4">
        <w:rPr>
          <w:rFonts w:ascii="Times New Roman" w:hAnsi="Times New Roman" w:cs="Times New Roman"/>
          <w:b/>
          <w:bCs/>
          <w:sz w:val="24"/>
          <w:szCs w:val="24"/>
        </w:rPr>
        <w:t xml:space="preserve"> 3</w:t>
      </w:r>
      <w:r w:rsidRPr="00B803D4">
        <w:rPr>
          <w:rFonts w:ascii="Times New Roman" w:hAnsi="Times New Roman" w:cs="Times New Roman"/>
          <w:sz w:val="24"/>
          <w:szCs w:val="24"/>
        </w:rPr>
        <w:t>: Community Engagement Steps</w:t>
      </w:r>
    </w:p>
    <w:p w14:paraId="1728D310" w14:textId="77777777" w:rsidR="00FA6845" w:rsidRPr="00B803D4" w:rsidRDefault="00B803D4" w:rsidP="00B803D4">
      <w:pPr>
        <w:spacing w:line="360" w:lineRule="auto"/>
        <w:jc w:val="center"/>
        <w:rPr>
          <w:rFonts w:ascii="Times New Roman" w:hAnsi="Times New Roman" w:cs="Times New Roman"/>
          <w:sz w:val="24"/>
          <w:szCs w:val="24"/>
        </w:rPr>
      </w:pPr>
      <w:r w:rsidRPr="00B803D4">
        <w:rPr>
          <w:rFonts w:ascii="Times New Roman" w:hAnsi="Times New Roman" w:cs="Times New Roman"/>
          <w:sz w:val="24"/>
          <w:szCs w:val="24"/>
        </w:rPr>
        <w:t>(</w:t>
      </w:r>
      <w:r w:rsidR="009143EF" w:rsidRPr="00B803D4">
        <w:rPr>
          <w:rFonts w:ascii="Times New Roman" w:hAnsi="Times New Roman" w:cs="Times New Roman"/>
          <w:sz w:val="24"/>
          <w:szCs w:val="24"/>
        </w:rPr>
        <w:t>Source:</w:t>
      </w:r>
      <w:r>
        <w:rPr>
          <w:rFonts w:ascii="Times New Roman" w:hAnsi="Times New Roman" w:cs="Times New Roman"/>
          <w:sz w:val="24"/>
          <w:szCs w:val="24"/>
        </w:rPr>
        <w:t xml:space="preserve"> </w:t>
      </w:r>
      <w:r w:rsidRPr="00B803D4">
        <w:rPr>
          <w:rFonts w:ascii="Times New Roman" w:hAnsi="Times New Roman" w:cs="Times New Roman"/>
          <w:color w:val="222222"/>
          <w:sz w:val="24"/>
          <w:szCs w:val="24"/>
          <w:highlight w:val="white"/>
        </w:rPr>
        <w:t xml:space="preserve">Tan and </w:t>
      </w:r>
      <w:proofErr w:type="spellStart"/>
      <w:r w:rsidRPr="00B803D4">
        <w:rPr>
          <w:rFonts w:ascii="Times New Roman" w:hAnsi="Times New Roman" w:cs="Times New Roman"/>
          <w:color w:val="222222"/>
          <w:sz w:val="24"/>
          <w:szCs w:val="24"/>
          <w:highlight w:val="white"/>
        </w:rPr>
        <w:t>Apisit-Isariyah</w:t>
      </w:r>
      <w:proofErr w:type="spellEnd"/>
      <w:r w:rsidRPr="00B803D4">
        <w:rPr>
          <w:rFonts w:ascii="Times New Roman" w:hAnsi="Times New Roman" w:cs="Times New Roman"/>
          <w:color w:val="222222"/>
          <w:sz w:val="24"/>
          <w:szCs w:val="24"/>
          <w:highlight w:val="white"/>
        </w:rPr>
        <w:t>, 2018</w:t>
      </w:r>
      <w:r>
        <w:rPr>
          <w:rFonts w:ascii="Times New Roman" w:hAnsi="Times New Roman" w:cs="Times New Roman"/>
          <w:color w:val="222222"/>
          <w:sz w:val="24"/>
          <w:szCs w:val="24"/>
        </w:rPr>
        <w:t>)</w:t>
      </w:r>
    </w:p>
    <w:p w14:paraId="1435DC77" w14:textId="77777777" w:rsidR="00FA6845" w:rsidRPr="00B803D4" w:rsidRDefault="009143EF" w:rsidP="00B803D4">
      <w:pPr>
        <w:pStyle w:val="Heading1"/>
      </w:pPr>
      <w:bookmarkStart w:id="7" w:name="_Toc77603992"/>
      <w:r w:rsidRPr="00B803D4">
        <w:t>Differences made by Effective Communication, Stakeholder Participation, and Inclusion:</w:t>
      </w:r>
      <w:bookmarkEnd w:id="7"/>
      <w:r w:rsidRPr="00B803D4">
        <w:t xml:space="preserve"> </w:t>
      </w:r>
    </w:p>
    <w:p w14:paraId="715777ED" w14:textId="77777777" w:rsidR="00FA6845" w:rsidRPr="00B803D4" w:rsidRDefault="009143EF" w:rsidP="00B803D4">
      <w:pPr>
        <w:pStyle w:val="Heading2"/>
      </w:pPr>
      <w:bookmarkStart w:id="8" w:name="_Toc77603993"/>
      <w:r w:rsidRPr="00B803D4">
        <w:t>Effective Communication</w:t>
      </w:r>
      <w:r w:rsidR="00B803D4">
        <w:t>:</w:t>
      </w:r>
      <w:bookmarkEnd w:id="8"/>
    </w:p>
    <w:p w14:paraId="43A0AFDD"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Effective communication plays an important role in the community engagement programmes of an organization. The two organizations use effective communication as an important tool for their community engagement projects. The benefits of effective communication are discussed below. </w:t>
      </w:r>
    </w:p>
    <w:p w14:paraId="0687995D" w14:textId="77777777" w:rsidR="00FA6845" w:rsidRPr="00B803D4" w:rsidRDefault="009143EF" w:rsidP="00B803D4">
      <w:pPr>
        <w:numPr>
          <w:ilvl w:val="0"/>
          <w:numId w:val="2"/>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Credibility: Effective communication with the communities increases the credibility of the organization. If we take the case of BHF, it uses effective communication to make people more aware of their strategies and programmes </w:t>
      </w:r>
      <w:r w:rsidRPr="00B803D4">
        <w:rPr>
          <w:rFonts w:ascii="Times New Roman" w:hAnsi="Times New Roman" w:cs="Times New Roman"/>
          <w:sz w:val="24"/>
          <w:szCs w:val="24"/>
        </w:rPr>
        <w:lastRenderedPageBreak/>
        <w:t>regarding heart and circulatory diseases. More information about the programmes increases the credibility of the organization (</w:t>
      </w:r>
      <w:proofErr w:type="spellStart"/>
      <w:r w:rsidRPr="00B803D4">
        <w:rPr>
          <w:rFonts w:ascii="Times New Roman" w:hAnsi="Times New Roman" w:cs="Times New Roman"/>
          <w:color w:val="222222"/>
          <w:sz w:val="24"/>
          <w:szCs w:val="24"/>
          <w:highlight w:val="white"/>
        </w:rPr>
        <w:t>Asad</w:t>
      </w:r>
      <w:proofErr w:type="spellEnd"/>
      <w:r w:rsidRPr="00B803D4">
        <w:rPr>
          <w:rFonts w:ascii="Times New Roman" w:hAnsi="Times New Roman" w:cs="Times New Roman"/>
          <w:color w:val="222222"/>
          <w:sz w:val="24"/>
          <w:szCs w:val="24"/>
          <w:highlight w:val="white"/>
        </w:rPr>
        <w:t xml:space="preserve"> et al., 2017</w:t>
      </w:r>
      <w:r w:rsidRPr="00B803D4">
        <w:rPr>
          <w:rFonts w:ascii="Times New Roman" w:hAnsi="Times New Roman" w:cs="Times New Roman"/>
          <w:sz w:val="24"/>
          <w:szCs w:val="24"/>
        </w:rPr>
        <w:t xml:space="preserve">). </w:t>
      </w:r>
    </w:p>
    <w:p w14:paraId="1B1343BA" w14:textId="77777777" w:rsidR="00FA6845" w:rsidRPr="00B803D4" w:rsidRDefault="009143EF" w:rsidP="00B803D4">
      <w:pPr>
        <w:numPr>
          <w:ilvl w:val="0"/>
          <w:numId w:val="2"/>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Resolving Issues: Identifying community issues and resolving them is another major benefit of effective communication.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does this effectively by constantly communicating with the community members and finding effective solutions through mutual discussions. BHF also uses effective communication to find demographic problems and resolve them accordingly.  </w:t>
      </w:r>
    </w:p>
    <w:p w14:paraId="4D1A0039" w14:textId="77777777" w:rsidR="00FA6845" w:rsidRPr="00B803D4" w:rsidRDefault="009143EF" w:rsidP="00B803D4">
      <w:pPr>
        <w:numPr>
          <w:ilvl w:val="0"/>
          <w:numId w:val="2"/>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Clarity and Direction: Providing the necessary clarity about the operations of the organization is really important. Any kind of confusion can create barriers for the organization. Effective communication gives more clarity in terms of operations and provides the right direction to move forward for both organizations (</w:t>
      </w:r>
      <w:r w:rsidRPr="00B803D4">
        <w:rPr>
          <w:rFonts w:ascii="Times New Roman" w:hAnsi="Times New Roman" w:cs="Times New Roman"/>
          <w:color w:val="222222"/>
          <w:sz w:val="24"/>
          <w:szCs w:val="24"/>
          <w:highlight w:val="white"/>
        </w:rPr>
        <w:t>Matthews et al., 2018</w:t>
      </w:r>
      <w:r w:rsidRPr="00B803D4">
        <w:rPr>
          <w:rFonts w:ascii="Times New Roman" w:hAnsi="Times New Roman" w:cs="Times New Roman"/>
          <w:sz w:val="24"/>
          <w:szCs w:val="24"/>
        </w:rPr>
        <w:t xml:space="preserve">). </w:t>
      </w:r>
    </w:p>
    <w:p w14:paraId="798779BF" w14:textId="77777777" w:rsidR="00FA6845" w:rsidRPr="00B803D4" w:rsidRDefault="009143EF" w:rsidP="00B803D4">
      <w:pPr>
        <w:numPr>
          <w:ilvl w:val="0"/>
          <w:numId w:val="2"/>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Improving relationships: Effective communication helps the organization in building better relationships with communities. Constant interactions and active participation of the community members help in fostering better relationships in the community engagement programs.</w:t>
      </w:r>
    </w:p>
    <w:p w14:paraId="5D569BEE" w14:textId="77777777" w:rsidR="00FA6845" w:rsidRPr="00B803D4" w:rsidRDefault="00FA6845" w:rsidP="00B803D4">
      <w:pPr>
        <w:spacing w:line="360" w:lineRule="auto"/>
        <w:jc w:val="both"/>
        <w:rPr>
          <w:rFonts w:ascii="Times New Roman" w:hAnsi="Times New Roman" w:cs="Times New Roman"/>
          <w:sz w:val="24"/>
          <w:szCs w:val="24"/>
        </w:rPr>
      </w:pPr>
    </w:p>
    <w:p w14:paraId="5EA8E9ED" w14:textId="77777777" w:rsidR="00FA6845" w:rsidRPr="00B803D4" w:rsidRDefault="009143EF" w:rsidP="00B803D4">
      <w:pPr>
        <w:pStyle w:val="Heading2"/>
      </w:pPr>
      <w:bookmarkStart w:id="9" w:name="_Toc77603994"/>
      <w:r w:rsidRPr="00B803D4">
        <w:t>Stakeholder Participation:</w:t>
      </w:r>
      <w:bookmarkEnd w:id="9"/>
      <w:r w:rsidRPr="00B803D4">
        <w:t xml:space="preserve"> </w:t>
      </w:r>
    </w:p>
    <w:p w14:paraId="11231B97"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The active participation of the stakeholders helps the community engagement programmes in many ways. The benefits that the organizations get due to the active participation of the stakeholders are discussed below.</w:t>
      </w:r>
    </w:p>
    <w:p w14:paraId="0AE63851" w14:textId="77777777" w:rsidR="00FA6845" w:rsidRPr="00B803D4" w:rsidRDefault="009143EF" w:rsidP="00B803D4">
      <w:pPr>
        <w:numPr>
          <w:ilvl w:val="0"/>
          <w:numId w:val="4"/>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Participation of the stakeholders helps the organizations understand the local context of the issue. Thus, community engagement becomes a more effective process of helping the different communities.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uses stakeholder participation to identify the community issues and resolve them (</w:t>
      </w:r>
      <w:proofErr w:type="spellStart"/>
      <w:r w:rsidRPr="00B803D4">
        <w:rPr>
          <w:rFonts w:ascii="Times New Roman" w:hAnsi="Times New Roman" w:cs="Times New Roman"/>
          <w:color w:val="222222"/>
          <w:sz w:val="24"/>
          <w:szCs w:val="24"/>
          <w:highlight w:val="white"/>
        </w:rPr>
        <w:t>Asad</w:t>
      </w:r>
      <w:proofErr w:type="spellEnd"/>
      <w:r w:rsidRPr="00B803D4">
        <w:rPr>
          <w:rFonts w:ascii="Times New Roman" w:hAnsi="Times New Roman" w:cs="Times New Roman"/>
          <w:color w:val="222222"/>
          <w:sz w:val="24"/>
          <w:szCs w:val="24"/>
          <w:highlight w:val="white"/>
        </w:rPr>
        <w:t xml:space="preserve"> et al., 2017</w:t>
      </w:r>
      <w:r w:rsidRPr="00B803D4">
        <w:rPr>
          <w:rFonts w:ascii="Times New Roman" w:hAnsi="Times New Roman" w:cs="Times New Roman"/>
          <w:sz w:val="24"/>
          <w:szCs w:val="24"/>
        </w:rPr>
        <w:t xml:space="preserve">). </w:t>
      </w:r>
    </w:p>
    <w:p w14:paraId="3D0B2157" w14:textId="77777777" w:rsidR="00FA6845" w:rsidRPr="00B803D4" w:rsidRDefault="009143EF" w:rsidP="00B803D4">
      <w:pPr>
        <w:numPr>
          <w:ilvl w:val="0"/>
          <w:numId w:val="4"/>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Stakeholder participation ensures the development of trust and reliability of the community engagement programmes. When the important community members get associated with the projects, the whole community understands its importance. </w:t>
      </w:r>
    </w:p>
    <w:p w14:paraId="6F0ADCFF" w14:textId="77777777" w:rsidR="00FA6845" w:rsidRPr="00B803D4" w:rsidRDefault="009143EF" w:rsidP="00B803D4">
      <w:pPr>
        <w:numPr>
          <w:ilvl w:val="0"/>
          <w:numId w:val="4"/>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Understanding and managing the expectations of the stakeholders becomes easier for the company with their active participation. Moreover, stakeholders </w:t>
      </w:r>
      <w:r w:rsidRPr="00B803D4">
        <w:rPr>
          <w:rFonts w:ascii="Times New Roman" w:hAnsi="Times New Roman" w:cs="Times New Roman"/>
          <w:sz w:val="24"/>
          <w:szCs w:val="24"/>
        </w:rPr>
        <w:lastRenderedPageBreak/>
        <w:t xml:space="preserve">become an important part of the decision-making process regarding community engagement. </w:t>
      </w:r>
    </w:p>
    <w:p w14:paraId="0ECD0D0A" w14:textId="77777777" w:rsidR="00FA6845" w:rsidRPr="00B803D4" w:rsidRDefault="009143EF" w:rsidP="00B803D4">
      <w:pPr>
        <w:numPr>
          <w:ilvl w:val="0"/>
          <w:numId w:val="4"/>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Both the organizations BHF and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look to identify scenarios that would be profitable for all the community members. The participation of the key stakeholders enriches this process. </w:t>
      </w:r>
    </w:p>
    <w:p w14:paraId="6B79E969" w14:textId="77777777" w:rsidR="00FA6845" w:rsidRPr="00B803D4" w:rsidRDefault="009143EF" w:rsidP="00B803D4">
      <w:pPr>
        <w:spacing w:line="360" w:lineRule="auto"/>
        <w:ind w:left="720"/>
        <w:jc w:val="center"/>
        <w:rPr>
          <w:rFonts w:ascii="Times New Roman" w:hAnsi="Times New Roman" w:cs="Times New Roman"/>
          <w:sz w:val="24"/>
          <w:szCs w:val="24"/>
        </w:rPr>
      </w:pPr>
      <w:r w:rsidRPr="00B803D4">
        <w:rPr>
          <w:rFonts w:ascii="Times New Roman" w:hAnsi="Times New Roman" w:cs="Times New Roman"/>
          <w:noProof/>
          <w:sz w:val="24"/>
          <w:szCs w:val="24"/>
        </w:rPr>
        <w:drawing>
          <wp:inline distT="114300" distB="114300" distL="114300" distR="114300" wp14:anchorId="422FA8E1" wp14:editId="396E9EAC">
            <wp:extent cx="4692527" cy="6415199"/>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692527" cy="6415199"/>
                    </a:xfrm>
                    <a:prstGeom prst="rect">
                      <a:avLst/>
                    </a:prstGeom>
                    <a:ln/>
                  </pic:spPr>
                </pic:pic>
              </a:graphicData>
            </a:graphic>
          </wp:inline>
        </w:drawing>
      </w:r>
    </w:p>
    <w:p w14:paraId="3EFC4480" w14:textId="77777777" w:rsidR="00FA6845" w:rsidRPr="00B803D4" w:rsidRDefault="009143EF" w:rsidP="00B803D4">
      <w:pPr>
        <w:spacing w:line="360" w:lineRule="auto"/>
        <w:jc w:val="center"/>
        <w:rPr>
          <w:rFonts w:ascii="Times New Roman" w:hAnsi="Times New Roman" w:cs="Times New Roman"/>
          <w:sz w:val="24"/>
          <w:szCs w:val="24"/>
        </w:rPr>
      </w:pPr>
      <w:r w:rsidRPr="00B803D4">
        <w:rPr>
          <w:rFonts w:ascii="Times New Roman" w:hAnsi="Times New Roman" w:cs="Times New Roman"/>
          <w:b/>
          <w:bCs/>
          <w:sz w:val="24"/>
          <w:szCs w:val="24"/>
        </w:rPr>
        <w:t>Image</w:t>
      </w:r>
      <w:r w:rsidR="00B803D4" w:rsidRPr="00B803D4">
        <w:rPr>
          <w:rFonts w:ascii="Times New Roman" w:hAnsi="Times New Roman" w:cs="Times New Roman"/>
          <w:b/>
          <w:bCs/>
          <w:sz w:val="24"/>
          <w:szCs w:val="24"/>
        </w:rPr>
        <w:t xml:space="preserve"> 4</w:t>
      </w:r>
      <w:r w:rsidRPr="00B803D4">
        <w:rPr>
          <w:rFonts w:ascii="Times New Roman" w:hAnsi="Times New Roman" w:cs="Times New Roman"/>
          <w:sz w:val="24"/>
          <w:szCs w:val="24"/>
        </w:rPr>
        <w:t>: Stakeholder Participation in Community Engagement</w:t>
      </w:r>
    </w:p>
    <w:p w14:paraId="6EDCB6F1" w14:textId="77777777" w:rsidR="00FA6845" w:rsidRPr="00B803D4" w:rsidRDefault="00B803D4" w:rsidP="00B803D4">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9143EF" w:rsidRPr="00B803D4">
        <w:rPr>
          <w:rFonts w:ascii="Times New Roman" w:hAnsi="Times New Roman" w:cs="Times New Roman"/>
          <w:sz w:val="24"/>
          <w:szCs w:val="24"/>
        </w:rPr>
        <w:t>Source:</w:t>
      </w:r>
      <w:r>
        <w:rPr>
          <w:rFonts w:ascii="Times New Roman" w:hAnsi="Times New Roman" w:cs="Times New Roman"/>
          <w:sz w:val="24"/>
          <w:szCs w:val="24"/>
        </w:rPr>
        <w:t xml:space="preserve"> </w:t>
      </w:r>
      <w:proofErr w:type="spellStart"/>
      <w:r w:rsidRPr="00B803D4">
        <w:rPr>
          <w:rFonts w:ascii="Times New Roman" w:hAnsi="Times New Roman" w:cs="Times New Roman"/>
          <w:color w:val="222222"/>
          <w:sz w:val="24"/>
          <w:szCs w:val="24"/>
          <w:highlight w:val="white"/>
        </w:rPr>
        <w:t>Asad</w:t>
      </w:r>
      <w:proofErr w:type="spellEnd"/>
      <w:r w:rsidRPr="00B803D4">
        <w:rPr>
          <w:rFonts w:ascii="Times New Roman" w:hAnsi="Times New Roman" w:cs="Times New Roman"/>
          <w:color w:val="222222"/>
          <w:sz w:val="24"/>
          <w:szCs w:val="24"/>
          <w:highlight w:val="white"/>
        </w:rPr>
        <w:t xml:space="preserve"> et al., 2017</w:t>
      </w:r>
      <w:r>
        <w:rPr>
          <w:rFonts w:ascii="Times New Roman" w:hAnsi="Times New Roman" w:cs="Times New Roman"/>
          <w:color w:val="222222"/>
          <w:sz w:val="24"/>
          <w:szCs w:val="24"/>
        </w:rPr>
        <w:t>)</w:t>
      </w:r>
    </w:p>
    <w:p w14:paraId="24633097" w14:textId="77777777" w:rsidR="00FA6845" w:rsidRPr="00B803D4" w:rsidRDefault="009143EF" w:rsidP="00B803D4">
      <w:pPr>
        <w:pStyle w:val="Heading2"/>
      </w:pPr>
      <w:bookmarkStart w:id="10" w:name="_Toc77603995"/>
      <w:r w:rsidRPr="00B803D4">
        <w:lastRenderedPageBreak/>
        <w:t>Inclusion:</w:t>
      </w:r>
      <w:bookmarkEnd w:id="10"/>
      <w:r w:rsidRPr="00B803D4">
        <w:t xml:space="preserve"> </w:t>
      </w:r>
    </w:p>
    <w:p w14:paraId="0C4BE035"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Inclusive management of community engagement programmes helps the organization in many ways. The advantages of this type of community engagement are-</w:t>
      </w:r>
    </w:p>
    <w:p w14:paraId="55E51271" w14:textId="77777777" w:rsidR="00FA6845" w:rsidRPr="00B803D4" w:rsidRDefault="009143EF" w:rsidP="00B803D4">
      <w:pPr>
        <w:numPr>
          <w:ilvl w:val="0"/>
          <w:numId w:val="1"/>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Including the important community members in the community engagement programmes help increase its effectiveness. </w:t>
      </w:r>
    </w:p>
    <w:p w14:paraId="500153F0" w14:textId="77777777" w:rsidR="00FA6845" w:rsidRPr="00B803D4" w:rsidRDefault="009143EF" w:rsidP="00B803D4">
      <w:pPr>
        <w:numPr>
          <w:ilvl w:val="0"/>
          <w:numId w:val="1"/>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The organizations BHF and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get a better idea about the needs of the community. </w:t>
      </w:r>
    </w:p>
    <w:p w14:paraId="5DFE04B0" w14:textId="77777777" w:rsidR="00FA6845" w:rsidRPr="00B803D4" w:rsidRDefault="009143EF" w:rsidP="00B803D4">
      <w:pPr>
        <w:numPr>
          <w:ilvl w:val="0"/>
          <w:numId w:val="1"/>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Including the people of the community in the operations eases the process of helping.</w:t>
      </w:r>
    </w:p>
    <w:p w14:paraId="7506C05B" w14:textId="77777777" w:rsidR="00FA6845" w:rsidRPr="00B803D4" w:rsidRDefault="009143EF" w:rsidP="00B803D4">
      <w:pPr>
        <w:numPr>
          <w:ilvl w:val="0"/>
          <w:numId w:val="1"/>
        </w:num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More people from the community become interested in being a part of the project which enriches the programme (</w:t>
      </w:r>
      <w:r w:rsidRPr="00B803D4">
        <w:rPr>
          <w:rFonts w:ascii="Times New Roman" w:hAnsi="Times New Roman" w:cs="Times New Roman"/>
          <w:color w:val="222222"/>
          <w:sz w:val="24"/>
          <w:szCs w:val="24"/>
          <w:highlight w:val="white"/>
        </w:rPr>
        <w:t>Martinez et al., 2018</w:t>
      </w:r>
      <w:r w:rsidRPr="00B803D4">
        <w:rPr>
          <w:rFonts w:ascii="Times New Roman" w:hAnsi="Times New Roman" w:cs="Times New Roman"/>
          <w:sz w:val="24"/>
          <w:szCs w:val="24"/>
        </w:rPr>
        <w:t xml:space="preserve">). </w:t>
      </w:r>
    </w:p>
    <w:p w14:paraId="1F0E5CE5" w14:textId="77777777" w:rsidR="00FA6845" w:rsidRPr="00B803D4" w:rsidRDefault="00FA6845" w:rsidP="00B803D4">
      <w:pPr>
        <w:spacing w:line="360" w:lineRule="auto"/>
        <w:jc w:val="both"/>
        <w:rPr>
          <w:rFonts w:ascii="Times New Roman" w:hAnsi="Times New Roman" w:cs="Times New Roman"/>
          <w:sz w:val="24"/>
          <w:szCs w:val="24"/>
        </w:rPr>
      </w:pPr>
    </w:p>
    <w:p w14:paraId="050E7E28" w14:textId="77777777" w:rsidR="00FA6845" w:rsidRPr="00B803D4" w:rsidRDefault="009143EF" w:rsidP="00B803D4">
      <w:pPr>
        <w:pStyle w:val="Heading1"/>
      </w:pPr>
      <w:bookmarkStart w:id="11" w:name="_Toc77603996"/>
      <w:r w:rsidRPr="00B803D4">
        <w:t>Conclusion:</w:t>
      </w:r>
      <w:bookmarkEnd w:id="11"/>
      <w:r w:rsidRPr="00B803D4">
        <w:t xml:space="preserve"> </w:t>
      </w:r>
    </w:p>
    <w:p w14:paraId="180A8A84" w14:textId="77777777" w:rsidR="00FA6845" w:rsidRPr="00B803D4" w:rsidRDefault="009143EF" w:rsidP="00B803D4">
      <w:pPr>
        <w:spacing w:line="360" w:lineRule="auto"/>
        <w:jc w:val="both"/>
        <w:rPr>
          <w:rFonts w:ascii="Times New Roman" w:hAnsi="Times New Roman" w:cs="Times New Roman"/>
          <w:sz w:val="24"/>
          <w:szCs w:val="24"/>
        </w:rPr>
      </w:pPr>
      <w:r w:rsidRPr="00B803D4">
        <w:rPr>
          <w:rFonts w:ascii="Times New Roman" w:hAnsi="Times New Roman" w:cs="Times New Roman"/>
          <w:sz w:val="24"/>
          <w:szCs w:val="24"/>
        </w:rPr>
        <w:t xml:space="preserve">Here the personal reflections about the community engagement programmes of two different organizations are discussed. The community engagement programmes are a process through which the organizations get closer to the communities and understand their key requirements. The community engagement programmes of two charitable organizations </w:t>
      </w:r>
      <w:proofErr w:type="spellStart"/>
      <w:r w:rsidRPr="00B803D4">
        <w:rPr>
          <w:rFonts w:ascii="Times New Roman" w:hAnsi="Times New Roman" w:cs="Times New Roman"/>
          <w:sz w:val="24"/>
          <w:szCs w:val="24"/>
        </w:rPr>
        <w:t>Justgiving</w:t>
      </w:r>
      <w:proofErr w:type="spellEnd"/>
      <w:r w:rsidRPr="00B803D4">
        <w:rPr>
          <w:rFonts w:ascii="Times New Roman" w:hAnsi="Times New Roman" w:cs="Times New Roman"/>
          <w:sz w:val="24"/>
          <w:szCs w:val="24"/>
        </w:rPr>
        <w:t xml:space="preserve"> UK and British Heart Foundation. The different strategies taken by the first organization were discussed in the first part. Here we compared the community engagement programmes of the two organizations. The main differences of the two projects were compared and analysed. The best practices regarding community engagement programmes of the two organizations were discussed. Moreover, the main differences regarding their research, community mapping, social media engagement, impacts were analysed critically. The best practices were justified and why they are used by the respective organizations was also discussed thoroughly. Lastly, the three important aspects of community engagement were discussed. These three aspects are effective communication, active participation of the stakeholders, and inclusive management. Moreover, the differences made by these aspects to a community engagement programme was also analysed thoroughly. We saw how these three aspects enrich a social engagement programme by increasing its appeal to the local communities. Furthermore, it was </w:t>
      </w:r>
      <w:r w:rsidRPr="00B803D4">
        <w:rPr>
          <w:rFonts w:ascii="Times New Roman" w:hAnsi="Times New Roman" w:cs="Times New Roman"/>
          <w:sz w:val="24"/>
          <w:szCs w:val="24"/>
        </w:rPr>
        <w:lastRenderedPageBreak/>
        <w:t>observed how these programmes have benefited the members of the targeted communities.</w:t>
      </w:r>
    </w:p>
    <w:p w14:paraId="6770B674" w14:textId="77777777" w:rsidR="00FA6845" w:rsidRPr="00B803D4" w:rsidRDefault="00FA6845" w:rsidP="00B803D4">
      <w:pPr>
        <w:spacing w:line="360" w:lineRule="auto"/>
        <w:jc w:val="both"/>
        <w:rPr>
          <w:rFonts w:ascii="Times New Roman" w:hAnsi="Times New Roman" w:cs="Times New Roman"/>
          <w:sz w:val="24"/>
          <w:szCs w:val="24"/>
        </w:rPr>
      </w:pPr>
    </w:p>
    <w:p w14:paraId="6A146B70" w14:textId="77777777" w:rsidR="00B803D4" w:rsidRPr="00B803D4" w:rsidRDefault="00B803D4" w:rsidP="00B803D4">
      <w:pPr>
        <w:spacing w:line="360" w:lineRule="auto"/>
        <w:jc w:val="both"/>
        <w:rPr>
          <w:rFonts w:ascii="Times New Roman" w:hAnsi="Times New Roman" w:cs="Times New Roman"/>
          <w:sz w:val="24"/>
          <w:szCs w:val="24"/>
        </w:rPr>
      </w:pPr>
    </w:p>
    <w:p w14:paraId="2C6A85B9" w14:textId="77777777" w:rsidR="00B803D4" w:rsidRPr="00B803D4" w:rsidRDefault="00B803D4" w:rsidP="00B803D4">
      <w:pPr>
        <w:spacing w:line="360" w:lineRule="auto"/>
        <w:jc w:val="both"/>
        <w:rPr>
          <w:rFonts w:ascii="Times New Roman" w:hAnsi="Times New Roman" w:cs="Times New Roman"/>
          <w:sz w:val="24"/>
          <w:szCs w:val="24"/>
        </w:rPr>
      </w:pPr>
    </w:p>
    <w:p w14:paraId="0D98E27A" w14:textId="77777777" w:rsidR="00B803D4" w:rsidRPr="00B803D4" w:rsidRDefault="00B803D4" w:rsidP="00B803D4">
      <w:pPr>
        <w:spacing w:line="360" w:lineRule="auto"/>
        <w:jc w:val="both"/>
        <w:rPr>
          <w:rFonts w:ascii="Times New Roman" w:hAnsi="Times New Roman" w:cs="Times New Roman"/>
          <w:sz w:val="24"/>
          <w:szCs w:val="24"/>
        </w:rPr>
      </w:pPr>
    </w:p>
    <w:p w14:paraId="3D3514BF" w14:textId="77777777" w:rsidR="00B803D4" w:rsidRPr="00B803D4" w:rsidRDefault="00B803D4" w:rsidP="00B803D4">
      <w:pPr>
        <w:spacing w:line="360" w:lineRule="auto"/>
        <w:jc w:val="both"/>
        <w:rPr>
          <w:rFonts w:ascii="Times New Roman" w:hAnsi="Times New Roman" w:cs="Times New Roman"/>
          <w:sz w:val="24"/>
          <w:szCs w:val="24"/>
        </w:rPr>
      </w:pPr>
    </w:p>
    <w:p w14:paraId="3869C698" w14:textId="77777777" w:rsidR="00B803D4" w:rsidRPr="00B803D4" w:rsidRDefault="00B803D4" w:rsidP="00B803D4">
      <w:pPr>
        <w:spacing w:line="360" w:lineRule="auto"/>
        <w:jc w:val="both"/>
        <w:rPr>
          <w:rFonts w:ascii="Times New Roman" w:hAnsi="Times New Roman" w:cs="Times New Roman"/>
          <w:sz w:val="24"/>
          <w:szCs w:val="24"/>
        </w:rPr>
      </w:pPr>
    </w:p>
    <w:p w14:paraId="4CF47B93" w14:textId="77777777" w:rsidR="00FA6845" w:rsidRPr="00B803D4" w:rsidRDefault="009143EF" w:rsidP="00B803D4">
      <w:pPr>
        <w:pStyle w:val="Heading1"/>
      </w:pPr>
      <w:bookmarkStart w:id="12" w:name="_Toc77603997"/>
      <w:r w:rsidRPr="00B803D4">
        <w:t>Reference List</w:t>
      </w:r>
      <w:bookmarkEnd w:id="12"/>
      <w:r w:rsidR="005D7A47">
        <w:t>:</w:t>
      </w:r>
    </w:p>
    <w:p w14:paraId="5A35A5BF" w14:textId="77777777" w:rsidR="00FA6845" w:rsidRPr="005D7A47" w:rsidRDefault="009143EF" w:rsidP="00B803D4">
      <w:pPr>
        <w:spacing w:line="360" w:lineRule="auto"/>
        <w:jc w:val="both"/>
        <w:rPr>
          <w:rFonts w:ascii="Times New Roman" w:hAnsi="Times New Roman" w:cs="Times New Roman"/>
          <w:b/>
          <w:bCs/>
          <w:sz w:val="24"/>
          <w:szCs w:val="24"/>
        </w:rPr>
      </w:pPr>
      <w:r w:rsidRPr="005D7A47">
        <w:rPr>
          <w:rFonts w:ascii="Times New Roman" w:hAnsi="Times New Roman" w:cs="Times New Roman"/>
          <w:b/>
          <w:bCs/>
          <w:sz w:val="24"/>
          <w:szCs w:val="24"/>
        </w:rPr>
        <w:t>Journals</w:t>
      </w:r>
      <w:r w:rsidR="005D7A47" w:rsidRPr="005D7A47">
        <w:rPr>
          <w:rFonts w:ascii="Times New Roman" w:hAnsi="Times New Roman" w:cs="Times New Roman"/>
          <w:b/>
          <w:bCs/>
          <w:sz w:val="24"/>
          <w:szCs w:val="24"/>
        </w:rPr>
        <w:t>-</w:t>
      </w:r>
    </w:p>
    <w:p w14:paraId="57246714" w14:textId="77777777" w:rsidR="005D7A47" w:rsidRDefault="005D7A47" w:rsidP="00B803D4">
      <w:pPr>
        <w:spacing w:line="360" w:lineRule="auto"/>
        <w:jc w:val="both"/>
        <w:rPr>
          <w:rFonts w:ascii="Times New Roman" w:hAnsi="Times New Roman" w:cs="Times New Roman"/>
          <w:sz w:val="24"/>
          <w:szCs w:val="24"/>
        </w:rPr>
      </w:pPr>
    </w:p>
    <w:p w14:paraId="2A934A2D"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proofErr w:type="spellStart"/>
      <w:r w:rsidRPr="00B803D4">
        <w:rPr>
          <w:rFonts w:ascii="Times New Roman" w:hAnsi="Times New Roman" w:cs="Times New Roman"/>
          <w:color w:val="222222"/>
          <w:sz w:val="24"/>
          <w:szCs w:val="24"/>
          <w:highlight w:val="white"/>
        </w:rPr>
        <w:t>Adhikari</w:t>
      </w:r>
      <w:proofErr w:type="spellEnd"/>
      <w:r w:rsidRPr="00B803D4">
        <w:rPr>
          <w:rFonts w:ascii="Times New Roman" w:hAnsi="Times New Roman" w:cs="Times New Roman"/>
          <w:color w:val="222222"/>
          <w:sz w:val="24"/>
          <w:szCs w:val="24"/>
          <w:highlight w:val="white"/>
        </w:rPr>
        <w:t xml:space="preserve">, B., Pell, C. and </w:t>
      </w:r>
      <w:proofErr w:type="spellStart"/>
      <w:r w:rsidRPr="00B803D4">
        <w:rPr>
          <w:rFonts w:ascii="Times New Roman" w:hAnsi="Times New Roman" w:cs="Times New Roman"/>
          <w:color w:val="222222"/>
          <w:sz w:val="24"/>
          <w:szCs w:val="24"/>
          <w:highlight w:val="white"/>
        </w:rPr>
        <w:t>Cheah</w:t>
      </w:r>
      <w:proofErr w:type="spellEnd"/>
      <w:r w:rsidRPr="00B803D4">
        <w:rPr>
          <w:rFonts w:ascii="Times New Roman" w:hAnsi="Times New Roman" w:cs="Times New Roman"/>
          <w:color w:val="222222"/>
          <w:sz w:val="24"/>
          <w:szCs w:val="24"/>
          <w:highlight w:val="white"/>
        </w:rPr>
        <w:t xml:space="preserve">, P.Y., 2020. Community engagement and ethical global health research. </w:t>
      </w:r>
      <w:r w:rsidRPr="00B803D4">
        <w:rPr>
          <w:rFonts w:ascii="Times New Roman" w:hAnsi="Times New Roman" w:cs="Times New Roman"/>
          <w:i/>
          <w:color w:val="222222"/>
          <w:sz w:val="24"/>
          <w:szCs w:val="24"/>
          <w:highlight w:val="white"/>
        </w:rPr>
        <w:t>Global Bioethics</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31</w:t>
      </w:r>
      <w:r w:rsidRPr="00B803D4">
        <w:rPr>
          <w:rFonts w:ascii="Times New Roman" w:hAnsi="Times New Roman" w:cs="Times New Roman"/>
          <w:color w:val="222222"/>
          <w:sz w:val="24"/>
          <w:szCs w:val="24"/>
          <w:highlight w:val="white"/>
        </w:rPr>
        <w:t>(1), pp.1-12.</w:t>
      </w:r>
    </w:p>
    <w:p w14:paraId="6F916701"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proofErr w:type="spellStart"/>
      <w:r w:rsidRPr="00B803D4">
        <w:rPr>
          <w:rFonts w:ascii="Times New Roman" w:hAnsi="Times New Roman" w:cs="Times New Roman"/>
          <w:color w:val="222222"/>
          <w:sz w:val="24"/>
          <w:szCs w:val="24"/>
          <w:highlight w:val="white"/>
        </w:rPr>
        <w:t>Asad</w:t>
      </w:r>
      <w:proofErr w:type="spellEnd"/>
      <w:r w:rsidRPr="00B803D4">
        <w:rPr>
          <w:rFonts w:ascii="Times New Roman" w:hAnsi="Times New Roman" w:cs="Times New Roman"/>
          <w:color w:val="222222"/>
          <w:sz w:val="24"/>
          <w:szCs w:val="24"/>
          <w:highlight w:val="white"/>
        </w:rPr>
        <w:t xml:space="preserve">, M., Le </w:t>
      </w:r>
      <w:proofErr w:type="spellStart"/>
      <w:r w:rsidRPr="00B803D4">
        <w:rPr>
          <w:rFonts w:ascii="Times New Roman" w:hAnsi="Times New Roman" w:cs="Times New Roman"/>
          <w:color w:val="222222"/>
          <w:sz w:val="24"/>
          <w:szCs w:val="24"/>
          <w:highlight w:val="white"/>
        </w:rPr>
        <w:t>Dantec</w:t>
      </w:r>
      <w:proofErr w:type="spellEnd"/>
      <w:r w:rsidRPr="00B803D4">
        <w:rPr>
          <w:rFonts w:ascii="Times New Roman" w:hAnsi="Times New Roman" w:cs="Times New Roman"/>
          <w:color w:val="222222"/>
          <w:sz w:val="24"/>
          <w:szCs w:val="24"/>
          <w:highlight w:val="white"/>
        </w:rPr>
        <w:t xml:space="preserve">, C.A., Nielsen, B. and </w:t>
      </w:r>
      <w:proofErr w:type="spellStart"/>
      <w:r w:rsidRPr="00B803D4">
        <w:rPr>
          <w:rFonts w:ascii="Times New Roman" w:hAnsi="Times New Roman" w:cs="Times New Roman"/>
          <w:color w:val="222222"/>
          <w:sz w:val="24"/>
          <w:szCs w:val="24"/>
          <w:highlight w:val="white"/>
        </w:rPr>
        <w:t>Diedrick</w:t>
      </w:r>
      <w:proofErr w:type="spellEnd"/>
      <w:r w:rsidRPr="00B803D4">
        <w:rPr>
          <w:rFonts w:ascii="Times New Roman" w:hAnsi="Times New Roman" w:cs="Times New Roman"/>
          <w:color w:val="222222"/>
          <w:sz w:val="24"/>
          <w:szCs w:val="24"/>
          <w:highlight w:val="white"/>
        </w:rPr>
        <w:t xml:space="preserve">, K., 2017, May. Creating a sociotechnical API: Designing city-scale community engagement. In </w:t>
      </w:r>
      <w:r w:rsidRPr="00B803D4">
        <w:rPr>
          <w:rFonts w:ascii="Times New Roman" w:hAnsi="Times New Roman" w:cs="Times New Roman"/>
          <w:i/>
          <w:color w:val="222222"/>
          <w:sz w:val="24"/>
          <w:szCs w:val="24"/>
          <w:highlight w:val="white"/>
        </w:rPr>
        <w:t>Proceedings of the 2017 CHI conference on human factors in computing systems</w:t>
      </w:r>
      <w:r w:rsidRPr="00B803D4">
        <w:rPr>
          <w:rFonts w:ascii="Times New Roman" w:hAnsi="Times New Roman" w:cs="Times New Roman"/>
          <w:color w:val="222222"/>
          <w:sz w:val="24"/>
          <w:szCs w:val="24"/>
          <w:highlight w:val="white"/>
        </w:rPr>
        <w:t xml:space="preserve"> (pp. 2295-2306).</w:t>
      </w:r>
    </w:p>
    <w:p w14:paraId="38297638"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proofErr w:type="spellStart"/>
      <w:r w:rsidRPr="00B803D4">
        <w:rPr>
          <w:rFonts w:ascii="Times New Roman" w:hAnsi="Times New Roman" w:cs="Times New Roman"/>
          <w:color w:val="222222"/>
          <w:sz w:val="24"/>
          <w:szCs w:val="24"/>
          <w:highlight w:val="white"/>
        </w:rPr>
        <w:t>DeJonckheere</w:t>
      </w:r>
      <w:proofErr w:type="spellEnd"/>
      <w:r w:rsidRPr="00B803D4">
        <w:rPr>
          <w:rFonts w:ascii="Times New Roman" w:hAnsi="Times New Roman" w:cs="Times New Roman"/>
          <w:color w:val="222222"/>
          <w:sz w:val="24"/>
          <w:szCs w:val="24"/>
          <w:highlight w:val="white"/>
        </w:rPr>
        <w:t>, M., Lindquist-</w:t>
      </w:r>
      <w:proofErr w:type="spellStart"/>
      <w:r w:rsidRPr="00B803D4">
        <w:rPr>
          <w:rFonts w:ascii="Times New Roman" w:hAnsi="Times New Roman" w:cs="Times New Roman"/>
          <w:color w:val="222222"/>
          <w:sz w:val="24"/>
          <w:szCs w:val="24"/>
          <w:highlight w:val="white"/>
        </w:rPr>
        <w:t>Grantz</w:t>
      </w:r>
      <w:proofErr w:type="spellEnd"/>
      <w:r w:rsidRPr="00B803D4">
        <w:rPr>
          <w:rFonts w:ascii="Times New Roman" w:hAnsi="Times New Roman" w:cs="Times New Roman"/>
          <w:color w:val="222222"/>
          <w:sz w:val="24"/>
          <w:szCs w:val="24"/>
          <w:highlight w:val="white"/>
        </w:rPr>
        <w:t xml:space="preserve">, R., </w:t>
      </w:r>
      <w:proofErr w:type="spellStart"/>
      <w:r w:rsidRPr="00B803D4">
        <w:rPr>
          <w:rFonts w:ascii="Times New Roman" w:hAnsi="Times New Roman" w:cs="Times New Roman"/>
          <w:color w:val="222222"/>
          <w:sz w:val="24"/>
          <w:szCs w:val="24"/>
          <w:highlight w:val="white"/>
        </w:rPr>
        <w:t>Toraman</w:t>
      </w:r>
      <w:proofErr w:type="spellEnd"/>
      <w:r w:rsidRPr="00B803D4">
        <w:rPr>
          <w:rFonts w:ascii="Times New Roman" w:hAnsi="Times New Roman" w:cs="Times New Roman"/>
          <w:color w:val="222222"/>
          <w:sz w:val="24"/>
          <w:szCs w:val="24"/>
          <w:highlight w:val="white"/>
        </w:rPr>
        <w:t xml:space="preserve">, S., Haddad, K. and Vaughn, L.M., 2019. Intersection of mixed methods and community-based participatory research: A methodological review. </w:t>
      </w:r>
      <w:r w:rsidRPr="00B803D4">
        <w:rPr>
          <w:rFonts w:ascii="Times New Roman" w:hAnsi="Times New Roman" w:cs="Times New Roman"/>
          <w:i/>
          <w:color w:val="222222"/>
          <w:sz w:val="24"/>
          <w:szCs w:val="24"/>
          <w:highlight w:val="white"/>
        </w:rPr>
        <w:t>Journal of Mixed Methods Research</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13</w:t>
      </w:r>
      <w:r w:rsidRPr="00B803D4">
        <w:rPr>
          <w:rFonts w:ascii="Times New Roman" w:hAnsi="Times New Roman" w:cs="Times New Roman"/>
          <w:color w:val="222222"/>
          <w:sz w:val="24"/>
          <w:szCs w:val="24"/>
          <w:highlight w:val="white"/>
        </w:rPr>
        <w:t>(4), pp.481-502.</w:t>
      </w:r>
    </w:p>
    <w:p w14:paraId="29A908B4"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proofErr w:type="spellStart"/>
      <w:r w:rsidRPr="00B803D4">
        <w:rPr>
          <w:rFonts w:ascii="Times New Roman" w:hAnsi="Times New Roman" w:cs="Times New Roman"/>
          <w:color w:val="222222"/>
          <w:sz w:val="24"/>
          <w:szCs w:val="24"/>
          <w:highlight w:val="white"/>
        </w:rPr>
        <w:t>Dessart</w:t>
      </w:r>
      <w:proofErr w:type="spellEnd"/>
      <w:r w:rsidRPr="00B803D4">
        <w:rPr>
          <w:rFonts w:ascii="Times New Roman" w:hAnsi="Times New Roman" w:cs="Times New Roman"/>
          <w:color w:val="222222"/>
          <w:sz w:val="24"/>
          <w:szCs w:val="24"/>
          <w:highlight w:val="white"/>
        </w:rPr>
        <w:t xml:space="preserve">, L., 2017. Social media engagement: a model of antecedents and relational outcomes. </w:t>
      </w:r>
      <w:r w:rsidRPr="00B803D4">
        <w:rPr>
          <w:rFonts w:ascii="Times New Roman" w:hAnsi="Times New Roman" w:cs="Times New Roman"/>
          <w:i/>
          <w:color w:val="222222"/>
          <w:sz w:val="24"/>
          <w:szCs w:val="24"/>
          <w:highlight w:val="white"/>
        </w:rPr>
        <w:t>Journal of Marketing Management</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33</w:t>
      </w:r>
      <w:r w:rsidRPr="00B803D4">
        <w:rPr>
          <w:rFonts w:ascii="Times New Roman" w:hAnsi="Times New Roman" w:cs="Times New Roman"/>
          <w:color w:val="222222"/>
          <w:sz w:val="24"/>
          <w:szCs w:val="24"/>
          <w:highlight w:val="white"/>
        </w:rPr>
        <w:t>(5-6), pp.375-399.</w:t>
      </w:r>
    </w:p>
    <w:p w14:paraId="54BFAA5F"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r w:rsidRPr="00B803D4">
        <w:rPr>
          <w:rFonts w:ascii="Times New Roman" w:hAnsi="Times New Roman" w:cs="Times New Roman"/>
          <w:color w:val="222222"/>
          <w:sz w:val="24"/>
          <w:szCs w:val="24"/>
          <w:highlight w:val="white"/>
        </w:rPr>
        <w:t xml:space="preserve">Martinez, L.S., </w:t>
      </w:r>
      <w:proofErr w:type="spellStart"/>
      <w:r w:rsidRPr="00B803D4">
        <w:rPr>
          <w:rFonts w:ascii="Times New Roman" w:hAnsi="Times New Roman" w:cs="Times New Roman"/>
          <w:color w:val="222222"/>
          <w:sz w:val="24"/>
          <w:szCs w:val="24"/>
          <w:highlight w:val="white"/>
        </w:rPr>
        <w:t>Carolan</w:t>
      </w:r>
      <w:proofErr w:type="spellEnd"/>
      <w:r w:rsidRPr="00B803D4">
        <w:rPr>
          <w:rFonts w:ascii="Times New Roman" w:hAnsi="Times New Roman" w:cs="Times New Roman"/>
          <w:color w:val="222222"/>
          <w:sz w:val="24"/>
          <w:szCs w:val="24"/>
          <w:highlight w:val="white"/>
        </w:rPr>
        <w:t>, K., O’Donnell, A., Diaz, Y. and Freeman, E.R., 2018. Community engagement in patient-</w:t>
      </w:r>
      <w:proofErr w:type="spellStart"/>
      <w:r w:rsidRPr="00B803D4">
        <w:rPr>
          <w:rFonts w:ascii="Times New Roman" w:hAnsi="Times New Roman" w:cs="Times New Roman"/>
          <w:color w:val="222222"/>
          <w:sz w:val="24"/>
          <w:szCs w:val="24"/>
          <w:highlight w:val="white"/>
        </w:rPr>
        <w:t>centered</w:t>
      </w:r>
      <w:proofErr w:type="spellEnd"/>
      <w:r w:rsidRPr="00B803D4">
        <w:rPr>
          <w:rFonts w:ascii="Times New Roman" w:hAnsi="Times New Roman" w:cs="Times New Roman"/>
          <w:color w:val="222222"/>
          <w:sz w:val="24"/>
          <w:szCs w:val="24"/>
          <w:highlight w:val="white"/>
        </w:rPr>
        <w:t xml:space="preserve"> outcomes research: Benefits, barriers, and measurement. </w:t>
      </w:r>
      <w:r w:rsidRPr="00B803D4">
        <w:rPr>
          <w:rFonts w:ascii="Times New Roman" w:hAnsi="Times New Roman" w:cs="Times New Roman"/>
          <w:i/>
          <w:color w:val="222222"/>
          <w:sz w:val="24"/>
          <w:szCs w:val="24"/>
          <w:highlight w:val="white"/>
        </w:rPr>
        <w:t>Journal of clinical and translational science</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2</w:t>
      </w:r>
      <w:r w:rsidRPr="00B803D4">
        <w:rPr>
          <w:rFonts w:ascii="Times New Roman" w:hAnsi="Times New Roman" w:cs="Times New Roman"/>
          <w:color w:val="222222"/>
          <w:sz w:val="24"/>
          <w:szCs w:val="24"/>
          <w:highlight w:val="white"/>
        </w:rPr>
        <w:t>(6), pp.371-376.</w:t>
      </w:r>
    </w:p>
    <w:p w14:paraId="57F7D534"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r w:rsidRPr="00B803D4">
        <w:rPr>
          <w:rFonts w:ascii="Times New Roman" w:hAnsi="Times New Roman" w:cs="Times New Roman"/>
          <w:color w:val="222222"/>
          <w:sz w:val="24"/>
          <w:szCs w:val="24"/>
          <w:highlight w:val="white"/>
        </w:rPr>
        <w:t xml:space="preserve">Matthews, A.K., Newman, S., Anderson, E.E., Castillo, A., Willis, M. and </w:t>
      </w:r>
      <w:proofErr w:type="spellStart"/>
      <w:r w:rsidRPr="00B803D4">
        <w:rPr>
          <w:rFonts w:ascii="Times New Roman" w:hAnsi="Times New Roman" w:cs="Times New Roman"/>
          <w:color w:val="222222"/>
          <w:sz w:val="24"/>
          <w:szCs w:val="24"/>
          <w:highlight w:val="white"/>
        </w:rPr>
        <w:t>Choure</w:t>
      </w:r>
      <w:proofErr w:type="spellEnd"/>
      <w:r w:rsidRPr="00B803D4">
        <w:rPr>
          <w:rFonts w:ascii="Times New Roman" w:hAnsi="Times New Roman" w:cs="Times New Roman"/>
          <w:color w:val="222222"/>
          <w:sz w:val="24"/>
          <w:szCs w:val="24"/>
          <w:highlight w:val="white"/>
        </w:rPr>
        <w:t xml:space="preserve">, W., 2018. Development, implementation, and evaluation of a Community Engagement Advisory Board: strategies for maximizing success. </w:t>
      </w:r>
      <w:r w:rsidRPr="00B803D4">
        <w:rPr>
          <w:rFonts w:ascii="Times New Roman" w:hAnsi="Times New Roman" w:cs="Times New Roman"/>
          <w:i/>
          <w:color w:val="222222"/>
          <w:sz w:val="24"/>
          <w:szCs w:val="24"/>
          <w:highlight w:val="white"/>
        </w:rPr>
        <w:t>Journal of Clinical and Translational Science</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2</w:t>
      </w:r>
      <w:r w:rsidRPr="00B803D4">
        <w:rPr>
          <w:rFonts w:ascii="Times New Roman" w:hAnsi="Times New Roman" w:cs="Times New Roman"/>
          <w:color w:val="222222"/>
          <w:sz w:val="24"/>
          <w:szCs w:val="24"/>
          <w:highlight w:val="white"/>
        </w:rPr>
        <w:t>(1), pp.8-13.</w:t>
      </w:r>
    </w:p>
    <w:p w14:paraId="59BB0BCC"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proofErr w:type="spellStart"/>
      <w:r w:rsidRPr="00B803D4">
        <w:rPr>
          <w:rFonts w:ascii="Times New Roman" w:hAnsi="Times New Roman" w:cs="Times New Roman"/>
          <w:color w:val="222222"/>
          <w:sz w:val="24"/>
          <w:szCs w:val="24"/>
          <w:highlight w:val="white"/>
        </w:rPr>
        <w:t>Mosconi</w:t>
      </w:r>
      <w:proofErr w:type="spellEnd"/>
      <w:r w:rsidRPr="00B803D4">
        <w:rPr>
          <w:rFonts w:ascii="Times New Roman" w:hAnsi="Times New Roman" w:cs="Times New Roman"/>
          <w:color w:val="222222"/>
          <w:sz w:val="24"/>
          <w:szCs w:val="24"/>
          <w:highlight w:val="white"/>
        </w:rPr>
        <w:t xml:space="preserve">, G., </w:t>
      </w:r>
      <w:proofErr w:type="spellStart"/>
      <w:r w:rsidRPr="00B803D4">
        <w:rPr>
          <w:rFonts w:ascii="Times New Roman" w:hAnsi="Times New Roman" w:cs="Times New Roman"/>
          <w:color w:val="222222"/>
          <w:sz w:val="24"/>
          <w:szCs w:val="24"/>
          <w:highlight w:val="white"/>
        </w:rPr>
        <w:t>Korn</w:t>
      </w:r>
      <w:proofErr w:type="spellEnd"/>
      <w:r w:rsidRPr="00B803D4">
        <w:rPr>
          <w:rFonts w:ascii="Times New Roman" w:hAnsi="Times New Roman" w:cs="Times New Roman"/>
          <w:color w:val="222222"/>
          <w:sz w:val="24"/>
          <w:szCs w:val="24"/>
          <w:highlight w:val="white"/>
        </w:rPr>
        <w:t xml:space="preserve">, M., Reuter, C., </w:t>
      </w:r>
      <w:proofErr w:type="spellStart"/>
      <w:r w:rsidRPr="00B803D4">
        <w:rPr>
          <w:rFonts w:ascii="Times New Roman" w:hAnsi="Times New Roman" w:cs="Times New Roman"/>
          <w:color w:val="222222"/>
          <w:sz w:val="24"/>
          <w:szCs w:val="24"/>
          <w:highlight w:val="white"/>
        </w:rPr>
        <w:t>Tolmie</w:t>
      </w:r>
      <w:proofErr w:type="spellEnd"/>
      <w:r w:rsidRPr="00B803D4">
        <w:rPr>
          <w:rFonts w:ascii="Times New Roman" w:hAnsi="Times New Roman" w:cs="Times New Roman"/>
          <w:color w:val="222222"/>
          <w:sz w:val="24"/>
          <w:szCs w:val="24"/>
          <w:highlight w:val="white"/>
        </w:rPr>
        <w:t xml:space="preserve">, P., </w:t>
      </w:r>
      <w:proofErr w:type="spellStart"/>
      <w:r w:rsidRPr="00B803D4">
        <w:rPr>
          <w:rFonts w:ascii="Times New Roman" w:hAnsi="Times New Roman" w:cs="Times New Roman"/>
          <w:color w:val="222222"/>
          <w:sz w:val="24"/>
          <w:szCs w:val="24"/>
          <w:highlight w:val="white"/>
        </w:rPr>
        <w:t>Teli</w:t>
      </w:r>
      <w:proofErr w:type="spellEnd"/>
      <w:r w:rsidRPr="00B803D4">
        <w:rPr>
          <w:rFonts w:ascii="Times New Roman" w:hAnsi="Times New Roman" w:cs="Times New Roman"/>
          <w:color w:val="222222"/>
          <w:sz w:val="24"/>
          <w:szCs w:val="24"/>
          <w:highlight w:val="white"/>
        </w:rPr>
        <w:t xml:space="preserve">, M. and </w:t>
      </w:r>
      <w:proofErr w:type="spellStart"/>
      <w:r w:rsidRPr="00B803D4">
        <w:rPr>
          <w:rFonts w:ascii="Times New Roman" w:hAnsi="Times New Roman" w:cs="Times New Roman"/>
          <w:color w:val="222222"/>
          <w:sz w:val="24"/>
          <w:szCs w:val="24"/>
          <w:highlight w:val="white"/>
        </w:rPr>
        <w:t>Pipek</w:t>
      </w:r>
      <w:proofErr w:type="spellEnd"/>
      <w:r w:rsidRPr="00B803D4">
        <w:rPr>
          <w:rFonts w:ascii="Times New Roman" w:hAnsi="Times New Roman" w:cs="Times New Roman"/>
          <w:color w:val="222222"/>
          <w:sz w:val="24"/>
          <w:szCs w:val="24"/>
          <w:highlight w:val="white"/>
        </w:rPr>
        <w:t xml:space="preserve">, V., 2017. From </w:t>
      </w:r>
      <w:proofErr w:type="spellStart"/>
      <w:r w:rsidRPr="00B803D4">
        <w:rPr>
          <w:rFonts w:ascii="Times New Roman" w:hAnsi="Times New Roman" w:cs="Times New Roman"/>
          <w:color w:val="222222"/>
          <w:sz w:val="24"/>
          <w:szCs w:val="24"/>
          <w:highlight w:val="white"/>
        </w:rPr>
        <w:t>facebook</w:t>
      </w:r>
      <w:proofErr w:type="spellEnd"/>
      <w:r w:rsidRPr="00B803D4">
        <w:rPr>
          <w:rFonts w:ascii="Times New Roman" w:hAnsi="Times New Roman" w:cs="Times New Roman"/>
          <w:color w:val="222222"/>
          <w:sz w:val="24"/>
          <w:szCs w:val="24"/>
          <w:highlight w:val="white"/>
        </w:rPr>
        <w:t xml:space="preserve"> to the neighbourhood: </w:t>
      </w:r>
      <w:proofErr w:type="spellStart"/>
      <w:r w:rsidRPr="00B803D4">
        <w:rPr>
          <w:rFonts w:ascii="Times New Roman" w:hAnsi="Times New Roman" w:cs="Times New Roman"/>
          <w:color w:val="222222"/>
          <w:sz w:val="24"/>
          <w:szCs w:val="24"/>
          <w:highlight w:val="white"/>
        </w:rPr>
        <w:t>Infrastructuring</w:t>
      </w:r>
      <w:proofErr w:type="spellEnd"/>
      <w:r w:rsidRPr="00B803D4">
        <w:rPr>
          <w:rFonts w:ascii="Times New Roman" w:hAnsi="Times New Roman" w:cs="Times New Roman"/>
          <w:color w:val="222222"/>
          <w:sz w:val="24"/>
          <w:szCs w:val="24"/>
          <w:highlight w:val="white"/>
        </w:rPr>
        <w:t xml:space="preserve"> of hybrid community engagement. </w:t>
      </w:r>
      <w:r w:rsidRPr="00B803D4">
        <w:rPr>
          <w:rFonts w:ascii="Times New Roman" w:hAnsi="Times New Roman" w:cs="Times New Roman"/>
          <w:i/>
          <w:color w:val="222222"/>
          <w:sz w:val="24"/>
          <w:szCs w:val="24"/>
          <w:highlight w:val="white"/>
        </w:rPr>
        <w:t>Computer Supported Cooperative Work (CSCW)</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26</w:t>
      </w:r>
      <w:r w:rsidRPr="00B803D4">
        <w:rPr>
          <w:rFonts w:ascii="Times New Roman" w:hAnsi="Times New Roman" w:cs="Times New Roman"/>
          <w:color w:val="222222"/>
          <w:sz w:val="24"/>
          <w:szCs w:val="24"/>
          <w:highlight w:val="white"/>
        </w:rPr>
        <w:t>(4), pp.959-1003.</w:t>
      </w:r>
    </w:p>
    <w:p w14:paraId="77C07E21"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r w:rsidRPr="00B803D4">
        <w:rPr>
          <w:rFonts w:ascii="Times New Roman" w:hAnsi="Times New Roman" w:cs="Times New Roman"/>
          <w:color w:val="222222"/>
          <w:sz w:val="24"/>
          <w:szCs w:val="24"/>
          <w:highlight w:val="white"/>
        </w:rPr>
        <w:lastRenderedPageBreak/>
        <w:t xml:space="preserve">Pratt, B. and de </w:t>
      </w:r>
      <w:proofErr w:type="spellStart"/>
      <w:r w:rsidRPr="00B803D4">
        <w:rPr>
          <w:rFonts w:ascii="Times New Roman" w:hAnsi="Times New Roman" w:cs="Times New Roman"/>
          <w:color w:val="222222"/>
          <w:sz w:val="24"/>
          <w:szCs w:val="24"/>
          <w:highlight w:val="white"/>
        </w:rPr>
        <w:t>Vries</w:t>
      </w:r>
      <w:proofErr w:type="spellEnd"/>
      <w:r w:rsidRPr="00B803D4">
        <w:rPr>
          <w:rFonts w:ascii="Times New Roman" w:hAnsi="Times New Roman" w:cs="Times New Roman"/>
          <w:color w:val="222222"/>
          <w:sz w:val="24"/>
          <w:szCs w:val="24"/>
          <w:highlight w:val="white"/>
        </w:rPr>
        <w:t xml:space="preserve">, J., 2018. Community engagement in global health research that advances health equity. </w:t>
      </w:r>
      <w:r w:rsidRPr="00B803D4">
        <w:rPr>
          <w:rFonts w:ascii="Times New Roman" w:hAnsi="Times New Roman" w:cs="Times New Roman"/>
          <w:i/>
          <w:color w:val="222222"/>
          <w:sz w:val="24"/>
          <w:szCs w:val="24"/>
          <w:highlight w:val="white"/>
        </w:rPr>
        <w:t>Bioethics</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32</w:t>
      </w:r>
      <w:r w:rsidRPr="00B803D4">
        <w:rPr>
          <w:rFonts w:ascii="Times New Roman" w:hAnsi="Times New Roman" w:cs="Times New Roman"/>
          <w:color w:val="222222"/>
          <w:sz w:val="24"/>
          <w:szCs w:val="24"/>
          <w:highlight w:val="white"/>
        </w:rPr>
        <w:t>(7), pp.454-463.</w:t>
      </w:r>
    </w:p>
    <w:p w14:paraId="2EB39CD8" w14:textId="77777777" w:rsidR="00B803D4" w:rsidRPr="00B803D4" w:rsidRDefault="00B803D4" w:rsidP="00B803D4">
      <w:pPr>
        <w:spacing w:line="360" w:lineRule="auto"/>
        <w:jc w:val="both"/>
        <w:rPr>
          <w:rFonts w:ascii="Times New Roman" w:hAnsi="Times New Roman" w:cs="Times New Roman"/>
          <w:color w:val="222222"/>
          <w:sz w:val="24"/>
          <w:szCs w:val="24"/>
          <w:highlight w:val="white"/>
        </w:rPr>
      </w:pPr>
      <w:r w:rsidRPr="00B803D4">
        <w:rPr>
          <w:rFonts w:ascii="Times New Roman" w:hAnsi="Times New Roman" w:cs="Times New Roman"/>
          <w:color w:val="222222"/>
          <w:sz w:val="24"/>
          <w:szCs w:val="24"/>
          <w:highlight w:val="white"/>
        </w:rPr>
        <w:t xml:space="preserve">Tan, C.C. and </w:t>
      </w:r>
      <w:proofErr w:type="spellStart"/>
      <w:r w:rsidRPr="00B803D4">
        <w:rPr>
          <w:rFonts w:ascii="Times New Roman" w:hAnsi="Times New Roman" w:cs="Times New Roman"/>
          <w:color w:val="222222"/>
          <w:sz w:val="24"/>
          <w:szCs w:val="24"/>
          <w:highlight w:val="white"/>
        </w:rPr>
        <w:t>Apisit-Isariyah</w:t>
      </w:r>
      <w:proofErr w:type="spellEnd"/>
      <w:r w:rsidRPr="00B803D4">
        <w:rPr>
          <w:rFonts w:ascii="Times New Roman" w:hAnsi="Times New Roman" w:cs="Times New Roman"/>
          <w:color w:val="222222"/>
          <w:sz w:val="24"/>
          <w:szCs w:val="24"/>
          <w:highlight w:val="white"/>
        </w:rPr>
        <w:t xml:space="preserve">, P., 2018. Towards a community-based theory of brand community engagement. </w:t>
      </w:r>
      <w:r w:rsidRPr="00B803D4">
        <w:rPr>
          <w:rFonts w:ascii="Times New Roman" w:hAnsi="Times New Roman" w:cs="Times New Roman"/>
          <w:i/>
          <w:color w:val="222222"/>
          <w:sz w:val="24"/>
          <w:szCs w:val="24"/>
          <w:highlight w:val="white"/>
        </w:rPr>
        <w:t>Advanced Science Letters</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24</w:t>
      </w:r>
      <w:r w:rsidRPr="00B803D4">
        <w:rPr>
          <w:rFonts w:ascii="Times New Roman" w:hAnsi="Times New Roman" w:cs="Times New Roman"/>
          <w:color w:val="222222"/>
          <w:sz w:val="24"/>
          <w:szCs w:val="24"/>
          <w:highlight w:val="white"/>
        </w:rPr>
        <w:t>(7), pp.5167-5170.</w:t>
      </w:r>
    </w:p>
    <w:p w14:paraId="3B94D0D4" w14:textId="77777777" w:rsidR="00B803D4" w:rsidRDefault="00B803D4" w:rsidP="00B803D4">
      <w:pPr>
        <w:spacing w:line="360" w:lineRule="auto"/>
        <w:jc w:val="both"/>
        <w:rPr>
          <w:color w:val="222222"/>
          <w:sz w:val="20"/>
          <w:szCs w:val="20"/>
          <w:highlight w:val="white"/>
        </w:rPr>
      </w:pPr>
      <w:proofErr w:type="spellStart"/>
      <w:r w:rsidRPr="00B803D4">
        <w:rPr>
          <w:rFonts w:ascii="Times New Roman" w:hAnsi="Times New Roman" w:cs="Times New Roman"/>
          <w:color w:val="222222"/>
          <w:sz w:val="24"/>
          <w:szCs w:val="24"/>
          <w:highlight w:val="white"/>
        </w:rPr>
        <w:t>Zanbar</w:t>
      </w:r>
      <w:proofErr w:type="spellEnd"/>
      <w:r w:rsidRPr="00B803D4">
        <w:rPr>
          <w:rFonts w:ascii="Times New Roman" w:hAnsi="Times New Roman" w:cs="Times New Roman"/>
          <w:color w:val="222222"/>
          <w:sz w:val="24"/>
          <w:szCs w:val="24"/>
          <w:highlight w:val="white"/>
        </w:rPr>
        <w:t xml:space="preserve">, L. and Ellison, N., 2019. Personal and community factors as predictors of different types of community engagement. </w:t>
      </w:r>
      <w:r w:rsidRPr="00B803D4">
        <w:rPr>
          <w:rFonts w:ascii="Times New Roman" w:hAnsi="Times New Roman" w:cs="Times New Roman"/>
          <w:i/>
          <w:color w:val="222222"/>
          <w:sz w:val="24"/>
          <w:szCs w:val="24"/>
          <w:highlight w:val="white"/>
        </w:rPr>
        <w:t>Journal of community psychology</w:t>
      </w:r>
      <w:r w:rsidRPr="00B803D4">
        <w:rPr>
          <w:rFonts w:ascii="Times New Roman" w:hAnsi="Times New Roman" w:cs="Times New Roman"/>
          <w:color w:val="222222"/>
          <w:sz w:val="24"/>
          <w:szCs w:val="24"/>
          <w:highlight w:val="white"/>
        </w:rPr>
        <w:t xml:space="preserve">, </w:t>
      </w:r>
      <w:r w:rsidRPr="00B803D4">
        <w:rPr>
          <w:rFonts w:ascii="Times New Roman" w:hAnsi="Times New Roman" w:cs="Times New Roman"/>
          <w:i/>
          <w:color w:val="222222"/>
          <w:sz w:val="24"/>
          <w:szCs w:val="24"/>
          <w:highlight w:val="white"/>
        </w:rPr>
        <w:t>47</w:t>
      </w:r>
      <w:r w:rsidRPr="00B803D4">
        <w:rPr>
          <w:rFonts w:ascii="Times New Roman" w:hAnsi="Times New Roman" w:cs="Times New Roman"/>
          <w:color w:val="222222"/>
          <w:sz w:val="24"/>
          <w:szCs w:val="24"/>
          <w:highlight w:val="white"/>
        </w:rPr>
        <w:t>(7), pp.1645-166</w:t>
      </w:r>
      <w:r>
        <w:rPr>
          <w:color w:val="222222"/>
          <w:sz w:val="20"/>
          <w:szCs w:val="20"/>
          <w:highlight w:val="white"/>
        </w:rPr>
        <w:t>5.</w:t>
      </w:r>
    </w:p>
    <w:sectPr w:rsidR="00B803D4">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A98A8" w14:textId="77777777" w:rsidR="00462B87" w:rsidRDefault="00462B87" w:rsidP="00B803D4">
      <w:pPr>
        <w:spacing w:line="240" w:lineRule="auto"/>
      </w:pPr>
      <w:r>
        <w:separator/>
      </w:r>
    </w:p>
  </w:endnote>
  <w:endnote w:type="continuationSeparator" w:id="0">
    <w:p w14:paraId="1F916165" w14:textId="77777777" w:rsidR="00462B87" w:rsidRDefault="00462B87" w:rsidP="00B803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460649"/>
      <w:docPartObj>
        <w:docPartGallery w:val="Page Numbers (Bottom of Page)"/>
        <w:docPartUnique/>
      </w:docPartObj>
    </w:sdtPr>
    <w:sdtEndPr/>
    <w:sdtContent>
      <w:sdt>
        <w:sdtPr>
          <w:id w:val="-1769616900"/>
          <w:docPartObj>
            <w:docPartGallery w:val="Page Numbers (Top of Page)"/>
            <w:docPartUnique/>
          </w:docPartObj>
        </w:sdtPr>
        <w:sdtEndPr/>
        <w:sdtContent>
          <w:p w14:paraId="1553EC2A" w14:textId="77777777" w:rsidR="00B803D4" w:rsidRDefault="00B803D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F97B929" w14:textId="77777777" w:rsidR="00B803D4" w:rsidRDefault="00B803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CA0BA4" w14:textId="77777777" w:rsidR="00462B87" w:rsidRDefault="00462B87" w:rsidP="00B803D4">
      <w:pPr>
        <w:spacing w:line="240" w:lineRule="auto"/>
      </w:pPr>
      <w:r>
        <w:separator/>
      </w:r>
    </w:p>
  </w:footnote>
  <w:footnote w:type="continuationSeparator" w:id="0">
    <w:p w14:paraId="42932947" w14:textId="77777777" w:rsidR="00462B87" w:rsidRDefault="00462B87" w:rsidP="00B803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301D1"/>
    <w:multiLevelType w:val="multilevel"/>
    <w:tmpl w:val="AFEC6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447FC7"/>
    <w:multiLevelType w:val="multilevel"/>
    <w:tmpl w:val="99A83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953382"/>
    <w:multiLevelType w:val="multilevel"/>
    <w:tmpl w:val="9F6213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3170AA2"/>
    <w:multiLevelType w:val="multilevel"/>
    <w:tmpl w:val="23528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845"/>
    <w:rsid w:val="002C4DBC"/>
    <w:rsid w:val="00462B87"/>
    <w:rsid w:val="005D7A47"/>
    <w:rsid w:val="009143EF"/>
    <w:rsid w:val="009302AD"/>
    <w:rsid w:val="00B803D4"/>
    <w:rsid w:val="00C50005"/>
    <w:rsid w:val="00FA68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3BB6E"/>
  <w15:docId w15:val="{81E598AA-6A5C-4F64-B164-154CDBDFF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803D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B803D4"/>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B803D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803D4"/>
    <w:pPr>
      <w:spacing w:after="100"/>
    </w:pPr>
  </w:style>
  <w:style w:type="paragraph" w:styleId="TOC2">
    <w:name w:val="toc 2"/>
    <w:basedOn w:val="Normal"/>
    <w:next w:val="Normal"/>
    <w:autoRedefine/>
    <w:uiPriority w:val="39"/>
    <w:unhideWhenUsed/>
    <w:rsid w:val="00B803D4"/>
    <w:pPr>
      <w:spacing w:after="100"/>
      <w:ind w:left="220"/>
    </w:pPr>
  </w:style>
  <w:style w:type="character" w:styleId="Hyperlink">
    <w:name w:val="Hyperlink"/>
    <w:basedOn w:val="DefaultParagraphFont"/>
    <w:uiPriority w:val="99"/>
    <w:unhideWhenUsed/>
    <w:rsid w:val="00B803D4"/>
    <w:rPr>
      <w:color w:val="0000FF" w:themeColor="hyperlink"/>
      <w:u w:val="single"/>
    </w:rPr>
  </w:style>
  <w:style w:type="paragraph" w:styleId="Header">
    <w:name w:val="header"/>
    <w:basedOn w:val="Normal"/>
    <w:link w:val="HeaderChar"/>
    <w:uiPriority w:val="99"/>
    <w:unhideWhenUsed/>
    <w:rsid w:val="00B803D4"/>
    <w:pPr>
      <w:tabs>
        <w:tab w:val="center" w:pos="4513"/>
        <w:tab w:val="right" w:pos="9026"/>
      </w:tabs>
      <w:spacing w:line="240" w:lineRule="auto"/>
    </w:pPr>
  </w:style>
  <w:style w:type="character" w:customStyle="1" w:styleId="HeaderChar">
    <w:name w:val="Header Char"/>
    <w:basedOn w:val="DefaultParagraphFont"/>
    <w:link w:val="Header"/>
    <w:uiPriority w:val="99"/>
    <w:rsid w:val="00B803D4"/>
  </w:style>
  <w:style w:type="paragraph" w:styleId="Footer">
    <w:name w:val="footer"/>
    <w:basedOn w:val="Normal"/>
    <w:link w:val="FooterChar"/>
    <w:uiPriority w:val="99"/>
    <w:unhideWhenUsed/>
    <w:rsid w:val="00B803D4"/>
    <w:pPr>
      <w:tabs>
        <w:tab w:val="center" w:pos="4513"/>
        <w:tab w:val="right" w:pos="9026"/>
      </w:tabs>
      <w:spacing w:line="240" w:lineRule="auto"/>
    </w:pPr>
  </w:style>
  <w:style w:type="character" w:customStyle="1" w:styleId="FooterChar">
    <w:name w:val="Footer Char"/>
    <w:basedOn w:val="DefaultParagraphFont"/>
    <w:link w:val="Footer"/>
    <w:uiPriority w:val="99"/>
    <w:rsid w:val="00B803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26F9F-3BCE-4DE7-A8DF-635ECAF39C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2654</Words>
  <Characters>15129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2021-09-03T12:32:00Z</dcterms:created>
  <dcterms:modified xsi:type="dcterms:W3CDTF">2021-09-03T12:32:00Z</dcterms:modified>
</cp:coreProperties>
</file>