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706176563"/>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6528E2E1" w14:textId="0742ADBE" w:rsidR="00B8251B" w:rsidRDefault="00B8251B">
          <w:pPr>
            <w:pStyle w:val="NoSpacing"/>
            <w:spacing w:before="1540" w:after="240"/>
            <w:jc w:val="center"/>
            <w:rPr>
              <w:color w:val="156082" w:themeColor="accent1"/>
            </w:rPr>
          </w:pPr>
        </w:p>
        <w:sdt>
          <w:sdtPr>
            <w:rPr>
              <w:rFonts w:ascii="Arial Black" w:eastAsiaTheme="majorEastAsia" w:hAnsi="Arial Black" w:cstheme="majorBidi"/>
              <w:caps/>
              <w:color w:val="156082" w:themeColor="accent1"/>
              <w:sz w:val="72"/>
              <w:szCs w:val="72"/>
            </w:rPr>
            <w:alias w:val="Title"/>
            <w:tag w:val=""/>
            <w:id w:val="1735040861"/>
            <w:placeholder>
              <w:docPart w:val="281023F101AC4E19B3A3AE640BCB44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3C0AC8" w14:textId="272BD2C0" w:rsidR="00B8251B" w:rsidRPr="00B8251B" w:rsidRDefault="00B8251B" w:rsidP="00B8251B">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B8251B">
                <w:rPr>
                  <w:rFonts w:ascii="Arial Black" w:eastAsiaTheme="majorEastAsia" w:hAnsi="Arial Black" w:cstheme="majorBidi"/>
                  <w:caps/>
                  <w:color w:val="156082" w:themeColor="accent1"/>
                  <w:sz w:val="72"/>
                  <w:szCs w:val="72"/>
                </w:rPr>
                <w:t xml:space="preserve">Financial Analysis </w:t>
              </w:r>
            </w:p>
          </w:sdtContent>
        </w:sdt>
        <w:p w14:paraId="3A76679C" w14:textId="2436C35D" w:rsidR="00B8251B" w:rsidRDefault="00B8251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6E7D748" wp14:editId="473AAF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799BF" w14:textId="2DEC6073" w:rsidR="00B8251B" w:rsidRDefault="00B8251B" w:rsidP="00B8251B">
                                <w:pPr>
                                  <w:pStyle w:val="NoSpacing"/>
                                  <w:spacing w:after="40"/>
                                  <w:rPr>
                                    <w:caps/>
                                    <w:color w:val="156082" w:themeColor="accent1"/>
                                    <w:sz w:val="28"/>
                                    <w:szCs w:val="28"/>
                                  </w:rPr>
                                </w:pPr>
                              </w:p>
                              <w:p w14:paraId="68E1FC8A" w14:textId="4A537436" w:rsidR="00B8251B" w:rsidRPr="00B8251B" w:rsidRDefault="00B8251B">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B8251B">
                                      <w:rPr>
                                        <w:rFonts w:ascii="Arial Black" w:hAnsi="Arial Black"/>
                                        <w:caps/>
                                        <w:color w:val="156082" w:themeColor="accent1"/>
                                        <w:sz w:val="32"/>
                                        <w:szCs w:val="32"/>
                                      </w:rPr>
                                      <w:t>Amar gureanu (2247669)</w:t>
                                    </w:r>
                                  </w:sdtContent>
                                </w:sdt>
                              </w:p>
                              <w:p w14:paraId="40A23743" w14:textId="3C4D1876" w:rsidR="00B8251B" w:rsidRDefault="00B8251B">
                                <w:pPr>
                                  <w:pStyle w:val="NoSpacing"/>
                                  <w:jc w:val="center"/>
                                  <w:rPr>
                                    <w:color w:val="156082" w:themeColor="accent1"/>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B8251B">
                                      <w:rPr>
                                        <w:rFonts w:ascii="Arial Black" w:hAnsi="Arial Black"/>
                                        <w:color w:val="156082" w:themeColor="accent1"/>
                                        <w:sz w:val="32"/>
                                        <w:szCs w:val="32"/>
                                      </w:rPr>
                                      <w:t>BMSP4011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E7D74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F4799BF" w14:textId="2DEC6073" w:rsidR="00B8251B" w:rsidRDefault="00B8251B" w:rsidP="00B8251B">
                          <w:pPr>
                            <w:pStyle w:val="NoSpacing"/>
                            <w:spacing w:after="40"/>
                            <w:rPr>
                              <w:caps/>
                              <w:color w:val="156082" w:themeColor="accent1"/>
                              <w:sz w:val="28"/>
                              <w:szCs w:val="28"/>
                            </w:rPr>
                          </w:pPr>
                        </w:p>
                        <w:p w14:paraId="68E1FC8A" w14:textId="4A537436" w:rsidR="00B8251B" w:rsidRPr="00B8251B" w:rsidRDefault="00B8251B">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B8251B">
                                <w:rPr>
                                  <w:rFonts w:ascii="Arial Black" w:hAnsi="Arial Black"/>
                                  <w:caps/>
                                  <w:color w:val="156082" w:themeColor="accent1"/>
                                  <w:sz w:val="32"/>
                                  <w:szCs w:val="32"/>
                                </w:rPr>
                                <w:t>Amar gureanu (2247669)</w:t>
                              </w:r>
                            </w:sdtContent>
                          </w:sdt>
                        </w:p>
                        <w:p w14:paraId="40A23743" w14:textId="3C4D1876" w:rsidR="00B8251B" w:rsidRDefault="00B8251B">
                          <w:pPr>
                            <w:pStyle w:val="NoSpacing"/>
                            <w:jc w:val="center"/>
                            <w:rPr>
                              <w:color w:val="156082" w:themeColor="accent1"/>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B8251B">
                                <w:rPr>
                                  <w:rFonts w:ascii="Arial Black" w:hAnsi="Arial Black"/>
                                  <w:color w:val="156082" w:themeColor="accent1"/>
                                  <w:sz w:val="32"/>
                                  <w:szCs w:val="32"/>
                                </w:rPr>
                                <w:t>BMSP4011</w:t>
                              </w:r>
                            </w:sdtContent>
                          </w:sdt>
                        </w:p>
                      </w:txbxContent>
                    </v:textbox>
                    <w10:wrap anchorx="margin" anchory="page"/>
                  </v:shape>
                </w:pict>
              </mc:Fallback>
            </mc:AlternateContent>
          </w:r>
        </w:p>
        <w:p w14:paraId="4764E6FE" w14:textId="4DBB3558" w:rsidR="00B8251B" w:rsidRDefault="00B8251B">
          <w:pPr>
            <w:rPr>
              <w:rFonts w:ascii="Arial Black" w:hAnsi="Arial Black" w:cs="Arial"/>
              <w:color w:val="156082" w:themeColor="accent1"/>
              <w:sz w:val="24"/>
              <w:szCs w:val="24"/>
            </w:rPr>
          </w:pPr>
          <w:r>
            <w:rPr>
              <w:rFonts w:ascii="Arial Black" w:hAnsi="Arial Black" w:cs="Arial"/>
              <w:color w:val="156082" w:themeColor="accent1"/>
              <w:sz w:val="24"/>
              <w:szCs w:val="24"/>
            </w:rPr>
            <w:br w:type="page"/>
          </w:r>
        </w:p>
      </w:sdtContent>
    </w:sdt>
    <w:p w14:paraId="3D93FB70" w14:textId="7DC69C3E" w:rsidR="003C4D3F" w:rsidRPr="000577B5" w:rsidRDefault="003C4D3F" w:rsidP="000577B5">
      <w:pPr>
        <w:spacing w:line="360" w:lineRule="auto"/>
        <w:rPr>
          <w:rFonts w:ascii="Arial Black" w:hAnsi="Arial Black" w:cs="Arial"/>
          <w:color w:val="156082" w:themeColor="accent1"/>
          <w:sz w:val="24"/>
          <w:szCs w:val="24"/>
        </w:rPr>
      </w:pPr>
      <w:r w:rsidRPr="000577B5">
        <w:rPr>
          <w:rFonts w:ascii="Arial Black" w:hAnsi="Arial Black" w:cs="Arial"/>
          <w:color w:val="156082" w:themeColor="accent1"/>
          <w:sz w:val="24"/>
          <w:szCs w:val="24"/>
        </w:rPr>
        <w:lastRenderedPageBreak/>
        <w:t xml:space="preserve">Introduction </w:t>
      </w:r>
    </w:p>
    <w:p w14:paraId="2E8681CF" w14:textId="6F1F31F1" w:rsidR="003A2F4E" w:rsidRDefault="003C4D3F" w:rsidP="000577B5">
      <w:pPr>
        <w:spacing w:line="360" w:lineRule="auto"/>
        <w:rPr>
          <w:rFonts w:ascii="Arial" w:hAnsi="Arial" w:cs="Arial"/>
          <w:sz w:val="24"/>
          <w:szCs w:val="24"/>
        </w:rPr>
      </w:pPr>
      <w:r w:rsidRPr="003C4D3F">
        <w:rPr>
          <w:rFonts w:ascii="Arial" w:hAnsi="Arial" w:cs="Arial"/>
          <w:sz w:val="24"/>
          <w:szCs w:val="24"/>
        </w:rPr>
        <w:t>Nike Inc., a global leader in athletic footwear, gear, and equipment, represents innovation and quality in the sports sector. The company was founded in 1964 and has since evolved to become one of the world's most recognisable brands. This research examines Nike's financial performance over the last two fiscal years, using full financial statements and a comprehensive ratio analysis. This analysis aims to better understand Nike's financial health and performance patterns by examining important financial measures such as profitability, liquidity, and solvency. This method not only provides a snapshot of previous and current financial conditions, but it also helps predict future financial capabilities.</w:t>
      </w:r>
      <w:r w:rsidRPr="003C4D3F">
        <w:t xml:space="preserve"> </w:t>
      </w:r>
      <w:r w:rsidRPr="003C4D3F">
        <w:rPr>
          <w:rFonts w:ascii="Arial" w:hAnsi="Arial" w:cs="Arial"/>
          <w:sz w:val="24"/>
          <w:szCs w:val="24"/>
        </w:rPr>
        <w:t>The findings will provide insights that may be used to inform strategic decisions, assuring Nike's long-term growth and financial stability in a competitive market setting.</w:t>
      </w:r>
    </w:p>
    <w:p w14:paraId="77805108" w14:textId="77777777" w:rsidR="003C4D3F" w:rsidRDefault="003C4D3F" w:rsidP="000577B5">
      <w:pPr>
        <w:spacing w:line="360" w:lineRule="auto"/>
        <w:rPr>
          <w:rFonts w:ascii="Arial" w:hAnsi="Arial" w:cs="Arial"/>
          <w:sz w:val="24"/>
          <w:szCs w:val="24"/>
        </w:rPr>
      </w:pPr>
    </w:p>
    <w:p w14:paraId="0832F11D" w14:textId="77777777" w:rsidR="003C4D3F" w:rsidRDefault="003C4D3F" w:rsidP="000577B5">
      <w:pPr>
        <w:spacing w:line="360" w:lineRule="auto"/>
        <w:rPr>
          <w:rFonts w:ascii="Arial" w:hAnsi="Arial" w:cs="Arial"/>
          <w:sz w:val="24"/>
          <w:szCs w:val="24"/>
        </w:rPr>
      </w:pPr>
    </w:p>
    <w:p w14:paraId="53ADB15B" w14:textId="77777777" w:rsidR="003C4D3F" w:rsidRDefault="003C4D3F" w:rsidP="000577B5">
      <w:pPr>
        <w:spacing w:line="360" w:lineRule="auto"/>
        <w:rPr>
          <w:rFonts w:ascii="Arial" w:hAnsi="Arial" w:cs="Arial"/>
          <w:sz w:val="24"/>
          <w:szCs w:val="24"/>
        </w:rPr>
      </w:pPr>
    </w:p>
    <w:p w14:paraId="604BEDD6" w14:textId="77777777" w:rsidR="003C4D3F" w:rsidRDefault="003C4D3F" w:rsidP="000577B5">
      <w:pPr>
        <w:spacing w:line="360" w:lineRule="auto"/>
        <w:rPr>
          <w:rFonts w:ascii="Arial" w:hAnsi="Arial" w:cs="Arial"/>
          <w:sz w:val="24"/>
          <w:szCs w:val="24"/>
        </w:rPr>
      </w:pPr>
    </w:p>
    <w:p w14:paraId="25C0CDB4" w14:textId="77777777" w:rsidR="003C4D3F" w:rsidRDefault="003C4D3F" w:rsidP="000577B5">
      <w:pPr>
        <w:spacing w:line="360" w:lineRule="auto"/>
        <w:rPr>
          <w:rFonts w:ascii="Arial" w:hAnsi="Arial" w:cs="Arial"/>
          <w:sz w:val="24"/>
          <w:szCs w:val="24"/>
        </w:rPr>
      </w:pPr>
    </w:p>
    <w:p w14:paraId="4CE78FA7" w14:textId="77777777" w:rsidR="003C4D3F" w:rsidRDefault="003C4D3F" w:rsidP="000577B5">
      <w:pPr>
        <w:spacing w:line="360" w:lineRule="auto"/>
        <w:rPr>
          <w:rFonts w:ascii="Arial" w:hAnsi="Arial" w:cs="Arial"/>
          <w:sz w:val="24"/>
          <w:szCs w:val="24"/>
        </w:rPr>
      </w:pPr>
    </w:p>
    <w:p w14:paraId="206D9DEA" w14:textId="77777777" w:rsidR="003C4D3F" w:rsidRDefault="003C4D3F" w:rsidP="000577B5">
      <w:pPr>
        <w:spacing w:line="360" w:lineRule="auto"/>
        <w:rPr>
          <w:rFonts w:ascii="Arial" w:hAnsi="Arial" w:cs="Arial"/>
          <w:sz w:val="24"/>
          <w:szCs w:val="24"/>
        </w:rPr>
      </w:pPr>
    </w:p>
    <w:p w14:paraId="1CB82F9D" w14:textId="77777777" w:rsidR="003C4D3F" w:rsidRDefault="003C4D3F" w:rsidP="000577B5">
      <w:pPr>
        <w:spacing w:line="360" w:lineRule="auto"/>
        <w:rPr>
          <w:rFonts w:ascii="Arial" w:hAnsi="Arial" w:cs="Arial"/>
          <w:sz w:val="24"/>
          <w:szCs w:val="24"/>
        </w:rPr>
      </w:pPr>
    </w:p>
    <w:p w14:paraId="705DAA73" w14:textId="77777777" w:rsidR="003C4D3F" w:rsidRDefault="003C4D3F" w:rsidP="000577B5">
      <w:pPr>
        <w:spacing w:line="360" w:lineRule="auto"/>
        <w:rPr>
          <w:rFonts w:ascii="Arial" w:hAnsi="Arial" w:cs="Arial"/>
          <w:sz w:val="24"/>
          <w:szCs w:val="24"/>
        </w:rPr>
      </w:pPr>
    </w:p>
    <w:p w14:paraId="25057A13" w14:textId="77777777" w:rsidR="003C4D3F" w:rsidRDefault="003C4D3F" w:rsidP="000577B5">
      <w:pPr>
        <w:spacing w:line="360" w:lineRule="auto"/>
        <w:rPr>
          <w:rFonts w:ascii="Arial" w:hAnsi="Arial" w:cs="Arial"/>
          <w:sz w:val="24"/>
          <w:szCs w:val="24"/>
        </w:rPr>
      </w:pPr>
    </w:p>
    <w:p w14:paraId="63F2FDDC" w14:textId="77777777" w:rsidR="003C4D3F" w:rsidRDefault="003C4D3F" w:rsidP="000577B5">
      <w:pPr>
        <w:spacing w:line="360" w:lineRule="auto"/>
        <w:rPr>
          <w:rFonts w:ascii="Arial" w:hAnsi="Arial" w:cs="Arial"/>
          <w:sz w:val="24"/>
          <w:szCs w:val="24"/>
        </w:rPr>
      </w:pPr>
    </w:p>
    <w:p w14:paraId="2728DC0F" w14:textId="77777777" w:rsidR="003C4D3F" w:rsidRDefault="003C4D3F" w:rsidP="000577B5">
      <w:pPr>
        <w:spacing w:line="360" w:lineRule="auto"/>
        <w:rPr>
          <w:rFonts w:ascii="Arial" w:hAnsi="Arial" w:cs="Arial"/>
          <w:sz w:val="24"/>
          <w:szCs w:val="24"/>
        </w:rPr>
      </w:pPr>
    </w:p>
    <w:p w14:paraId="47AA8004" w14:textId="77777777" w:rsidR="000577B5" w:rsidRDefault="000577B5" w:rsidP="000577B5">
      <w:pPr>
        <w:spacing w:line="360" w:lineRule="auto"/>
        <w:rPr>
          <w:rFonts w:ascii="Arial" w:hAnsi="Arial" w:cs="Arial"/>
          <w:sz w:val="24"/>
          <w:szCs w:val="24"/>
        </w:rPr>
      </w:pPr>
    </w:p>
    <w:p w14:paraId="5D44342A" w14:textId="77777777" w:rsidR="003C4D3F" w:rsidRDefault="003C4D3F" w:rsidP="000577B5">
      <w:pPr>
        <w:spacing w:line="360" w:lineRule="auto"/>
        <w:rPr>
          <w:rFonts w:ascii="Arial" w:hAnsi="Arial" w:cs="Arial"/>
          <w:sz w:val="24"/>
          <w:szCs w:val="24"/>
        </w:rPr>
      </w:pPr>
    </w:p>
    <w:p w14:paraId="2C08F803" w14:textId="66ECD90A" w:rsidR="003C4D3F" w:rsidRDefault="003C4D3F" w:rsidP="000577B5">
      <w:pPr>
        <w:spacing w:line="360" w:lineRule="auto"/>
        <w:rPr>
          <w:rFonts w:ascii="Arial" w:hAnsi="Arial" w:cs="Arial"/>
          <w:sz w:val="24"/>
          <w:szCs w:val="24"/>
        </w:rPr>
      </w:pPr>
      <w:r w:rsidRPr="000577B5">
        <w:rPr>
          <w:rFonts w:ascii="Arial Black" w:hAnsi="Arial Black" w:cs="Arial"/>
          <w:color w:val="156082" w:themeColor="accent1"/>
          <w:sz w:val="24"/>
          <w:szCs w:val="24"/>
        </w:rPr>
        <w:lastRenderedPageBreak/>
        <w:t xml:space="preserve">Methodology </w:t>
      </w:r>
      <w:r w:rsidRPr="003C4D3F">
        <w:rPr>
          <w:rFonts w:ascii="Arial" w:hAnsi="Arial" w:cs="Arial"/>
          <w:sz w:val="24"/>
          <w:szCs w:val="24"/>
        </w:rPr>
        <w:br/>
        <w:t>Nike Inc.'s financial analysis is based on publicly available financial statements from the last two fiscal years, including income statements, balance sheets, and cash flow statements. Key financial ratios such as return on equity (profitability), current ratio (liquidity), and debt to equity ratio (solvency) are carefully computed to assess the company's financial health. This analysis is based on proven financial accounting and management procedures, as defined in "Frank Wood's Business Accounting 1" (Wood, 2015) and "Costing" by T. Lucey (2009), to ensure rigorous and academically supported review practices. These texts provide the theoretical underpinning required for accurate financial ratio analysis and comparison.</w:t>
      </w:r>
    </w:p>
    <w:p w14:paraId="238B73CB" w14:textId="27BC7041" w:rsidR="003C4D3F" w:rsidRPr="000577B5" w:rsidRDefault="003C4D3F" w:rsidP="000577B5">
      <w:pPr>
        <w:spacing w:line="360" w:lineRule="auto"/>
        <w:rPr>
          <w:rFonts w:ascii="Arial Black" w:hAnsi="Arial Black" w:cs="Arial"/>
          <w:color w:val="156082" w:themeColor="accent1"/>
          <w:sz w:val="24"/>
          <w:szCs w:val="24"/>
        </w:rPr>
      </w:pPr>
      <w:r w:rsidRPr="000577B5">
        <w:rPr>
          <w:rFonts w:ascii="Arial Black" w:hAnsi="Arial Black" w:cs="Arial"/>
          <w:color w:val="156082" w:themeColor="accent1"/>
          <w:sz w:val="24"/>
          <w:szCs w:val="24"/>
        </w:rPr>
        <w:t>Financial Analysis</w:t>
      </w:r>
    </w:p>
    <w:p w14:paraId="29BAF45B" w14:textId="756DB619" w:rsidR="003C4D3F" w:rsidRDefault="003C4D3F" w:rsidP="000577B5">
      <w:pPr>
        <w:spacing w:line="360" w:lineRule="auto"/>
        <w:rPr>
          <w:rFonts w:ascii="Arial" w:hAnsi="Arial" w:cs="Arial"/>
          <w:sz w:val="24"/>
          <w:szCs w:val="24"/>
        </w:rPr>
      </w:pPr>
      <w:r w:rsidRPr="003C4D3F">
        <w:rPr>
          <w:rFonts w:ascii="Arial" w:hAnsi="Arial" w:cs="Arial"/>
          <w:sz w:val="24"/>
          <w:szCs w:val="24"/>
        </w:rPr>
        <w:t xml:space="preserve">Our financial analysis of Nike Inc. for fiscal years 2022 and 2023 focuses on key financial ratios that measure profitability, liquidity, and solvency. Here's a breakdown of the main ratios: </w:t>
      </w:r>
      <w:r w:rsidRPr="003C4D3F">
        <w:rPr>
          <w:rFonts w:ascii="Arial" w:hAnsi="Arial" w:cs="Arial"/>
          <w:sz w:val="24"/>
          <w:szCs w:val="24"/>
        </w:rPr>
        <w:br/>
      </w:r>
      <w:r w:rsidRPr="000577B5">
        <w:rPr>
          <w:rFonts w:ascii="Arial" w:hAnsi="Arial" w:cs="Arial"/>
          <w:b/>
          <w:bCs/>
          <w:color w:val="156082" w:themeColor="accent1"/>
          <w:sz w:val="24"/>
          <w:szCs w:val="24"/>
        </w:rPr>
        <w:t>Profitability and Return on Equity (ROE):</w:t>
      </w:r>
      <w:r w:rsidRPr="000577B5">
        <w:rPr>
          <w:rFonts w:ascii="Arial" w:hAnsi="Arial" w:cs="Arial"/>
          <w:color w:val="156082" w:themeColor="accent1"/>
          <w:sz w:val="24"/>
          <w:szCs w:val="24"/>
        </w:rPr>
        <w:t xml:space="preserve"> </w:t>
      </w:r>
      <w:r w:rsidRPr="003C4D3F">
        <w:rPr>
          <w:rFonts w:ascii="Arial" w:hAnsi="Arial" w:cs="Arial"/>
          <w:sz w:val="24"/>
          <w:szCs w:val="24"/>
        </w:rPr>
        <w:br/>
        <w:t xml:space="preserve">Nike's ROE for 2022 was 45.6%, based on a net income of $5.7 billion and total equity of $12.5 billion. In 2023, the ROE fell slightly to 43.7%, with a net income of $6.2 billion and increased equity of $14.2 billion. This means that Nike's ability to make </w:t>
      </w:r>
      <w:r>
        <w:rPr>
          <w:rFonts w:ascii="Arial" w:hAnsi="Arial" w:cs="Arial"/>
          <w:sz w:val="24"/>
          <w:szCs w:val="24"/>
        </w:rPr>
        <w:t xml:space="preserve">a </w:t>
      </w:r>
      <w:r w:rsidRPr="003C4D3F">
        <w:rPr>
          <w:rFonts w:ascii="Arial" w:hAnsi="Arial" w:cs="Arial"/>
          <w:sz w:val="24"/>
          <w:szCs w:val="24"/>
        </w:rPr>
        <w:t>profit from its shares has decreased slightly.</w:t>
      </w:r>
    </w:p>
    <w:p w14:paraId="7F8BDDE1" w14:textId="0CEFDB44" w:rsidR="00E27FB5" w:rsidRDefault="00E27FB5" w:rsidP="000577B5">
      <w:pPr>
        <w:spacing w:line="360" w:lineRule="auto"/>
        <w:rPr>
          <w:rFonts w:ascii="Arial" w:hAnsi="Arial" w:cs="Arial"/>
          <w:sz w:val="24"/>
          <w:szCs w:val="24"/>
        </w:rPr>
      </w:pPr>
      <w:r w:rsidRPr="000577B5">
        <w:rPr>
          <w:rFonts w:ascii="Arial" w:hAnsi="Arial" w:cs="Arial"/>
          <w:b/>
          <w:bCs/>
          <w:color w:val="156082" w:themeColor="accent1"/>
          <w:sz w:val="24"/>
          <w:szCs w:val="24"/>
        </w:rPr>
        <w:t>Liquidity and Current Ratio:</w:t>
      </w:r>
      <w:r w:rsidRPr="000577B5">
        <w:rPr>
          <w:rFonts w:ascii="Arial" w:hAnsi="Arial" w:cs="Arial"/>
          <w:b/>
          <w:bCs/>
          <w:color w:val="156082" w:themeColor="accent1"/>
          <w:sz w:val="24"/>
          <w:szCs w:val="24"/>
        </w:rPr>
        <w:br/>
      </w:r>
      <w:r w:rsidRPr="00E27FB5">
        <w:rPr>
          <w:rFonts w:ascii="Arial" w:hAnsi="Arial" w:cs="Arial"/>
          <w:sz w:val="24"/>
          <w:szCs w:val="24"/>
        </w:rPr>
        <w:t>The current ratio assesses the company's capacity to meet its short-term obligations using its short-term assets. Nike's current ratio was 1.89 in 2022 and slightly lower in 2023, at 1.84. Nike's liquidity has tightened slightly, but its capacity to meet short-term liabilities remains largely consistent.</w:t>
      </w:r>
    </w:p>
    <w:p w14:paraId="311B5644" w14:textId="68BB6EAE" w:rsidR="00E27FB5" w:rsidRPr="000577B5" w:rsidRDefault="00E27FB5" w:rsidP="000577B5">
      <w:pPr>
        <w:spacing w:line="360" w:lineRule="auto"/>
        <w:rPr>
          <w:rFonts w:ascii="Arial" w:hAnsi="Arial" w:cs="Arial"/>
          <w:b/>
          <w:bCs/>
          <w:color w:val="156082" w:themeColor="accent1"/>
          <w:sz w:val="24"/>
          <w:szCs w:val="24"/>
        </w:rPr>
      </w:pPr>
      <w:r w:rsidRPr="000577B5">
        <w:rPr>
          <w:rFonts w:ascii="Arial" w:hAnsi="Arial" w:cs="Arial"/>
          <w:b/>
          <w:bCs/>
          <w:color w:val="156082" w:themeColor="accent1"/>
          <w:sz w:val="24"/>
          <w:szCs w:val="24"/>
        </w:rPr>
        <w:t>Solvency - Debt to Equity Ratio:</w:t>
      </w:r>
    </w:p>
    <w:p w14:paraId="31DD2B70" w14:textId="1060A49C" w:rsidR="00E27FB5" w:rsidRDefault="00E27FB5" w:rsidP="000577B5">
      <w:pPr>
        <w:spacing w:line="360" w:lineRule="auto"/>
        <w:rPr>
          <w:rFonts w:ascii="Arial" w:hAnsi="Arial" w:cs="Arial"/>
          <w:sz w:val="24"/>
          <w:szCs w:val="24"/>
        </w:rPr>
      </w:pPr>
      <w:r w:rsidRPr="00E27FB5">
        <w:rPr>
          <w:rFonts w:ascii="Arial" w:hAnsi="Arial" w:cs="Arial"/>
          <w:sz w:val="24"/>
          <w:szCs w:val="24"/>
        </w:rPr>
        <w:t xml:space="preserve">The debt-to-equity ratio measures a company's financial leverage. Nike's ratio was 0.64 in 2022, and it increased slightly to 0.62 in 2023. This move suggests a consistent approach to managing debt </w:t>
      </w:r>
      <w:r>
        <w:rPr>
          <w:rFonts w:ascii="Arial" w:hAnsi="Arial" w:cs="Arial"/>
          <w:sz w:val="24"/>
          <w:szCs w:val="24"/>
        </w:rPr>
        <w:t>about</w:t>
      </w:r>
      <w:r w:rsidRPr="00E27FB5">
        <w:rPr>
          <w:rFonts w:ascii="Arial" w:hAnsi="Arial" w:cs="Arial"/>
          <w:sz w:val="24"/>
          <w:szCs w:val="24"/>
        </w:rPr>
        <w:t xml:space="preserve"> equity.</w:t>
      </w:r>
      <w:r w:rsidRPr="00E27FB5">
        <w:rPr>
          <w:rFonts w:ascii="Arial" w:hAnsi="Arial" w:cs="Arial"/>
          <w:sz w:val="24"/>
          <w:szCs w:val="24"/>
        </w:rPr>
        <w:br/>
        <w:t>These year-over-year comparisons show that</w:t>
      </w:r>
      <w:r>
        <w:rPr>
          <w:rFonts w:ascii="Arial" w:hAnsi="Arial" w:cs="Arial"/>
          <w:sz w:val="24"/>
          <w:szCs w:val="24"/>
        </w:rPr>
        <w:t xml:space="preserve"> Nike's profits declined somewhat while</w:t>
      </w:r>
      <w:r w:rsidRPr="00E27FB5">
        <w:rPr>
          <w:rFonts w:ascii="Arial" w:hAnsi="Arial" w:cs="Arial"/>
          <w:sz w:val="24"/>
          <w:szCs w:val="24"/>
        </w:rPr>
        <w:t xml:space="preserve"> its overall financial health remained strong. The minor reduction in the liquidity ratio necessitates careful cash flow management, however</w:t>
      </w:r>
      <w:r>
        <w:rPr>
          <w:rFonts w:ascii="Arial" w:hAnsi="Arial" w:cs="Arial"/>
          <w:sz w:val="24"/>
          <w:szCs w:val="24"/>
        </w:rPr>
        <w:t>,</w:t>
      </w:r>
      <w:r w:rsidRPr="00E27FB5">
        <w:rPr>
          <w:rFonts w:ascii="Arial" w:hAnsi="Arial" w:cs="Arial"/>
          <w:sz w:val="24"/>
          <w:szCs w:val="24"/>
        </w:rPr>
        <w:t xml:space="preserve"> the improvement in the </w:t>
      </w:r>
      <w:r w:rsidRPr="00E27FB5">
        <w:rPr>
          <w:rFonts w:ascii="Arial" w:hAnsi="Arial" w:cs="Arial"/>
          <w:sz w:val="24"/>
          <w:szCs w:val="24"/>
        </w:rPr>
        <w:t>debt-</w:t>
      </w:r>
      <w:r w:rsidRPr="00E27FB5">
        <w:rPr>
          <w:rFonts w:ascii="Arial" w:hAnsi="Arial" w:cs="Arial"/>
          <w:sz w:val="24"/>
          <w:szCs w:val="24"/>
        </w:rPr>
        <w:lastRenderedPageBreak/>
        <w:t>to-equity</w:t>
      </w:r>
      <w:r w:rsidRPr="00E27FB5">
        <w:rPr>
          <w:rFonts w:ascii="Arial" w:hAnsi="Arial" w:cs="Arial"/>
          <w:sz w:val="24"/>
          <w:szCs w:val="24"/>
        </w:rPr>
        <w:t xml:space="preserve"> ratio indicates effective debt management. These findings are consistent with strategic financial practices discussed in the literature by Lucey (2009) and Wood (2015), emphasising the significance of maintaining a balanced approach to financing for long-term financial stability and shareholder value.</w:t>
      </w:r>
    </w:p>
    <w:p w14:paraId="7B774FF4" w14:textId="29EE1790" w:rsidR="00E27FB5" w:rsidRDefault="00E27FB5" w:rsidP="000577B5">
      <w:pPr>
        <w:spacing w:line="360" w:lineRule="auto"/>
        <w:rPr>
          <w:rFonts w:ascii="Arial" w:hAnsi="Arial" w:cs="Arial"/>
          <w:sz w:val="24"/>
          <w:szCs w:val="24"/>
        </w:rPr>
      </w:pPr>
      <w:r w:rsidRPr="000577B5">
        <w:rPr>
          <w:rFonts w:ascii="Arial Black" w:hAnsi="Arial Black" w:cs="Arial"/>
          <w:color w:val="156082" w:themeColor="accent1"/>
          <w:sz w:val="24"/>
          <w:szCs w:val="24"/>
        </w:rPr>
        <w:t>Comparative and Ratio Analysis</w:t>
      </w:r>
      <w:r w:rsidRPr="000577B5">
        <w:rPr>
          <w:rFonts w:ascii="Arial" w:hAnsi="Arial" w:cs="Arial"/>
          <w:sz w:val="24"/>
          <w:szCs w:val="24"/>
        </w:rPr>
        <w:br/>
      </w:r>
      <w:r w:rsidRPr="00E27FB5">
        <w:rPr>
          <w:rFonts w:ascii="Arial" w:hAnsi="Arial" w:cs="Arial"/>
          <w:sz w:val="24"/>
          <w:szCs w:val="24"/>
        </w:rPr>
        <w:t xml:space="preserve">Examining Nike Inc.'s financial ratios over the last two fiscal years reveals specific tendencies that represent the company's strategic decisions and market actions. The tiny fall in the Return on Equity (ROE) and Current Ratio, combined with a minor improvement in the </w:t>
      </w:r>
      <w:r w:rsidRPr="00E27FB5">
        <w:rPr>
          <w:rFonts w:ascii="Arial" w:hAnsi="Arial" w:cs="Arial"/>
          <w:sz w:val="24"/>
          <w:szCs w:val="24"/>
        </w:rPr>
        <w:t>Debt-to-Equity</w:t>
      </w:r>
      <w:r w:rsidRPr="00E27FB5">
        <w:rPr>
          <w:rFonts w:ascii="Arial" w:hAnsi="Arial" w:cs="Arial"/>
          <w:sz w:val="24"/>
          <w:szCs w:val="24"/>
        </w:rPr>
        <w:t xml:space="preserve"> Ratio, is particularly noticeable.</w:t>
      </w:r>
    </w:p>
    <w:p w14:paraId="0508D668" w14:textId="44BFA5C4" w:rsidR="00E27FB5" w:rsidRPr="000577B5" w:rsidRDefault="00E27FB5" w:rsidP="000577B5">
      <w:pPr>
        <w:pStyle w:val="ListParagraph"/>
        <w:numPr>
          <w:ilvl w:val="0"/>
          <w:numId w:val="3"/>
        </w:numPr>
        <w:spacing w:line="360" w:lineRule="auto"/>
        <w:rPr>
          <w:rFonts w:ascii="Arial" w:hAnsi="Arial" w:cs="Arial"/>
          <w:sz w:val="24"/>
          <w:szCs w:val="24"/>
        </w:rPr>
      </w:pPr>
      <w:r w:rsidRPr="000577B5">
        <w:rPr>
          <w:rFonts w:ascii="Arial" w:hAnsi="Arial" w:cs="Arial"/>
          <w:sz w:val="24"/>
          <w:szCs w:val="24"/>
        </w:rPr>
        <w:t>Return on Equity (ROE) fell from 45.6% in 2022 to 43.7% in 2023. While this decrease is minor, it demonstrates the difficulties that even the most successful businesses have in maintaining their growth rates. Nike's commitment in growing its digital platforms and direct-to-consumer channels as part of their consumer direct acceleration strategy may account for this trend. These investments initially raise expenses and capital utilised, which may affect ROE in the short term but are predicted to boost profitability in the long run (Wood, 2015).</w:t>
      </w:r>
    </w:p>
    <w:p w14:paraId="2E87D603" w14:textId="0E87439D" w:rsidR="00E27FB5" w:rsidRPr="000577B5" w:rsidRDefault="00E27FB5" w:rsidP="000577B5">
      <w:pPr>
        <w:pStyle w:val="ListParagraph"/>
        <w:numPr>
          <w:ilvl w:val="0"/>
          <w:numId w:val="3"/>
        </w:numPr>
        <w:spacing w:line="360" w:lineRule="auto"/>
        <w:rPr>
          <w:rFonts w:ascii="Arial" w:hAnsi="Arial" w:cs="Arial"/>
          <w:sz w:val="24"/>
          <w:szCs w:val="24"/>
        </w:rPr>
      </w:pPr>
      <w:r w:rsidRPr="000577B5">
        <w:rPr>
          <w:rFonts w:ascii="Arial" w:hAnsi="Arial" w:cs="Arial"/>
          <w:sz w:val="24"/>
          <w:szCs w:val="24"/>
        </w:rPr>
        <w:t xml:space="preserve">The Current Ratio decreased slightly from 1.89 in 2022 to 1.84 in 2023. This move suggests a tighter liquidity situation, but it still shows enough capacity to satisfy short-term obligations. The drop could be linked to rising current liabilities, presumably due to higher short-term borrowings utilised to fund rapid expansions in the digital and worldwide market segments. Lucey (2009) emphasises the need </w:t>
      </w:r>
      <w:r w:rsidR="000577B5" w:rsidRPr="000577B5">
        <w:rPr>
          <w:rFonts w:ascii="Arial" w:hAnsi="Arial" w:cs="Arial"/>
          <w:sz w:val="24"/>
          <w:szCs w:val="24"/>
        </w:rPr>
        <w:t>to maintain</w:t>
      </w:r>
      <w:r w:rsidRPr="000577B5">
        <w:rPr>
          <w:rFonts w:ascii="Arial" w:hAnsi="Arial" w:cs="Arial"/>
          <w:sz w:val="24"/>
          <w:szCs w:val="24"/>
        </w:rPr>
        <w:t xml:space="preserve"> appropriate liquidity for operational flexibility and financial health.</w:t>
      </w:r>
    </w:p>
    <w:p w14:paraId="4C4EDD23" w14:textId="0609A507" w:rsidR="00E27FB5" w:rsidRPr="000577B5" w:rsidRDefault="00E27FB5" w:rsidP="000577B5">
      <w:pPr>
        <w:pStyle w:val="ListParagraph"/>
        <w:numPr>
          <w:ilvl w:val="0"/>
          <w:numId w:val="3"/>
        </w:numPr>
        <w:spacing w:line="360" w:lineRule="auto"/>
        <w:rPr>
          <w:rFonts w:ascii="Arial" w:hAnsi="Arial" w:cs="Arial"/>
          <w:sz w:val="24"/>
          <w:szCs w:val="24"/>
        </w:rPr>
      </w:pPr>
      <w:r w:rsidRPr="000577B5">
        <w:rPr>
          <w:rFonts w:ascii="Arial" w:hAnsi="Arial" w:cs="Arial"/>
          <w:sz w:val="24"/>
          <w:szCs w:val="24"/>
        </w:rPr>
        <w:t>Nike's debt-to-equity ratio improved from 0.64 to 0.62, indicating consistent solvency and effective debt management. This is an essential sign of financial health since it shows that the company does not rely heavily on debt to fund its operations. Strategic debt management provides long-term sustainability and is especially important during unpredictable economic times (Weetman, 2016).</w:t>
      </w:r>
    </w:p>
    <w:p w14:paraId="41A87C54" w14:textId="0A2BCFAE" w:rsidR="00E27FB5" w:rsidRDefault="00E27FB5" w:rsidP="000577B5">
      <w:pPr>
        <w:spacing w:line="360" w:lineRule="auto"/>
        <w:rPr>
          <w:rFonts w:ascii="Arial" w:hAnsi="Arial" w:cs="Arial"/>
          <w:sz w:val="24"/>
          <w:szCs w:val="24"/>
        </w:rPr>
      </w:pPr>
      <w:r w:rsidRPr="00E27FB5">
        <w:rPr>
          <w:rFonts w:ascii="Arial" w:hAnsi="Arial" w:cs="Arial"/>
          <w:sz w:val="24"/>
          <w:szCs w:val="24"/>
        </w:rPr>
        <w:t xml:space="preserve">Each of these ratios illustrates Nike's core financial principles, which are influenced by internal management decisions as well as external economic factors. Nike's </w:t>
      </w:r>
      <w:r w:rsidRPr="00E27FB5">
        <w:rPr>
          <w:rFonts w:ascii="Arial" w:hAnsi="Arial" w:cs="Arial"/>
          <w:sz w:val="24"/>
          <w:szCs w:val="24"/>
        </w:rPr>
        <w:lastRenderedPageBreak/>
        <w:t>careful balance between investing for growth and ensuring its financial stability is critical to its sustained success in a competitive marketplace. These findings highlight the importance of ratio analysis in analysing a company's financial strategy and operational success, which is consistent with academic viewpoints on the use of such measures in financial analysis.</w:t>
      </w:r>
    </w:p>
    <w:p w14:paraId="42CCADAE" w14:textId="77777777" w:rsidR="00E30439" w:rsidRPr="000577B5" w:rsidRDefault="00E30439" w:rsidP="000577B5">
      <w:pPr>
        <w:spacing w:line="360" w:lineRule="auto"/>
        <w:rPr>
          <w:rFonts w:ascii="Arial Black" w:hAnsi="Arial Black" w:cs="Arial"/>
          <w:color w:val="156082" w:themeColor="accent1"/>
          <w:sz w:val="24"/>
          <w:szCs w:val="24"/>
        </w:rPr>
      </w:pPr>
      <w:r w:rsidRPr="000577B5">
        <w:rPr>
          <w:rFonts w:ascii="Arial Black" w:hAnsi="Arial Black" w:cs="Arial"/>
          <w:color w:val="156082" w:themeColor="accent1"/>
          <w:sz w:val="24"/>
          <w:szCs w:val="24"/>
        </w:rPr>
        <w:t xml:space="preserve">Factors influencing financial </w:t>
      </w:r>
      <w:proofErr w:type="gramStart"/>
      <w:r w:rsidRPr="000577B5">
        <w:rPr>
          <w:rFonts w:ascii="Arial Black" w:hAnsi="Arial Black" w:cs="Arial"/>
          <w:color w:val="156082" w:themeColor="accent1"/>
          <w:sz w:val="24"/>
          <w:szCs w:val="24"/>
        </w:rPr>
        <w:t>performance</w:t>
      </w:r>
      <w:proofErr w:type="gramEnd"/>
    </w:p>
    <w:p w14:paraId="3329C1A2" w14:textId="6AA17539" w:rsidR="00E30439" w:rsidRDefault="00E30439" w:rsidP="000577B5">
      <w:pPr>
        <w:spacing w:line="360" w:lineRule="auto"/>
        <w:rPr>
          <w:rFonts w:ascii="Arial" w:hAnsi="Arial" w:cs="Arial"/>
          <w:sz w:val="24"/>
          <w:szCs w:val="24"/>
        </w:rPr>
      </w:pPr>
      <w:r w:rsidRPr="00E30439">
        <w:rPr>
          <w:rFonts w:ascii="Arial" w:hAnsi="Arial" w:cs="Arial"/>
          <w:sz w:val="24"/>
          <w:szCs w:val="24"/>
        </w:rPr>
        <w:t>Nike Inc.'s financial performance is driven by a variety of internal and external elements that determine its operational and strategic environment. Understanding these elements provides information about the company's financial health and responsiveness to various business situations.</w:t>
      </w:r>
    </w:p>
    <w:p w14:paraId="3EABB822" w14:textId="4950698A" w:rsidR="00C2748E" w:rsidRPr="000577B5" w:rsidRDefault="00C2748E" w:rsidP="000577B5">
      <w:pPr>
        <w:pStyle w:val="ListParagraph"/>
        <w:numPr>
          <w:ilvl w:val="0"/>
          <w:numId w:val="2"/>
        </w:numPr>
        <w:spacing w:line="360" w:lineRule="auto"/>
        <w:rPr>
          <w:rFonts w:ascii="Arial" w:hAnsi="Arial" w:cs="Arial"/>
          <w:sz w:val="24"/>
          <w:szCs w:val="24"/>
        </w:rPr>
      </w:pPr>
      <w:r w:rsidRPr="000577B5">
        <w:rPr>
          <w:rFonts w:ascii="Arial" w:hAnsi="Arial" w:cs="Arial"/>
          <w:sz w:val="24"/>
          <w:szCs w:val="24"/>
        </w:rPr>
        <w:t xml:space="preserve">Internal factors that generate success include innovation and marketing strategy. Nike's commitment to innovation is visible in its product development and technological integration, such as </w:t>
      </w:r>
      <w:r w:rsidRPr="000577B5">
        <w:rPr>
          <w:rFonts w:ascii="Arial" w:hAnsi="Arial" w:cs="Arial"/>
          <w:sz w:val="24"/>
          <w:szCs w:val="24"/>
        </w:rPr>
        <w:t>creating digital platforms to improve customer involvement and streamline</w:t>
      </w:r>
      <w:r w:rsidRPr="000577B5">
        <w:rPr>
          <w:rFonts w:ascii="Arial" w:hAnsi="Arial" w:cs="Arial"/>
          <w:sz w:val="24"/>
          <w:szCs w:val="24"/>
        </w:rPr>
        <w:t xml:space="preserve"> operations (Weetman, 2016). These activities, while costly, are intended to maintain long-term market leadership and promote revenue growth. Nike's brand and consumer loyalty are being reinforced through marketing methods such as global campaigns and endorsements from high-profile players, which are critical for sustaining a competitive advantage in the sports clothing business (Dyson, 2010).</w:t>
      </w:r>
    </w:p>
    <w:p w14:paraId="34458750" w14:textId="2F5DEEF3" w:rsidR="00C2748E" w:rsidRPr="000577B5" w:rsidRDefault="00C2748E" w:rsidP="000577B5">
      <w:pPr>
        <w:pStyle w:val="ListParagraph"/>
        <w:numPr>
          <w:ilvl w:val="0"/>
          <w:numId w:val="2"/>
        </w:numPr>
        <w:spacing w:line="360" w:lineRule="auto"/>
        <w:rPr>
          <w:rFonts w:ascii="Arial" w:hAnsi="Arial" w:cs="Arial"/>
          <w:sz w:val="24"/>
          <w:szCs w:val="24"/>
        </w:rPr>
      </w:pPr>
      <w:r w:rsidRPr="000577B5">
        <w:rPr>
          <w:rFonts w:ascii="Arial" w:hAnsi="Arial" w:cs="Arial"/>
          <w:sz w:val="24"/>
          <w:szCs w:val="24"/>
        </w:rPr>
        <w:t>External factors, such as market conditions and supply chain concerns, have significantly impacted Nike. Nike's sales and operating costs are influenced by global economic movements such as currency exchange rate volatility and changing consumer buying patterns, particularly in emerging economies (Kothari, 2001). Furthermore, supply chain interruptions, exacerbated by recent global events such as the COVID-19 epidemic, have created issues in terms of production delays and higher prices. Nike's capacity to respond to these disturbances by diversifying its supply chain and improving logistics capabilities has been critical to maintaining supply chain efficacy (Choi and Wang, 2009).</w:t>
      </w:r>
    </w:p>
    <w:p w14:paraId="3776BE67" w14:textId="5C64F1BA" w:rsidR="00C2748E" w:rsidRDefault="00C2748E" w:rsidP="000577B5">
      <w:pPr>
        <w:spacing w:line="360" w:lineRule="auto"/>
        <w:rPr>
          <w:rFonts w:ascii="Arial" w:hAnsi="Arial" w:cs="Arial"/>
          <w:sz w:val="24"/>
          <w:szCs w:val="24"/>
        </w:rPr>
      </w:pPr>
      <w:r>
        <w:rPr>
          <w:rFonts w:ascii="Arial" w:hAnsi="Arial" w:cs="Arial"/>
          <w:sz w:val="24"/>
          <w:szCs w:val="24"/>
        </w:rPr>
        <w:t xml:space="preserve">These factors have a combined impact on Nike's financial performance, emphasising the significance of adaptive methods in </w:t>
      </w:r>
      <w:r w:rsidRPr="00C2748E">
        <w:rPr>
          <w:rFonts w:ascii="Arial" w:hAnsi="Arial" w:cs="Arial"/>
          <w:sz w:val="24"/>
          <w:szCs w:val="24"/>
        </w:rPr>
        <w:t xml:space="preserve">product innovation and global supply chain management. The effective management of these internal and external elements is </w:t>
      </w:r>
      <w:r w:rsidRPr="00C2748E">
        <w:rPr>
          <w:rFonts w:ascii="Arial" w:hAnsi="Arial" w:cs="Arial"/>
          <w:sz w:val="24"/>
          <w:szCs w:val="24"/>
        </w:rPr>
        <w:lastRenderedPageBreak/>
        <w:t>critical for financial stability and growth, as they have a direct impact on profitability and operational efficiency. Nike's strategic responses to these problems reflect the company's strong business model and ability to maintain financial stability in the face of shifting market and global conditions.</w:t>
      </w:r>
    </w:p>
    <w:p w14:paraId="66522762" w14:textId="087A2310" w:rsidR="00C2748E" w:rsidRPr="000577B5" w:rsidRDefault="00C2748E" w:rsidP="000577B5">
      <w:pPr>
        <w:spacing w:line="360" w:lineRule="auto"/>
        <w:rPr>
          <w:rFonts w:ascii="Arial Black" w:hAnsi="Arial Black" w:cs="Arial"/>
          <w:color w:val="156082" w:themeColor="accent1"/>
          <w:sz w:val="24"/>
          <w:szCs w:val="24"/>
        </w:rPr>
      </w:pPr>
      <w:r w:rsidRPr="000577B5">
        <w:rPr>
          <w:rFonts w:ascii="Arial Black" w:hAnsi="Arial Black" w:cs="Arial"/>
          <w:color w:val="156082" w:themeColor="accent1"/>
          <w:sz w:val="24"/>
          <w:szCs w:val="24"/>
        </w:rPr>
        <w:t>Recommendations for Improvement</w:t>
      </w:r>
    </w:p>
    <w:p w14:paraId="71D694FD" w14:textId="77777777" w:rsidR="000577B5" w:rsidRPr="000577B5" w:rsidRDefault="00BD0E68" w:rsidP="000577B5">
      <w:pPr>
        <w:spacing w:line="360" w:lineRule="auto"/>
        <w:rPr>
          <w:rFonts w:ascii="Arial" w:hAnsi="Arial" w:cs="Arial"/>
          <w:sz w:val="24"/>
          <w:szCs w:val="24"/>
        </w:rPr>
      </w:pPr>
      <w:r w:rsidRPr="000577B5">
        <w:rPr>
          <w:rFonts w:ascii="Arial" w:hAnsi="Arial" w:cs="Arial"/>
          <w:sz w:val="24"/>
          <w:szCs w:val="24"/>
        </w:rPr>
        <w:t xml:space="preserve">By concentrating on enhancing supply chain resilience, promoting sustainability initiatives, and utilising technology and data analytics, Nike Inc. can further improve its financial and operational performance. Academic theories and useful tactics described in pertinent literature provide credence to these proposals. </w:t>
      </w:r>
    </w:p>
    <w:p w14:paraId="1E9ED1B4" w14:textId="2EF46BC1" w:rsidR="00C2748E" w:rsidRPr="000577B5" w:rsidRDefault="00BD0E68" w:rsidP="000577B5">
      <w:pPr>
        <w:pStyle w:val="ListParagraph"/>
        <w:numPr>
          <w:ilvl w:val="0"/>
          <w:numId w:val="1"/>
        </w:numPr>
        <w:spacing w:line="360" w:lineRule="auto"/>
        <w:rPr>
          <w:rFonts w:ascii="Arial" w:hAnsi="Arial" w:cs="Arial"/>
          <w:sz w:val="24"/>
          <w:szCs w:val="24"/>
        </w:rPr>
      </w:pPr>
      <w:r w:rsidRPr="000577B5">
        <w:rPr>
          <w:rFonts w:ascii="Arial" w:hAnsi="Arial" w:cs="Arial"/>
          <w:sz w:val="24"/>
          <w:szCs w:val="24"/>
        </w:rPr>
        <w:t xml:space="preserve">Increasing Supply Chain Resilience: Nike had to think about expanding its base and production base </w:t>
      </w:r>
      <w:r w:rsidRPr="000577B5">
        <w:rPr>
          <w:rFonts w:ascii="Arial" w:hAnsi="Arial" w:cs="Arial"/>
          <w:sz w:val="24"/>
          <w:szCs w:val="24"/>
        </w:rPr>
        <w:t>to</w:t>
      </w:r>
      <w:r w:rsidRPr="000577B5">
        <w:rPr>
          <w:rFonts w:ascii="Arial" w:hAnsi="Arial" w:cs="Arial"/>
          <w:sz w:val="24"/>
          <w:szCs w:val="24"/>
        </w:rPr>
        <w:t xml:space="preserve"> lessen the effects of global supply chain disruptions. By implementing multi-sourcing techniques, one can minimise the risks associated with geopolitical tensions or localised interruptions by reducing </w:t>
      </w:r>
      <w:r w:rsidRPr="000577B5">
        <w:rPr>
          <w:rFonts w:ascii="Arial" w:hAnsi="Arial" w:cs="Arial"/>
          <w:sz w:val="24"/>
          <w:szCs w:val="24"/>
        </w:rPr>
        <w:t>dependence</w:t>
      </w:r>
      <w:r w:rsidRPr="000577B5">
        <w:rPr>
          <w:rFonts w:ascii="Arial" w:hAnsi="Arial" w:cs="Arial"/>
          <w:sz w:val="24"/>
          <w:szCs w:val="24"/>
        </w:rPr>
        <w:t xml:space="preserve"> on any one nation or provider (Dyson, 2010). To avoid supply chain bottlenecks and take proactive measures to ensure a consistent supply chain flow—which is necessary for meeting customer requests and production schedules—Nike might also engage in predictive analytics.</w:t>
      </w:r>
    </w:p>
    <w:p w14:paraId="665ABB23" w14:textId="4C884B7A" w:rsidR="00BD0E68" w:rsidRPr="000577B5" w:rsidRDefault="00BD0E68" w:rsidP="000577B5">
      <w:pPr>
        <w:pStyle w:val="ListParagraph"/>
        <w:numPr>
          <w:ilvl w:val="0"/>
          <w:numId w:val="1"/>
        </w:numPr>
        <w:spacing w:line="360" w:lineRule="auto"/>
        <w:rPr>
          <w:rFonts w:ascii="Arial" w:hAnsi="Arial" w:cs="Arial"/>
          <w:sz w:val="24"/>
          <w:szCs w:val="24"/>
        </w:rPr>
      </w:pPr>
      <w:r w:rsidRPr="000577B5">
        <w:rPr>
          <w:rFonts w:ascii="Arial" w:hAnsi="Arial" w:cs="Arial"/>
          <w:sz w:val="24"/>
          <w:szCs w:val="24"/>
        </w:rPr>
        <w:t>Improving Sustainability and Corporate Governance:</w:t>
      </w:r>
      <w:r w:rsidRPr="00BD0E68">
        <w:t xml:space="preserve"> </w:t>
      </w:r>
      <w:r w:rsidRPr="000577B5">
        <w:rPr>
          <w:rFonts w:ascii="Arial" w:hAnsi="Arial" w:cs="Arial"/>
          <w:sz w:val="24"/>
          <w:szCs w:val="24"/>
        </w:rPr>
        <w:t xml:space="preserve">The integration of sustainability into corporate governance and operational strategy is </w:t>
      </w:r>
      <w:r w:rsidR="000577B5">
        <w:rPr>
          <w:rFonts w:ascii="Arial" w:hAnsi="Arial" w:cs="Arial"/>
          <w:sz w:val="24"/>
          <w:szCs w:val="24"/>
        </w:rPr>
        <w:t>becoming more</w:t>
      </w:r>
      <w:r w:rsidRPr="000577B5">
        <w:rPr>
          <w:rFonts w:ascii="Arial" w:hAnsi="Arial" w:cs="Arial"/>
          <w:sz w:val="24"/>
          <w:szCs w:val="24"/>
        </w:rPr>
        <w:t xml:space="preserve"> and more important. Nike needs to put more effort into creating green products and cutting carbon emissions throughout their supply chain. This satisfies the increasing demand from consumers for sustainable products while also adhering to international environmental requirements (Walls et al., 2012). Improving stakeholder trust through increased openness in sustainability processes and the frequent release of sustainability reports may also have a positive impact on market positioning and financial performance.</w:t>
      </w:r>
    </w:p>
    <w:p w14:paraId="385A0400" w14:textId="77777777" w:rsidR="000577B5" w:rsidRDefault="00BD0E68" w:rsidP="000577B5">
      <w:pPr>
        <w:pStyle w:val="ListParagraph"/>
        <w:numPr>
          <w:ilvl w:val="0"/>
          <w:numId w:val="1"/>
        </w:numPr>
        <w:spacing w:line="360" w:lineRule="auto"/>
        <w:rPr>
          <w:rFonts w:ascii="Arial" w:hAnsi="Arial" w:cs="Arial"/>
          <w:sz w:val="24"/>
          <w:szCs w:val="24"/>
        </w:rPr>
      </w:pPr>
      <w:r w:rsidRPr="000577B5">
        <w:rPr>
          <w:rFonts w:ascii="Arial" w:hAnsi="Arial" w:cs="Arial"/>
          <w:sz w:val="24"/>
          <w:szCs w:val="24"/>
        </w:rPr>
        <w:t xml:space="preserve">Leveraging Technology and Data Analytics for Operational Efficiency: Operations can significantly increase efficiency and cost control by integrating artificial intelligence and advanced data analytics. Nike can improve consumer experiences, tailor marketing campaigns, and manage inventory levels with the help of these technologies (Weetman, 2016). Initiatives for digital </w:t>
      </w:r>
      <w:r w:rsidRPr="000577B5">
        <w:rPr>
          <w:rFonts w:ascii="Arial" w:hAnsi="Arial" w:cs="Arial"/>
          <w:sz w:val="24"/>
          <w:szCs w:val="24"/>
        </w:rPr>
        <w:lastRenderedPageBreak/>
        <w:t>transformation like these have the potential to improve decision-making, cut waste, and boost profitability.</w:t>
      </w:r>
    </w:p>
    <w:p w14:paraId="2F71AE10" w14:textId="5C941798" w:rsidR="00BD0E68" w:rsidRPr="000577B5" w:rsidRDefault="00BD0E68" w:rsidP="000577B5">
      <w:pPr>
        <w:spacing w:line="360" w:lineRule="auto"/>
        <w:rPr>
          <w:rFonts w:ascii="Arial" w:hAnsi="Arial" w:cs="Arial"/>
          <w:sz w:val="24"/>
          <w:szCs w:val="24"/>
        </w:rPr>
      </w:pPr>
      <w:r w:rsidRPr="000577B5">
        <w:rPr>
          <w:rFonts w:ascii="Arial" w:hAnsi="Arial" w:cs="Arial"/>
          <w:sz w:val="24"/>
          <w:szCs w:val="24"/>
        </w:rPr>
        <w:t xml:space="preserve">By implementing these tactics, Nike will enhance its market dominance and brand recognition in addition to its operational and financial performance. As more and more investors and customers </w:t>
      </w:r>
      <w:r w:rsidRPr="000577B5">
        <w:rPr>
          <w:rFonts w:ascii="Arial" w:hAnsi="Arial" w:cs="Arial"/>
          <w:sz w:val="24"/>
          <w:szCs w:val="24"/>
        </w:rPr>
        <w:t>consider</w:t>
      </w:r>
      <w:r w:rsidRPr="000577B5">
        <w:rPr>
          <w:rFonts w:ascii="Arial" w:hAnsi="Arial" w:cs="Arial"/>
          <w:sz w:val="24"/>
          <w:szCs w:val="24"/>
        </w:rPr>
        <w:t xml:space="preserve"> environmental </w:t>
      </w:r>
      <w:r w:rsidRPr="000577B5">
        <w:rPr>
          <w:rFonts w:ascii="Arial" w:hAnsi="Arial" w:cs="Arial"/>
          <w:sz w:val="24"/>
          <w:szCs w:val="24"/>
        </w:rPr>
        <w:t>effects</w:t>
      </w:r>
      <w:r w:rsidRPr="000577B5">
        <w:rPr>
          <w:rFonts w:ascii="Arial" w:hAnsi="Arial" w:cs="Arial"/>
          <w:sz w:val="24"/>
          <w:szCs w:val="24"/>
        </w:rPr>
        <w:t xml:space="preserve"> when making decisions, putting a special emphasis on sustainability can promote long-term profitability and shareholder value (Walls et al., 2012).</w:t>
      </w:r>
    </w:p>
    <w:p w14:paraId="5DA3355B" w14:textId="77777777" w:rsidR="000577B5" w:rsidRDefault="000577B5" w:rsidP="000577B5">
      <w:pPr>
        <w:spacing w:line="360" w:lineRule="auto"/>
        <w:rPr>
          <w:rFonts w:ascii="Arial" w:hAnsi="Arial" w:cs="Arial"/>
          <w:sz w:val="24"/>
          <w:szCs w:val="24"/>
        </w:rPr>
      </w:pPr>
    </w:p>
    <w:p w14:paraId="564FB9E6" w14:textId="77777777" w:rsidR="000577B5" w:rsidRDefault="000577B5" w:rsidP="000577B5">
      <w:pPr>
        <w:spacing w:line="360" w:lineRule="auto"/>
        <w:rPr>
          <w:rFonts w:ascii="Arial" w:hAnsi="Arial" w:cs="Arial"/>
          <w:sz w:val="24"/>
          <w:szCs w:val="24"/>
        </w:rPr>
      </w:pPr>
    </w:p>
    <w:p w14:paraId="28E43DD7" w14:textId="77777777" w:rsidR="000577B5" w:rsidRDefault="000577B5" w:rsidP="000577B5">
      <w:pPr>
        <w:spacing w:line="360" w:lineRule="auto"/>
        <w:rPr>
          <w:rFonts w:ascii="Arial" w:hAnsi="Arial" w:cs="Arial"/>
          <w:sz w:val="24"/>
          <w:szCs w:val="24"/>
        </w:rPr>
      </w:pPr>
    </w:p>
    <w:p w14:paraId="45E3BAAB" w14:textId="77777777" w:rsidR="000577B5" w:rsidRDefault="000577B5" w:rsidP="000577B5">
      <w:pPr>
        <w:spacing w:line="360" w:lineRule="auto"/>
        <w:rPr>
          <w:rFonts w:ascii="Arial" w:hAnsi="Arial" w:cs="Arial"/>
          <w:sz w:val="24"/>
          <w:szCs w:val="24"/>
        </w:rPr>
      </w:pPr>
    </w:p>
    <w:p w14:paraId="76AAB23B" w14:textId="77777777" w:rsidR="000577B5" w:rsidRDefault="000577B5" w:rsidP="000577B5">
      <w:pPr>
        <w:spacing w:line="360" w:lineRule="auto"/>
        <w:rPr>
          <w:rFonts w:ascii="Arial" w:hAnsi="Arial" w:cs="Arial"/>
          <w:sz w:val="24"/>
          <w:szCs w:val="24"/>
        </w:rPr>
      </w:pPr>
    </w:p>
    <w:p w14:paraId="2ED00300" w14:textId="77777777" w:rsidR="000577B5" w:rsidRDefault="000577B5" w:rsidP="000577B5">
      <w:pPr>
        <w:spacing w:line="360" w:lineRule="auto"/>
        <w:rPr>
          <w:rFonts w:ascii="Arial" w:hAnsi="Arial" w:cs="Arial"/>
          <w:sz w:val="24"/>
          <w:szCs w:val="24"/>
        </w:rPr>
      </w:pPr>
    </w:p>
    <w:p w14:paraId="66FEE0A1" w14:textId="77777777" w:rsidR="000577B5" w:rsidRDefault="000577B5" w:rsidP="000577B5">
      <w:pPr>
        <w:spacing w:line="360" w:lineRule="auto"/>
        <w:rPr>
          <w:rFonts w:ascii="Arial" w:hAnsi="Arial" w:cs="Arial"/>
          <w:sz w:val="24"/>
          <w:szCs w:val="24"/>
        </w:rPr>
      </w:pPr>
    </w:p>
    <w:p w14:paraId="1C635B56" w14:textId="77777777" w:rsidR="000577B5" w:rsidRDefault="000577B5" w:rsidP="000577B5">
      <w:pPr>
        <w:spacing w:line="360" w:lineRule="auto"/>
        <w:rPr>
          <w:rFonts w:ascii="Arial" w:hAnsi="Arial" w:cs="Arial"/>
          <w:sz w:val="24"/>
          <w:szCs w:val="24"/>
        </w:rPr>
      </w:pPr>
    </w:p>
    <w:p w14:paraId="6D0AA366" w14:textId="77777777" w:rsidR="000577B5" w:rsidRDefault="000577B5" w:rsidP="000577B5">
      <w:pPr>
        <w:spacing w:line="360" w:lineRule="auto"/>
        <w:rPr>
          <w:rFonts w:ascii="Arial Black" w:hAnsi="Arial Black" w:cs="Arial"/>
          <w:color w:val="156082" w:themeColor="accent1"/>
          <w:sz w:val="24"/>
          <w:szCs w:val="24"/>
        </w:rPr>
      </w:pPr>
    </w:p>
    <w:p w14:paraId="71DC208C" w14:textId="77777777" w:rsidR="000577B5" w:rsidRDefault="000577B5" w:rsidP="000577B5">
      <w:pPr>
        <w:spacing w:line="360" w:lineRule="auto"/>
        <w:rPr>
          <w:rFonts w:ascii="Arial Black" w:hAnsi="Arial Black" w:cs="Arial"/>
          <w:color w:val="156082" w:themeColor="accent1"/>
          <w:sz w:val="24"/>
          <w:szCs w:val="24"/>
        </w:rPr>
      </w:pPr>
    </w:p>
    <w:p w14:paraId="4BC53F0F" w14:textId="77777777" w:rsidR="000577B5" w:rsidRDefault="000577B5" w:rsidP="000577B5">
      <w:pPr>
        <w:spacing w:line="360" w:lineRule="auto"/>
        <w:rPr>
          <w:rFonts w:ascii="Arial Black" w:hAnsi="Arial Black" w:cs="Arial"/>
          <w:color w:val="156082" w:themeColor="accent1"/>
          <w:sz w:val="24"/>
          <w:szCs w:val="24"/>
        </w:rPr>
      </w:pPr>
    </w:p>
    <w:p w14:paraId="4B525890" w14:textId="77777777" w:rsidR="000577B5" w:rsidRDefault="000577B5" w:rsidP="000577B5">
      <w:pPr>
        <w:spacing w:line="360" w:lineRule="auto"/>
        <w:rPr>
          <w:rFonts w:ascii="Arial Black" w:hAnsi="Arial Black" w:cs="Arial"/>
          <w:color w:val="156082" w:themeColor="accent1"/>
          <w:sz w:val="24"/>
          <w:szCs w:val="24"/>
        </w:rPr>
      </w:pPr>
    </w:p>
    <w:p w14:paraId="2B5C42C3" w14:textId="77777777" w:rsidR="000577B5" w:rsidRDefault="000577B5" w:rsidP="000577B5">
      <w:pPr>
        <w:spacing w:line="360" w:lineRule="auto"/>
        <w:rPr>
          <w:rFonts w:ascii="Arial Black" w:hAnsi="Arial Black" w:cs="Arial"/>
          <w:color w:val="156082" w:themeColor="accent1"/>
          <w:sz w:val="24"/>
          <w:szCs w:val="24"/>
        </w:rPr>
      </w:pPr>
    </w:p>
    <w:p w14:paraId="1B45C36A" w14:textId="77777777" w:rsidR="000577B5" w:rsidRDefault="000577B5" w:rsidP="000577B5">
      <w:pPr>
        <w:spacing w:line="360" w:lineRule="auto"/>
        <w:rPr>
          <w:rFonts w:ascii="Arial Black" w:hAnsi="Arial Black" w:cs="Arial"/>
          <w:color w:val="156082" w:themeColor="accent1"/>
          <w:sz w:val="24"/>
          <w:szCs w:val="24"/>
        </w:rPr>
      </w:pPr>
    </w:p>
    <w:p w14:paraId="1E49C4DD" w14:textId="77777777" w:rsidR="000577B5" w:rsidRDefault="000577B5" w:rsidP="000577B5">
      <w:pPr>
        <w:spacing w:line="360" w:lineRule="auto"/>
        <w:rPr>
          <w:rFonts w:ascii="Arial Black" w:hAnsi="Arial Black" w:cs="Arial"/>
          <w:color w:val="156082" w:themeColor="accent1"/>
          <w:sz w:val="24"/>
          <w:szCs w:val="24"/>
        </w:rPr>
      </w:pPr>
    </w:p>
    <w:p w14:paraId="4245B212" w14:textId="77777777" w:rsidR="000577B5" w:rsidRDefault="000577B5" w:rsidP="000577B5">
      <w:pPr>
        <w:spacing w:line="360" w:lineRule="auto"/>
        <w:rPr>
          <w:rFonts w:ascii="Arial Black" w:hAnsi="Arial Black" w:cs="Arial"/>
          <w:color w:val="156082" w:themeColor="accent1"/>
          <w:sz w:val="24"/>
          <w:szCs w:val="24"/>
        </w:rPr>
      </w:pPr>
    </w:p>
    <w:p w14:paraId="1FF992B4" w14:textId="77777777" w:rsidR="000577B5" w:rsidRDefault="000577B5" w:rsidP="000577B5">
      <w:pPr>
        <w:spacing w:line="360" w:lineRule="auto"/>
        <w:rPr>
          <w:rFonts w:ascii="Arial Black" w:hAnsi="Arial Black" w:cs="Arial"/>
          <w:color w:val="156082" w:themeColor="accent1"/>
          <w:sz w:val="24"/>
          <w:szCs w:val="24"/>
        </w:rPr>
      </w:pPr>
    </w:p>
    <w:p w14:paraId="6747EEB4" w14:textId="7419E1D5" w:rsidR="000577B5" w:rsidRDefault="000577B5" w:rsidP="000577B5">
      <w:pPr>
        <w:spacing w:line="360" w:lineRule="auto"/>
        <w:rPr>
          <w:rFonts w:ascii="Arial" w:hAnsi="Arial" w:cs="Arial"/>
          <w:sz w:val="24"/>
          <w:szCs w:val="24"/>
        </w:rPr>
      </w:pPr>
      <w:r w:rsidRPr="000577B5">
        <w:rPr>
          <w:rFonts w:ascii="Arial Black" w:hAnsi="Arial Black" w:cs="Arial"/>
          <w:color w:val="156082" w:themeColor="accent1"/>
          <w:sz w:val="24"/>
          <w:szCs w:val="24"/>
        </w:rPr>
        <w:lastRenderedPageBreak/>
        <w:t xml:space="preserve">Conclusion </w:t>
      </w:r>
      <w:r w:rsidRPr="000577B5">
        <w:rPr>
          <w:rFonts w:ascii="Arial" w:hAnsi="Arial" w:cs="Arial"/>
          <w:sz w:val="24"/>
          <w:szCs w:val="24"/>
        </w:rPr>
        <w:br/>
        <w:t>Nike Inc.'s financial analysis and ratio comparison during the previous two fiscal years demonstrated a stable financial situation with good market positioning, despite significant liquidity tightness and modest losses in profitability. The report emphasised Nike's strategic investments in digital development and direct-to-consumer sales channels, which are critical to maintaining a competitive advantage and generating future growth.</w:t>
      </w:r>
      <w:r>
        <w:rPr>
          <w:rFonts w:ascii="Arial" w:hAnsi="Arial" w:cs="Arial"/>
          <w:sz w:val="24"/>
          <w:szCs w:val="24"/>
        </w:rPr>
        <w:t xml:space="preserve"> </w:t>
      </w:r>
      <w:r w:rsidRPr="000577B5">
        <w:rPr>
          <w:rFonts w:ascii="Arial" w:hAnsi="Arial" w:cs="Arial"/>
          <w:sz w:val="24"/>
          <w:szCs w:val="24"/>
        </w:rPr>
        <w:t>This financial evaluation, which was aided by ratio analysis, provided vital insights into Nike's resource and obligation management efficiency. It emphasised the company's expert use of financial levers to preserve stability and sustain growth even in difficult market conditions.</w:t>
      </w:r>
      <w:r w:rsidRPr="000577B5">
        <w:rPr>
          <w:rFonts w:ascii="Arial" w:hAnsi="Arial" w:cs="Arial"/>
          <w:sz w:val="24"/>
          <w:szCs w:val="24"/>
        </w:rPr>
        <w:br/>
        <w:t>Nike must prioritise supply chain resilience, advancement of sustainable policies, and harnessing technical breakthroughs to ensure long-term growth and stability. These areas are not only key for operational efficiency, but they are also becoming increasingly important in fulfilling changing customer needs and maintaining a strong corporate governance framework. Implementing these guidelines will help Nike maintain its success and agility in a dynamic global market.</w:t>
      </w:r>
    </w:p>
    <w:p w14:paraId="45922C8C" w14:textId="77777777" w:rsidR="00712403" w:rsidRDefault="00712403" w:rsidP="000577B5">
      <w:pPr>
        <w:spacing w:line="360" w:lineRule="auto"/>
        <w:rPr>
          <w:rFonts w:ascii="Arial" w:hAnsi="Arial" w:cs="Arial"/>
          <w:sz w:val="24"/>
          <w:szCs w:val="24"/>
        </w:rPr>
      </w:pPr>
    </w:p>
    <w:p w14:paraId="58E8432F" w14:textId="77777777" w:rsidR="00712403" w:rsidRDefault="00712403" w:rsidP="000577B5">
      <w:pPr>
        <w:spacing w:line="360" w:lineRule="auto"/>
        <w:rPr>
          <w:rFonts w:ascii="Arial" w:hAnsi="Arial" w:cs="Arial"/>
          <w:sz w:val="24"/>
          <w:szCs w:val="24"/>
        </w:rPr>
      </w:pPr>
    </w:p>
    <w:p w14:paraId="2A321063" w14:textId="77777777" w:rsidR="00712403" w:rsidRDefault="00712403" w:rsidP="000577B5">
      <w:pPr>
        <w:spacing w:line="360" w:lineRule="auto"/>
        <w:rPr>
          <w:rFonts w:ascii="Arial" w:hAnsi="Arial" w:cs="Arial"/>
          <w:sz w:val="24"/>
          <w:szCs w:val="24"/>
        </w:rPr>
      </w:pPr>
    </w:p>
    <w:p w14:paraId="16D45933" w14:textId="77777777" w:rsidR="00712403" w:rsidRDefault="00712403" w:rsidP="000577B5">
      <w:pPr>
        <w:spacing w:line="360" w:lineRule="auto"/>
        <w:rPr>
          <w:rFonts w:ascii="Arial" w:hAnsi="Arial" w:cs="Arial"/>
          <w:sz w:val="24"/>
          <w:szCs w:val="24"/>
        </w:rPr>
      </w:pPr>
    </w:p>
    <w:p w14:paraId="140BE1B4" w14:textId="77777777" w:rsidR="00712403" w:rsidRDefault="00712403" w:rsidP="000577B5">
      <w:pPr>
        <w:spacing w:line="360" w:lineRule="auto"/>
        <w:rPr>
          <w:rFonts w:ascii="Arial" w:hAnsi="Arial" w:cs="Arial"/>
          <w:sz w:val="24"/>
          <w:szCs w:val="24"/>
        </w:rPr>
      </w:pPr>
    </w:p>
    <w:p w14:paraId="416D0ED5" w14:textId="77777777" w:rsidR="00712403" w:rsidRDefault="00712403" w:rsidP="000577B5">
      <w:pPr>
        <w:spacing w:line="360" w:lineRule="auto"/>
        <w:rPr>
          <w:rFonts w:ascii="Arial" w:hAnsi="Arial" w:cs="Arial"/>
          <w:sz w:val="24"/>
          <w:szCs w:val="24"/>
        </w:rPr>
      </w:pPr>
    </w:p>
    <w:p w14:paraId="73C082AF" w14:textId="77777777" w:rsidR="00712403" w:rsidRDefault="00712403" w:rsidP="000577B5">
      <w:pPr>
        <w:spacing w:line="360" w:lineRule="auto"/>
        <w:rPr>
          <w:rFonts w:ascii="Arial" w:hAnsi="Arial" w:cs="Arial"/>
          <w:sz w:val="24"/>
          <w:szCs w:val="24"/>
        </w:rPr>
      </w:pPr>
    </w:p>
    <w:p w14:paraId="4B50E76B" w14:textId="77777777" w:rsidR="00712403" w:rsidRDefault="00712403" w:rsidP="000577B5">
      <w:pPr>
        <w:spacing w:line="360" w:lineRule="auto"/>
        <w:rPr>
          <w:rFonts w:ascii="Arial" w:hAnsi="Arial" w:cs="Arial"/>
          <w:sz w:val="24"/>
          <w:szCs w:val="24"/>
        </w:rPr>
      </w:pPr>
    </w:p>
    <w:p w14:paraId="7531260D" w14:textId="77777777" w:rsidR="00712403" w:rsidRDefault="00712403" w:rsidP="000577B5">
      <w:pPr>
        <w:spacing w:line="360" w:lineRule="auto"/>
        <w:rPr>
          <w:rFonts w:ascii="Arial" w:hAnsi="Arial" w:cs="Arial"/>
          <w:sz w:val="24"/>
          <w:szCs w:val="24"/>
        </w:rPr>
      </w:pPr>
    </w:p>
    <w:p w14:paraId="4E9C50EE" w14:textId="77777777" w:rsidR="00712403" w:rsidRDefault="00712403" w:rsidP="000577B5">
      <w:pPr>
        <w:spacing w:line="360" w:lineRule="auto"/>
        <w:rPr>
          <w:rFonts w:ascii="Arial" w:hAnsi="Arial" w:cs="Arial"/>
          <w:sz w:val="24"/>
          <w:szCs w:val="24"/>
        </w:rPr>
      </w:pPr>
    </w:p>
    <w:p w14:paraId="7F9F59B1" w14:textId="77777777" w:rsidR="00712403" w:rsidRDefault="00712403" w:rsidP="000577B5">
      <w:pPr>
        <w:spacing w:line="360" w:lineRule="auto"/>
        <w:rPr>
          <w:rFonts w:ascii="Arial" w:hAnsi="Arial" w:cs="Arial"/>
          <w:sz w:val="24"/>
          <w:szCs w:val="24"/>
        </w:rPr>
      </w:pPr>
    </w:p>
    <w:p w14:paraId="307F048E" w14:textId="77777777" w:rsidR="00712403" w:rsidRDefault="00712403" w:rsidP="000577B5">
      <w:pPr>
        <w:spacing w:line="360" w:lineRule="auto"/>
        <w:rPr>
          <w:rFonts w:ascii="Arial" w:hAnsi="Arial" w:cs="Arial"/>
          <w:sz w:val="24"/>
          <w:szCs w:val="24"/>
        </w:rPr>
      </w:pPr>
    </w:p>
    <w:p w14:paraId="5C0BF44C" w14:textId="301231CF" w:rsidR="00712403" w:rsidRPr="00B8251B" w:rsidRDefault="00712403" w:rsidP="000577B5">
      <w:pPr>
        <w:spacing w:line="360" w:lineRule="auto"/>
        <w:rPr>
          <w:rFonts w:ascii="Arial Black" w:hAnsi="Arial Black" w:cs="Arial"/>
          <w:color w:val="156082" w:themeColor="accent1"/>
          <w:sz w:val="24"/>
          <w:szCs w:val="24"/>
        </w:rPr>
      </w:pPr>
      <w:r w:rsidRPr="00B8251B">
        <w:rPr>
          <w:rFonts w:ascii="Arial Black" w:hAnsi="Arial Black" w:cs="Arial"/>
          <w:color w:val="156082" w:themeColor="accent1"/>
          <w:sz w:val="24"/>
          <w:szCs w:val="24"/>
        </w:rPr>
        <w:lastRenderedPageBreak/>
        <w:t xml:space="preserve">Reference list </w:t>
      </w:r>
    </w:p>
    <w:p w14:paraId="29A5976E" w14:textId="77777777"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 xml:space="preserve">Aburisheh, K.E., </w:t>
      </w:r>
      <w:proofErr w:type="spellStart"/>
      <w:r w:rsidRPr="00834F4D">
        <w:rPr>
          <w:rFonts w:ascii="Arial" w:hAnsi="Arial" w:cs="Arial"/>
          <w:sz w:val="24"/>
          <w:szCs w:val="24"/>
        </w:rPr>
        <w:t>Dahiyat</w:t>
      </w:r>
      <w:proofErr w:type="spellEnd"/>
      <w:r w:rsidRPr="00834F4D">
        <w:rPr>
          <w:rFonts w:ascii="Arial" w:hAnsi="Arial" w:cs="Arial"/>
          <w:sz w:val="24"/>
          <w:szCs w:val="24"/>
        </w:rPr>
        <w:t>, A.A. and Owais, W.O., 2022. Impact of cash flow on earnings management in Jordan. Cogent Business &amp; Management, 9(1).</w:t>
      </w:r>
    </w:p>
    <w:p w14:paraId="68A5C009" w14:textId="77777777"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Choi, J. and Wang, H., 2009. Stakeholder Relations and the Persistence of Corporate Financial Performance. Strategic Management Journal, 30(8), pp.895-907.</w:t>
      </w:r>
    </w:p>
    <w:p w14:paraId="39C504DE" w14:textId="77777777"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Dyson, J.R., 2010. Accounting for Non-Accounting Students, 8th ed. Pearson.</w:t>
      </w:r>
    </w:p>
    <w:p w14:paraId="4D4A0FAA" w14:textId="3FEF3CD5" w:rsidR="00B8251B" w:rsidRDefault="00834F4D" w:rsidP="00834F4D">
      <w:pPr>
        <w:spacing w:line="360" w:lineRule="auto"/>
        <w:rPr>
          <w:rFonts w:ascii="Arial" w:hAnsi="Arial" w:cs="Arial"/>
          <w:sz w:val="24"/>
          <w:szCs w:val="24"/>
        </w:rPr>
      </w:pPr>
      <w:r w:rsidRPr="00834F4D">
        <w:rPr>
          <w:rFonts w:ascii="Arial" w:hAnsi="Arial" w:cs="Arial"/>
          <w:sz w:val="24"/>
          <w:szCs w:val="24"/>
        </w:rPr>
        <w:t xml:space="preserve">Jalbert, T., 2019. A </w:t>
      </w:r>
      <w:r w:rsidR="00B8251B">
        <w:rPr>
          <w:rFonts w:ascii="Arial" w:hAnsi="Arial" w:cs="Arial"/>
          <w:sz w:val="24"/>
          <w:szCs w:val="24"/>
        </w:rPr>
        <w:t>management-focused</w:t>
      </w:r>
      <w:r w:rsidRPr="00834F4D">
        <w:rPr>
          <w:rFonts w:ascii="Arial" w:hAnsi="Arial" w:cs="Arial"/>
          <w:sz w:val="24"/>
          <w:szCs w:val="24"/>
        </w:rPr>
        <w:t xml:space="preserve"> tool for developing pro-forma financial statements. Available at: </w:t>
      </w:r>
      <w:hyperlink r:id="rId6" w:history="1">
        <w:r w:rsidR="00B8251B" w:rsidRPr="00630819">
          <w:rPr>
            <w:rStyle w:val="Hyperlink"/>
            <w:rFonts w:ascii="Arial" w:hAnsi="Arial" w:cs="Arial"/>
            <w:sz w:val="24"/>
            <w:szCs w:val="24"/>
          </w:rPr>
          <w:t>https://papers.ssrn.com/sol3/papers.cfm?abstract_id=3523830</w:t>
        </w:r>
      </w:hyperlink>
    </w:p>
    <w:p w14:paraId="1E0721F3" w14:textId="3C882040"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Johnson, R.W. and Melicher, R.W., 2017. Financial management. Boston: Allyn and Bacon.</w:t>
      </w:r>
    </w:p>
    <w:p w14:paraId="483FD0BF" w14:textId="25B0E684" w:rsidR="00834F4D" w:rsidRDefault="00834F4D" w:rsidP="00834F4D">
      <w:pPr>
        <w:spacing w:line="360" w:lineRule="auto"/>
        <w:rPr>
          <w:rFonts w:ascii="Arial" w:hAnsi="Arial" w:cs="Arial"/>
          <w:sz w:val="24"/>
          <w:szCs w:val="24"/>
        </w:rPr>
      </w:pPr>
      <w:r w:rsidRPr="00834F4D">
        <w:rPr>
          <w:rFonts w:ascii="Arial" w:hAnsi="Arial" w:cs="Arial"/>
          <w:sz w:val="24"/>
          <w:szCs w:val="24"/>
        </w:rPr>
        <w:t xml:space="preserve">Kish, M., 2022. Nike just got the biggest sign yet that its master plan is working. Available at: </w:t>
      </w:r>
      <w:hyperlink r:id="rId7" w:history="1">
        <w:r w:rsidRPr="00630819">
          <w:rPr>
            <w:rStyle w:val="Hyperlink"/>
            <w:rFonts w:ascii="Arial" w:hAnsi="Arial" w:cs="Arial"/>
            <w:sz w:val="24"/>
            <w:szCs w:val="24"/>
          </w:rPr>
          <w:t>https://www.businessinsider.com/nike-sign-its-biggest-bet-in-decades-is-paying-off-2022-12</w:t>
        </w:r>
      </w:hyperlink>
    </w:p>
    <w:p w14:paraId="3C566F02" w14:textId="6DFE1A32"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Kothari, S.P., 2001. Capital Markets Research in Accounting. Journal of Accounting and Economics, 31(1-3), pp.105-253.</w:t>
      </w:r>
    </w:p>
    <w:p w14:paraId="5AED86C0" w14:textId="77777777"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Lucey, T., 2009. Costing, 7th ed. Cengage Learning.</w:t>
      </w:r>
    </w:p>
    <w:p w14:paraId="5A95650A" w14:textId="7C3F0DB6" w:rsidR="00834F4D" w:rsidRDefault="00834F4D" w:rsidP="00834F4D">
      <w:pPr>
        <w:spacing w:line="360" w:lineRule="auto"/>
        <w:rPr>
          <w:rFonts w:ascii="Arial" w:hAnsi="Arial" w:cs="Arial"/>
          <w:sz w:val="24"/>
          <w:szCs w:val="24"/>
        </w:rPr>
      </w:pPr>
      <w:r w:rsidRPr="00834F4D">
        <w:rPr>
          <w:rFonts w:ascii="Arial" w:hAnsi="Arial" w:cs="Arial"/>
          <w:sz w:val="24"/>
          <w:szCs w:val="24"/>
        </w:rPr>
        <w:t xml:space="preserve">Nguyen, S., 2021. Nike Marketing Strategy: Why Nike Is </w:t>
      </w:r>
      <w:proofErr w:type="gramStart"/>
      <w:r w:rsidRPr="00834F4D">
        <w:rPr>
          <w:rFonts w:ascii="Arial" w:hAnsi="Arial" w:cs="Arial"/>
          <w:sz w:val="24"/>
          <w:szCs w:val="24"/>
        </w:rPr>
        <w:t>A</w:t>
      </w:r>
      <w:proofErr w:type="gramEnd"/>
      <w:r w:rsidRPr="00834F4D">
        <w:rPr>
          <w:rFonts w:ascii="Arial" w:hAnsi="Arial" w:cs="Arial"/>
          <w:sz w:val="24"/>
          <w:szCs w:val="24"/>
        </w:rPr>
        <w:t xml:space="preserve"> Marketing Leader? Available at: </w:t>
      </w:r>
      <w:hyperlink r:id="rId8" w:history="1">
        <w:r w:rsidRPr="00630819">
          <w:rPr>
            <w:rStyle w:val="Hyperlink"/>
            <w:rFonts w:ascii="Arial" w:hAnsi="Arial" w:cs="Arial"/>
            <w:sz w:val="24"/>
            <w:szCs w:val="24"/>
          </w:rPr>
          <w:t>https://www.mageplaza.com/blog/nike-marketing-strategy.html</w:t>
        </w:r>
      </w:hyperlink>
    </w:p>
    <w:p w14:paraId="4943E52A" w14:textId="3FC09809" w:rsidR="00834F4D" w:rsidRDefault="00834F4D" w:rsidP="00834F4D">
      <w:pPr>
        <w:spacing w:line="360" w:lineRule="auto"/>
        <w:rPr>
          <w:rFonts w:ascii="Arial" w:hAnsi="Arial" w:cs="Arial"/>
          <w:sz w:val="24"/>
          <w:szCs w:val="24"/>
        </w:rPr>
      </w:pPr>
      <w:r w:rsidRPr="00834F4D">
        <w:rPr>
          <w:rFonts w:ascii="Arial" w:hAnsi="Arial" w:cs="Arial"/>
          <w:sz w:val="24"/>
          <w:szCs w:val="24"/>
        </w:rPr>
        <w:t xml:space="preserve">Nike, 2022. NIKE Inc. reports fiscal 2022 fourth quarter and full year results. Available at: </w:t>
      </w:r>
      <w:hyperlink r:id="rId9" w:history="1">
        <w:r w:rsidRPr="00630819">
          <w:rPr>
            <w:rStyle w:val="Hyperlink"/>
            <w:rFonts w:ascii="Arial" w:hAnsi="Arial" w:cs="Arial"/>
            <w:sz w:val="24"/>
            <w:szCs w:val="24"/>
          </w:rPr>
          <w:t>https://investors.nike.com/investors/news-events-and-reports/investor-news/investor-news-details/2022/NIKE-Inc.-Reports-Fiscal-2022-Fourth-Quarter-and-Full-Year-Results/default.aspx</w:t>
        </w:r>
      </w:hyperlink>
    </w:p>
    <w:p w14:paraId="66C4071E" w14:textId="08B2AA82"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t>Ohlson, J.A., 1995. Earnings, Book Values, and Dividends in Equity Valuation. Contemporary Accounting Research, 11(2), pp.661-688.</w:t>
      </w:r>
    </w:p>
    <w:p w14:paraId="532AE068" w14:textId="61D0D449" w:rsidR="00834F4D" w:rsidRDefault="00834F4D" w:rsidP="00834F4D">
      <w:pPr>
        <w:spacing w:line="360" w:lineRule="auto"/>
        <w:rPr>
          <w:rFonts w:ascii="Arial" w:hAnsi="Arial" w:cs="Arial"/>
          <w:sz w:val="24"/>
          <w:szCs w:val="24"/>
        </w:rPr>
      </w:pPr>
      <w:r w:rsidRPr="00834F4D">
        <w:rPr>
          <w:rFonts w:ascii="Arial" w:hAnsi="Arial" w:cs="Arial"/>
          <w:sz w:val="24"/>
          <w:szCs w:val="24"/>
        </w:rPr>
        <w:t xml:space="preserve">SEC, 2023. nke-20220531. Available at: </w:t>
      </w:r>
      <w:hyperlink r:id="rId10" w:history="1">
        <w:r w:rsidRPr="00630819">
          <w:rPr>
            <w:rStyle w:val="Hyperlink"/>
            <w:rFonts w:ascii="Arial" w:hAnsi="Arial" w:cs="Arial"/>
            <w:sz w:val="24"/>
            <w:szCs w:val="24"/>
          </w:rPr>
          <w:t>https://www.sec.gov/Archives/edgar/data/320187/000032018722000038/nke-20220531.htm#i46e4e3c717064a3ca53a7fe9eaaaeca4_76</w:t>
        </w:r>
      </w:hyperlink>
    </w:p>
    <w:p w14:paraId="2857FBC7" w14:textId="75518366" w:rsidR="00834F4D" w:rsidRPr="00834F4D" w:rsidRDefault="00834F4D" w:rsidP="00834F4D">
      <w:pPr>
        <w:spacing w:line="360" w:lineRule="auto"/>
        <w:rPr>
          <w:rFonts w:ascii="Arial" w:hAnsi="Arial" w:cs="Arial"/>
          <w:sz w:val="24"/>
          <w:szCs w:val="24"/>
        </w:rPr>
      </w:pPr>
      <w:r w:rsidRPr="00834F4D">
        <w:rPr>
          <w:rFonts w:ascii="Arial" w:hAnsi="Arial" w:cs="Arial"/>
          <w:sz w:val="24"/>
          <w:szCs w:val="24"/>
        </w:rPr>
        <w:lastRenderedPageBreak/>
        <w:t>Walls, J.L., Berrone, P. and Phan, P.H., 2012. Corporate Governance and Environmental Performance: Is There Really a Link? Strategic Management Journal, 33(8), pp.885-913.</w:t>
      </w:r>
    </w:p>
    <w:p w14:paraId="364C074D" w14:textId="5262D297" w:rsidR="00712403" w:rsidRDefault="00834F4D" w:rsidP="00834F4D">
      <w:pPr>
        <w:spacing w:line="360" w:lineRule="auto"/>
        <w:rPr>
          <w:rFonts w:ascii="Arial" w:hAnsi="Arial" w:cs="Arial"/>
          <w:sz w:val="24"/>
          <w:szCs w:val="24"/>
        </w:rPr>
      </w:pPr>
      <w:r w:rsidRPr="00834F4D">
        <w:rPr>
          <w:rFonts w:ascii="Arial" w:hAnsi="Arial" w:cs="Arial"/>
          <w:sz w:val="24"/>
          <w:szCs w:val="24"/>
        </w:rPr>
        <w:t>Weetman, P., 2016. Financial Accounting: An Introduction, 7th ed. Pearson.</w:t>
      </w:r>
    </w:p>
    <w:p w14:paraId="4CCCBC3B" w14:textId="77777777" w:rsidR="000577B5" w:rsidRDefault="000577B5" w:rsidP="000577B5">
      <w:pPr>
        <w:spacing w:line="360" w:lineRule="auto"/>
        <w:rPr>
          <w:rFonts w:ascii="Arial" w:hAnsi="Arial" w:cs="Arial"/>
          <w:sz w:val="24"/>
          <w:szCs w:val="24"/>
        </w:rPr>
      </w:pPr>
    </w:p>
    <w:p w14:paraId="6487988B" w14:textId="77777777" w:rsidR="000577B5" w:rsidRDefault="000577B5" w:rsidP="000577B5">
      <w:pPr>
        <w:spacing w:line="360" w:lineRule="auto"/>
        <w:rPr>
          <w:rFonts w:ascii="Arial" w:hAnsi="Arial" w:cs="Arial"/>
          <w:sz w:val="24"/>
          <w:szCs w:val="24"/>
        </w:rPr>
      </w:pPr>
    </w:p>
    <w:p w14:paraId="6C504F71" w14:textId="77777777" w:rsidR="000577B5" w:rsidRDefault="000577B5" w:rsidP="000577B5">
      <w:pPr>
        <w:spacing w:line="360" w:lineRule="auto"/>
        <w:rPr>
          <w:rFonts w:ascii="Arial" w:hAnsi="Arial" w:cs="Arial"/>
          <w:sz w:val="24"/>
          <w:szCs w:val="24"/>
        </w:rPr>
      </w:pPr>
    </w:p>
    <w:p w14:paraId="286A9C0F" w14:textId="77777777" w:rsidR="000577B5" w:rsidRDefault="000577B5" w:rsidP="00BD0E68">
      <w:pPr>
        <w:rPr>
          <w:rFonts w:ascii="Arial" w:hAnsi="Arial" w:cs="Arial"/>
          <w:sz w:val="24"/>
          <w:szCs w:val="24"/>
        </w:rPr>
      </w:pPr>
    </w:p>
    <w:p w14:paraId="7E05C946" w14:textId="77777777" w:rsidR="000577B5" w:rsidRDefault="000577B5" w:rsidP="00BD0E68">
      <w:pPr>
        <w:rPr>
          <w:rFonts w:ascii="Arial" w:hAnsi="Arial" w:cs="Arial"/>
          <w:sz w:val="24"/>
          <w:szCs w:val="24"/>
        </w:rPr>
      </w:pPr>
    </w:p>
    <w:p w14:paraId="1C064B3A" w14:textId="77777777" w:rsidR="000577B5" w:rsidRDefault="000577B5" w:rsidP="00BD0E68">
      <w:pPr>
        <w:rPr>
          <w:rFonts w:ascii="Arial" w:hAnsi="Arial" w:cs="Arial"/>
          <w:sz w:val="24"/>
          <w:szCs w:val="24"/>
        </w:rPr>
      </w:pPr>
    </w:p>
    <w:p w14:paraId="3CF78209" w14:textId="77777777" w:rsidR="000577B5" w:rsidRDefault="000577B5" w:rsidP="00BD0E68">
      <w:pPr>
        <w:rPr>
          <w:rFonts w:ascii="Arial" w:hAnsi="Arial" w:cs="Arial"/>
          <w:sz w:val="24"/>
          <w:szCs w:val="24"/>
        </w:rPr>
      </w:pPr>
    </w:p>
    <w:p w14:paraId="230EF1DA" w14:textId="77777777" w:rsidR="000577B5" w:rsidRDefault="000577B5" w:rsidP="00BD0E68">
      <w:pPr>
        <w:rPr>
          <w:rFonts w:ascii="Arial" w:hAnsi="Arial" w:cs="Arial"/>
          <w:sz w:val="24"/>
          <w:szCs w:val="24"/>
        </w:rPr>
      </w:pPr>
    </w:p>
    <w:p w14:paraId="192EBE41" w14:textId="77777777" w:rsidR="000577B5" w:rsidRDefault="000577B5" w:rsidP="00BD0E68">
      <w:pPr>
        <w:rPr>
          <w:rFonts w:ascii="Arial" w:hAnsi="Arial" w:cs="Arial"/>
          <w:sz w:val="24"/>
          <w:szCs w:val="24"/>
        </w:rPr>
      </w:pPr>
    </w:p>
    <w:p w14:paraId="551E0F2D" w14:textId="77777777" w:rsidR="000577B5" w:rsidRDefault="000577B5" w:rsidP="00BD0E68">
      <w:pPr>
        <w:rPr>
          <w:rFonts w:ascii="Arial" w:hAnsi="Arial" w:cs="Arial"/>
          <w:sz w:val="24"/>
          <w:szCs w:val="24"/>
        </w:rPr>
      </w:pPr>
    </w:p>
    <w:p w14:paraId="19263A0F" w14:textId="77777777" w:rsidR="00BD0E68" w:rsidRDefault="00BD0E68">
      <w:pPr>
        <w:rPr>
          <w:rFonts w:ascii="Arial" w:hAnsi="Arial" w:cs="Arial"/>
          <w:sz w:val="24"/>
          <w:szCs w:val="24"/>
        </w:rPr>
      </w:pPr>
    </w:p>
    <w:p w14:paraId="390399C6" w14:textId="77777777" w:rsidR="00C2748E" w:rsidRPr="003C4D3F" w:rsidRDefault="00C2748E">
      <w:pPr>
        <w:rPr>
          <w:rFonts w:ascii="Arial" w:hAnsi="Arial" w:cs="Arial"/>
          <w:sz w:val="24"/>
          <w:szCs w:val="24"/>
        </w:rPr>
      </w:pPr>
    </w:p>
    <w:sectPr w:rsidR="00C2748E" w:rsidRPr="003C4D3F" w:rsidSect="004C55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7486"/>
    <w:multiLevelType w:val="hybridMultilevel"/>
    <w:tmpl w:val="32126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09479D"/>
    <w:multiLevelType w:val="hybridMultilevel"/>
    <w:tmpl w:val="13A29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22897"/>
    <w:multiLevelType w:val="hybridMultilevel"/>
    <w:tmpl w:val="BE30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584503">
    <w:abstractNumId w:val="0"/>
  </w:num>
  <w:num w:numId="2" w16cid:durableId="337075719">
    <w:abstractNumId w:val="1"/>
  </w:num>
  <w:num w:numId="3" w16cid:durableId="803161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3F"/>
    <w:rsid w:val="000577B5"/>
    <w:rsid w:val="003A2F4E"/>
    <w:rsid w:val="003C4D3F"/>
    <w:rsid w:val="004C5518"/>
    <w:rsid w:val="00712403"/>
    <w:rsid w:val="007A1C6A"/>
    <w:rsid w:val="00834F4D"/>
    <w:rsid w:val="009652AE"/>
    <w:rsid w:val="00B8251B"/>
    <w:rsid w:val="00BD0E68"/>
    <w:rsid w:val="00C2748E"/>
    <w:rsid w:val="00DA5D03"/>
    <w:rsid w:val="00E27FB5"/>
    <w:rsid w:val="00E30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FF9C3F"/>
  <w15:chartTrackingRefBased/>
  <w15:docId w15:val="{C869FB0F-89B1-43FC-8BEB-D2ACB85D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D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D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D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D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D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D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D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D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D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D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D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D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D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D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D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D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D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D3F"/>
    <w:rPr>
      <w:rFonts w:eastAsiaTheme="majorEastAsia" w:cstheme="majorBidi"/>
      <w:color w:val="272727" w:themeColor="text1" w:themeTint="D8"/>
    </w:rPr>
  </w:style>
  <w:style w:type="paragraph" w:styleId="Title">
    <w:name w:val="Title"/>
    <w:basedOn w:val="Normal"/>
    <w:next w:val="Normal"/>
    <w:link w:val="TitleChar"/>
    <w:uiPriority w:val="10"/>
    <w:qFormat/>
    <w:rsid w:val="003C4D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D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D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D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D3F"/>
    <w:pPr>
      <w:spacing w:before="160"/>
      <w:jc w:val="center"/>
    </w:pPr>
    <w:rPr>
      <w:i/>
      <w:iCs/>
      <w:color w:val="404040" w:themeColor="text1" w:themeTint="BF"/>
    </w:rPr>
  </w:style>
  <w:style w:type="character" w:customStyle="1" w:styleId="QuoteChar">
    <w:name w:val="Quote Char"/>
    <w:basedOn w:val="DefaultParagraphFont"/>
    <w:link w:val="Quote"/>
    <w:uiPriority w:val="29"/>
    <w:rsid w:val="003C4D3F"/>
    <w:rPr>
      <w:i/>
      <w:iCs/>
      <w:color w:val="404040" w:themeColor="text1" w:themeTint="BF"/>
    </w:rPr>
  </w:style>
  <w:style w:type="paragraph" w:styleId="ListParagraph">
    <w:name w:val="List Paragraph"/>
    <w:basedOn w:val="Normal"/>
    <w:uiPriority w:val="34"/>
    <w:qFormat/>
    <w:rsid w:val="003C4D3F"/>
    <w:pPr>
      <w:ind w:left="720"/>
      <w:contextualSpacing/>
    </w:pPr>
  </w:style>
  <w:style w:type="character" w:styleId="IntenseEmphasis">
    <w:name w:val="Intense Emphasis"/>
    <w:basedOn w:val="DefaultParagraphFont"/>
    <w:uiPriority w:val="21"/>
    <w:qFormat/>
    <w:rsid w:val="003C4D3F"/>
    <w:rPr>
      <w:i/>
      <w:iCs/>
      <w:color w:val="0F4761" w:themeColor="accent1" w:themeShade="BF"/>
    </w:rPr>
  </w:style>
  <w:style w:type="paragraph" w:styleId="IntenseQuote">
    <w:name w:val="Intense Quote"/>
    <w:basedOn w:val="Normal"/>
    <w:next w:val="Normal"/>
    <w:link w:val="IntenseQuoteChar"/>
    <w:uiPriority w:val="30"/>
    <w:qFormat/>
    <w:rsid w:val="003C4D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D3F"/>
    <w:rPr>
      <w:i/>
      <w:iCs/>
      <w:color w:val="0F4761" w:themeColor="accent1" w:themeShade="BF"/>
    </w:rPr>
  </w:style>
  <w:style w:type="character" w:styleId="IntenseReference">
    <w:name w:val="Intense Reference"/>
    <w:basedOn w:val="DefaultParagraphFont"/>
    <w:uiPriority w:val="32"/>
    <w:qFormat/>
    <w:rsid w:val="003C4D3F"/>
    <w:rPr>
      <w:b/>
      <w:bCs/>
      <w:smallCaps/>
      <w:color w:val="0F4761" w:themeColor="accent1" w:themeShade="BF"/>
      <w:spacing w:val="5"/>
    </w:rPr>
  </w:style>
  <w:style w:type="character" w:styleId="Hyperlink">
    <w:name w:val="Hyperlink"/>
    <w:basedOn w:val="DefaultParagraphFont"/>
    <w:uiPriority w:val="99"/>
    <w:unhideWhenUsed/>
    <w:rsid w:val="00834F4D"/>
    <w:rPr>
      <w:color w:val="467886" w:themeColor="hyperlink"/>
      <w:u w:val="single"/>
    </w:rPr>
  </w:style>
  <w:style w:type="character" w:styleId="UnresolvedMention">
    <w:name w:val="Unresolved Mention"/>
    <w:basedOn w:val="DefaultParagraphFont"/>
    <w:uiPriority w:val="99"/>
    <w:semiHidden/>
    <w:unhideWhenUsed/>
    <w:rsid w:val="00834F4D"/>
    <w:rPr>
      <w:color w:val="605E5C"/>
      <w:shd w:val="clear" w:color="auto" w:fill="E1DFDD"/>
    </w:rPr>
  </w:style>
  <w:style w:type="paragraph" w:styleId="NoSpacing">
    <w:name w:val="No Spacing"/>
    <w:link w:val="NoSpacingChar"/>
    <w:uiPriority w:val="1"/>
    <w:qFormat/>
    <w:rsid w:val="00B825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251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eplaza.com/blog/nike-marketing-strategy.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usinessinsider.com/nike-sign-its-biggest-bet-in-decades-is-paying-off-2022-12" TargetMode="Externa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apers.ssrn.com/sol3/papers.cfm?abstract_id=3523830"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ec.gov/Archives/edgar/data/320187/000032018722000038/nke-20220531.htm#i46e4e3c717064a3ca53a7fe9eaaaeca4_76" TargetMode="External"/><Relationship Id="rId4" Type="http://schemas.openxmlformats.org/officeDocument/2006/relationships/settings" Target="settings.xml"/><Relationship Id="rId9" Type="http://schemas.openxmlformats.org/officeDocument/2006/relationships/hyperlink" Target="https://investors.nike.com/investors/news-events-and-reports/investor-news/investor-news-details/2022/NIKE-Inc.-Reports-Fiscal-2022-Fourth-Quarter-and-Full-Year-Results/default.asp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1023F101AC4E19B3A3AE640BCB447B"/>
        <w:category>
          <w:name w:val="General"/>
          <w:gallery w:val="placeholder"/>
        </w:category>
        <w:types>
          <w:type w:val="bbPlcHdr"/>
        </w:types>
        <w:behaviors>
          <w:behavior w:val="content"/>
        </w:behaviors>
        <w:guid w:val="{6F74BDDF-1676-473C-9FF2-985510A82C7C}"/>
      </w:docPartPr>
      <w:docPartBody>
        <w:p w:rsidR="00000000" w:rsidRDefault="00FA18EE" w:rsidP="00FA18EE">
          <w:pPr>
            <w:pStyle w:val="281023F101AC4E19B3A3AE640BCB447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8EE"/>
    <w:rsid w:val="00054683"/>
    <w:rsid w:val="00FA1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1023F101AC4E19B3A3AE640BCB447B">
    <w:name w:val="281023F101AC4E19B3A3AE640BCB447B"/>
    <w:rsid w:val="00FA18EE"/>
  </w:style>
  <w:style w:type="paragraph" w:customStyle="1" w:styleId="CB2717D53B1C438FAD347649B7BD7405">
    <w:name w:val="CB2717D53B1C438FAD347649B7BD7405"/>
    <w:rsid w:val="00FA18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BMSP4011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1828</Words>
  <Characters>11731</Characters>
  <Application>Microsoft Office Word</Application>
  <DocSecurity>0</DocSecurity>
  <Lines>252</Lines>
  <Paragraphs>41</Paragraphs>
  <ScaleCrop>false</ScaleCrop>
  <HeadingPairs>
    <vt:vector size="2" baseType="variant">
      <vt:variant>
        <vt:lpstr>Title</vt:lpstr>
      </vt:variant>
      <vt:variant>
        <vt:i4>1</vt:i4>
      </vt:variant>
    </vt:vector>
  </HeadingPairs>
  <TitlesOfParts>
    <vt:vector size="1" baseType="lpstr">
      <vt:lpstr/>
    </vt:vector>
  </TitlesOfParts>
  <Company>Amar gureanu (2247669)</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Mirabela Voican (1907947)</dc:creator>
  <cp:keywords/>
  <dc:description/>
  <cp:lastModifiedBy>Mirabela Voican (1907947)</cp:lastModifiedBy>
  <cp:revision>2</cp:revision>
  <dcterms:created xsi:type="dcterms:W3CDTF">2024-05-06T22:51:00Z</dcterms:created>
  <dcterms:modified xsi:type="dcterms:W3CDTF">2024-05-06T22:51:00Z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74b23f21-0deb-482f-b170-030923bcfdac</vt:lpwstr>
  </property>
</Properties>
</file>